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7"/>
        <w:rPr>
          <w:rFonts w:ascii="Times New Roman" w:hAnsi="Times New Roman" w:cs="Times New Roman" w:eastAsiaTheme="minorEastAsia"/>
          <w:color w:val="000000" w:themeColor="text1"/>
          <w:sz w:val="44"/>
          <w:szCs w:val="44"/>
        </w:rPr>
      </w:pPr>
    </w:p>
    <w:p>
      <w:pPr>
        <w:pStyle w:val="47"/>
        <w:rPr>
          <w:rFonts w:ascii="Times New Roman" w:hAnsi="Times New Roman" w:cs="Times New Roman" w:eastAsiaTheme="minorEastAsia"/>
          <w:color w:val="000000" w:themeColor="text1"/>
          <w:sz w:val="44"/>
          <w:szCs w:val="44"/>
        </w:rPr>
      </w:pPr>
      <w:r>
        <w:rPr>
          <w:rFonts w:ascii="Times New Roman" w:hAnsi="Times New Roman" w:cs="Times New Roman" w:eastAsiaTheme="minorEastAsia"/>
          <w:color w:val="000000" w:themeColor="text1"/>
          <w:sz w:val="44"/>
          <w:szCs w:val="44"/>
        </w:rPr>
        <w:t>建设项目环境影响报告表</w:t>
      </w:r>
    </w:p>
    <w:p>
      <w:pPr>
        <w:pStyle w:val="91"/>
        <w:spacing w:before="624" w:beforeLines="200"/>
        <w:rPr>
          <w:rFonts w:eastAsiaTheme="minorEastAsia"/>
          <w:color w:val="000000" w:themeColor="text1"/>
          <w:szCs w:val="36"/>
        </w:rPr>
      </w:pPr>
      <w:r>
        <w:rPr>
          <w:rFonts w:eastAsiaTheme="minorEastAsia"/>
          <w:color w:val="000000" w:themeColor="text1"/>
          <w:szCs w:val="36"/>
        </w:rPr>
        <w:t>（</w:t>
      </w:r>
      <w:r>
        <w:rPr>
          <w:rFonts w:hint="eastAsia" w:eastAsiaTheme="minorEastAsia"/>
          <w:color w:val="000000" w:themeColor="text1"/>
          <w:szCs w:val="36"/>
          <w:lang w:val="en-US" w:eastAsia="zh-CN"/>
        </w:rPr>
        <w:t>报批</w:t>
      </w:r>
      <w:r>
        <w:rPr>
          <w:rFonts w:hint="eastAsia" w:eastAsiaTheme="minorEastAsia"/>
          <w:color w:val="000000" w:themeColor="text1"/>
          <w:szCs w:val="36"/>
        </w:rPr>
        <w:t>本</w:t>
      </w:r>
      <w:r>
        <w:rPr>
          <w:rFonts w:eastAsiaTheme="minorEastAsia"/>
          <w:color w:val="000000" w:themeColor="text1"/>
          <w:szCs w:val="36"/>
        </w:rPr>
        <w:t>）</w:t>
      </w:r>
    </w:p>
    <w:p>
      <w:pPr>
        <w:pStyle w:val="91"/>
        <w:rPr>
          <w:rFonts w:eastAsiaTheme="minorEastAsia"/>
          <w:color w:val="000000" w:themeColor="text1"/>
          <w:szCs w:val="36"/>
        </w:rPr>
      </w:pPr>
    </w:p>
    <w:p>
      <w:pPr>
        <w:pStyle w:val="91"/>
        <w:rPr>
          <w:rFonts w:eastAsiaTheme="minorEastAsia"/>
          <w:color w:val="000000" w:themeColor="text1"/>
        </w:rPr>
      </w:pPr>
    </w:p>
    <w:p>
      <w:pPr>
        <w:pStyle w:val="91"/>
        <w:rPr>
          <w:rFonts w:eastAsiaTheme="minorEastAsia"/>
          <w:color w:val="000000" w:themeColor="text1"/>
        </w:rPr>
      </w:pPr>
    </w:p>
    <w:p>
      <w:pPr>
        <w:pStyle w:val="91"/>
        <w:rPr>
          <w:rFonts w:eastAsiaTheme="minorEastAsia"/>
          <w:color w:val="000000" w:themeColor="text1"/>
        </w:rPr>
      </w:pPr>
    </w:p>
    <w:p>
      <w:pPr>
        <w:pStyle w:val="91"/>
        <w:rPr>
          <w:rFonts w:eastAsiaTheme="minorEastAsia"/>
          <w:color w:val="000000" w:themeColor="text1"/>
        </w:rPr>
      </w:pPr>
    </w:p>
    <w:p>
      <w:pPr>
        <w:pStyle w:val="91"/>
        <w:rPr>
          <w:rFonts w:eastAsiaTheme="minorEastAsia"/>
          <w:color w:val="000000" w:themeColor="text1"/>
        </w:rPr>
      </w:pPr>
    </w:p>
    <w:p>
      <w:pPr>
        <w:spacing w:line="480" w:lineRule="auto"/>
        <w:ind w:left="1770" w:leftChars="136" w:hanging="1485" w:hangingChars="495"/>
        <w:jc w:val="center"/>
        <w:rPr>
          <w:rFonts w:ascii="Times New Roman" w:hAnsi="Times New Roman" w:cs="Times New Roman"/>
          <w:b/>
          <w:color w:val="000000" w:themeColor="text1"/>
          <w:sz w:val="30"/>
          <w:szCs w:val="30"/>
          <w:u w:val="thick"/>
        </w:rPr>
      </w:pPr>
      <w:r>
        <w:rPr>
          <w:rFonts w:ascii="Times New Roman" w:hAnsi="Times New Roman" w:cs="Times New Roman"/>
          <w:b/>
          <w:color w:val="000000" w:themeColor="text1"/>
          <w:sz w:val="30"/>
          <w:szCs w:val="30"/>
        </w:rPr>
        <w:t>项目名称:</w:t>
      </w:r>
      <w:r>
        <w:rPr>
          <w:rFonts w:hint="eastAsia" w:ascii="宋体" w:hAnsi="宋体" w:eastAsia="宋体" w:cs="Times New Roman"/>
          <w:color w:val="000000" w:themeColor="text1"/>
          <w:kern w:val="0"/>
          <w:sz w:val="30"/>
          <w:szCs w:val="30"/>
        </w:rPr>
        <w:t xml:space="preserve"> </w:t>
      </w:r>
      <w:r>
        <w:rPr>
          <w:rFonts w:hint="eastAsia" w:ascii="Times New Roman" w:hAnsi="Times New Roman" w:cs="Times New Roman"/>
          <w:b/>
          <w:color w:val="000000" w:themeColor="text1"/>
          <w:sz w:val="30"/>
          <w:szCs w:val="30"/>
          <w:u w:val="thick"/>
        </w:rPr>
        <w:t>松潘县安宏乡肖包寺村、西宁关村等</w:t>
      </w:r>
    </w:p>
    <w:p>
      <w:pPr>
        <w:spacing w:line="480" w:lineRule="auto"/>
        <w:ind w:left="1770" w:leftChars="136" w:hanging="1485" w:hangingChars="495"/>
        <w:jc w:val="center"/>
        <w:rPr>
          <w:rFonts w:ascii="Times New Roman" w:hAnsi="Times New Roman" w:cs="Times New Roman"/>
          <w:b/>
          <w:color w:val="000000" w:themeColor="text1"/>
          <w:sz w:val="30"/>
          <w:szCs w:val="30"/>
          <w:u w:val="thick"/>
        </w:rPr>
      </w:pPr>
      <w:r>
        <w:rPr>
          <w:rFonts w:hint="eastAsia" w:ascii="Times New Roman" w:hAnsi="Times New Roman" w:cs="Times New Roman"/>
          <w:b/>
          <w:color w:val="000000" w:themeColor="text1"/>
          <w:sz w:val="30"/>
          <w:szCs w:val="30"/>
          <w:u w:val="thick"/>
        </w:rPr>
        <w:t>安全饮水工程建设项目</w:t>
      </w:r>
    </w:p>
    <w:p>
      <w:pPr>
        <w:spacing w:line="480" w:lineRule="auto"/>
        <w:ind w:left="1770" w:leftChars="136" w:hanging="1485" w:hangingChars="495"/>
        <w:jc w:val="center"/>
        <w:rPr>
          <w:rFonts w:ascii="Times New Roman" w:hAnsi="Times New Roman" w:cs="Times New Roman"/>
          <w:b/>
          <w:color w:val="000000" w:themeColor="text1"/>
          <w:sz w:val="30"/>
          <w:szCs w:val="30"/>
          <w:u w:val="thick"/>
        </w:rPr>
      </w:pPr>
    </w:p>
    <w:p>
      <w:pPr>
        <w:spacing w:line="480" w:lineRule="auto"/>
        <w:ind w:firstLine="300" w:firstLineChars="100"/>
        <w:jc w:val="center"/>
        <w:rPr>
          <w:rFonts w:ascii="Times New Roman" w:hAnsi="Times New Roman" w:cs="Times New Roman"/>
          <w:color w:val="000000" w:themeColor="text1"/>
          <w:sz w:val="30"/>
          <w:szCs w:val="30"/>
          <w:u w:val="single"/>
        </w:rPr>
      </w:pPr>
      <w:r>
        <w:rPr>
          <w:rFonts w:ascii="Times New Roman" w:hAnsi="Times New Roman" w:cs="Times New Roman"/>
          <w:b/>
          <w:color w:val="000000" w:themeColor="text1"/>
          <w:sz w:val="30"/>
          <w:szCs w:val="30"/>
        </w:rPr>
        <w:t>建设单位（盖章）:</w:t>
      </w:r>
      <w:r>
        <w:rPr>
          <w:rFonts w:hint="eastAsia" w:ascii="Times New Roman" w:hAnsi="Times New Roman" w:cs="Times New Roman"/>
          <w:b/>
          <w:color w:val="000000" w:themeColor="text1"/>
          <w:sz w:val="30"/>
          <w:szCs w:val="30"/>
          <w:u w:val="thick"/>
        </w:rPr>
        <w:t>松潘县安宏乡人民政府</w:t>
      </w:r>
    </w:p>
    <w:p>
      <w:pPr>
        <w:rPr>
          <w:rFonts w:ascii="Times New Roman" w:hAnsi="Times New Roman" w:cs="Times New Roman"/>
          <w:color w:val="000000" w:themeColor="text1"/>
          <w:sz w:val="30"/>
          <w:szCs w:val="30"/>
        </w:rPr>
      </w:pPr>
    </w:p>
    <w:p>
      <w:pPr>
        <w:rPr>
          <w:rFonts w:ascii="Times New Roman" w:hAnsi="Times New Roman" w:cs="Times New Roman"/>
          <w:color w:val="000000" w:themeColor="text1"/>
          <w:sz w:val="30"/>
          <w:szCs w:val="30"/>
        </w:rPr>
      </w:pPr>
    </w:p>
    <w:p>
      <w:pPr>
        <w:rPr>
          <w:rFonts w:ascii="Times New Roman" w:hAnsi="Times New Roman" w:cs="Times New Roman"/>
          <w:color w:val="000000" w:themeColor="text1"/>
          <w:sz w:val="30"/>
          <w:szCs w:val="30"/>
        </w:rPr>
      </w:pPr>
    </w:p>
    <w:p>
      <w:pPr>
        <w:rPr>
          <w:rFonts w:ascii="Times New Roman" w:hAnsi="Times New Roman" w:cs="Times New Roman"/>
          <w:color w:val="000000" w:themeColor="text1"/>
          <w:sz w:val="30"/>
          <w:szCs w:val="30"/>
        </w:rPr>
      </w:pPr>
    </w:p>
    <w:p>
      <w:pPr>
        <w:rPr>
          <w:rFonts w:ascii="Times New Roman" w:hAnsi="Times New Roman" w:cs="Times New Roman"/>
          <w:color w:val="000000" w:themeColor="text1"/>
          <w:sz w:val="30"/>
          <w:szCs w:val="30"/>
        </w:rPr>
      </w:pPr>
    </w:p>
    <w:p>
      <w:pPr>
        <w:jc w:val="center"/>
        <w:rPr>
          <w:rFonts w:ascii="Times New Roman" w:hAnsi="Times New Roman" w:cs="Times New Roman"/>
          <w:b/>
          <w:color w:val="000000" w:themeColor="text1"/>
          <w:sz w:val="30"/>
          <w:szCs w:val="30"/>
        </w:rPr>
      </w:pPr>
      <w:r>
        <w:rPr>
          <w:rFonts w:hint="eastAsia" w:ascii="Times New Roman" w:hAnsi="Times New Roman" w:cs="Times New Roman"/>
          <w:b/>
          <w:color w:val="000000" w:themeColor="text1"/>
          <w:sz w:val="30"/>
          <w:szCs w:val="30"/>
        </w:rPr>
        <w:t>编制单位：四川省新尚昇环保咨询有限公司</w:t>
      </w:r>
    </w:p>
    <w:p>
      <w:pPr>
        <w:spacing w:line="360" w:lineRule="auto"/>
        <w:jc w:val="center"/>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编制日期：20</w:t>
      </w:r>
      <w:r>
        <w:rPr>
          <w:rFonts w:hint="eastAsia" w:ascii="Times New Roman" w:hAnsi="Times New Roman" w:cs="Times New Roman"/>
          <w:b/>
          <w:color w:val="000000" w:themeColor="text1"/>
          <w:sz w:val="30"/>
          <w:szCs w:val="30"/>
        </w:rPr>
        <w:t>20</w:t>
      </w:r>
      <w:r>
        <w:rPr>
          <w:rFonts w:ascii="Times New Roman" w:hAnsi="Times New Roman" w:cs="Times New Roman"/>
          <w:b/>
          <w:color w:val="000000" w:themeColor="text1"/>
          <w:sz w:val="30"/>
          <w:szCs w:val="30"/>
        </w:rPr>
        <w:t>年</w:t>
      </w:r>
      <w:r>
        <w:rPr>
          <w:rFonts w:hint="eastAsia" w:ascii="Times New Roman" w:hAnsi="Times New Roman" w:cs="Times New Roman"/>
          <w:b/>
          <w:color w:val="000000" w:themeColor="text1"/>
          <w:sz w:val="30"/>
          <w:szCs w:val="30"/>
          <w:lang w:val="en-US" w:eastAsia="zh-CN"/>
        </w:rPr>
        <w:t>7</w:t>
      </w:r>
      <w:r>
        <w:rPr>
          <w:rFonts w:ascii="Times New Roman" w:hAnsi="Times New Roman" w:cs="Times New Roman"/>
          <w:b/>
          <w:color w:val="000000" w:themeColor="text1"/>
          <w:sz w:val="30"/>
          <w:szCs w:val="30"/>
        </w:rPr>
        <w:t>月</w:t>
      </w:r>
    </w:p>
    <w:p>
      <w:pPr>
        <w:widowControl/>
        <w:jc w:val="left"/>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pPr>
        <w:pStyle w:val="6"/>
        <w:jc w:val="center"/>
        <w:rPr>
          <w:color w:val="000000" w:themeColor="text1"/>
        </w:rPr>
      </w:pPr>
      <w:r>
        <w:rPr>
          <w:rFonts w:hint="eastAsia"/>
          <w:color w:val="000000" w:themeColor="text1"/>
        </w:rPr>
        <w:t>《建设项目环境影响报告表》编制说明</w:t>
      </w:r>
    </w:p>
    <w:p>
      <w:pPr>
        <w:ind w:firstLine="560"/>
        <w:rPr>
          <w:color w:val="000000" w:themeColor="text1"/>
          <w:sz w:val="28"/>
          <w:szCs w:val="28"/>
        </w:rPr>
      </w:pPr>
      <w:r>
        <w:rPr>
          <w:rFonts w:hint="eastAsia"/>
          <w:color w:val="000000" w:themeColor="text1"/>
          <w:sz w:val="28"/>
          <w:szCs w:val="28"/>
        </w:rPr>
        <w:t>《建设项目环境影响报告表》由具有从事环境影响评价工作资质的单位编制。</w:t>
      </w:r>
    </w:p>
    <w:p>
      <w:pPr>
        <w:ind w:firstLine="560"/>
        <w:rPr>
          <w:color w:val="000000" w:themeColor="text1"/>
          <w:sz w:val="28"/>
          <w:szCs w:val="28"/>
        </w:rPr>
      </w:pPr>
      <w:r>
        <w:rPr>
          <w:color w:val="000000" w:themeColor="text1"/>
          <w:sz w:val="28"/>
          <w:szCs w:val="28"/>
        </w:rPr>
        <w:t>1.</w:t>
      </w:r>
      <w:r>
        <w:rPr>
          <w:rFonts w:hint="eastAsia"/>
          <w:color w:val="000000" w:themeColor="text1"/>
          <w:sz w:val="28"/>
          <w:szCs w:val="28"/>
        </w:rPr>
        <w:t>项目名称</w:t>
      </w:r>
      <w:r>
        <w:rPr>
          <w:color w:val="000000" w:themeColor="text1"/>
          <w:sz w:val="28"/>
          <w:szCs w:val="28"/>
        </w:rPr>
        <w:t>----</w:t>
      </w:r>
      <w:r>
        <w:rPr>
          <w:rFonts w:hint="eastAsia"/>
          <w:color w:val="000000" w:themeColor="text1"/>
          <w:sz w:val="28"/>
          <w:szCs w:val="28"/>
        </w:rPr>
        <w:t>指项目立项批复时的名称，应不超过</w:t>
      </w:r>
      <w:r>
        <w:rPr>
          <w:color w:val="000000" w:themeColor="text1"/>
          <w:sz w:val="28"/>
          <w:szCs w:val="28"/>
        </w:rPr>
        <w:t>30</w:t>
      </w:r>
      <w:r>
        <w:rPr>
          <w:rFonts w:hint="eastAsia"/>
          <w:color w:val="000000" w:themeColor="text1"/>
          <w:sz w:val="28"/>
          <w:szCs w:val="28"/>
        </w:rPr>
        <w:t>个字（两个英文字段作一个汉字）。</w:t>
      </w:r>
    </w:p>
    <w:p>
      <w:pPr>
        <w:ind w:firstLine="560"/>
        <w:rPr>
          <w:color w:val="000000" w:themeColor="text1"/>
          <w:sz w:val="28"/>
          <w:szCs w:val="28"/>
        </w:rPr>
      </w:pPr>
      <w:r>
        <w:rPr>
          <w:color w:val="000000" w:themeColor="text1"/>
          <w:sz w:val="28"/>
          <w:szCs w:val="28"/>
        </w:rPr>
        <w:t>2.</w:t>
      </w:r>
      <w:r>
        <w:rPr>
          <w:rFonts w:hint="eastAsia"/>
          <w:color w:val="000000" w:themeColor="text1"/>
          <w:sz w:val="28"/>
          <w:szCs w:val="28"/>
        </w:rPr>
        <w:t>建设地点</w:t>
      </w:r>
      <w:r>
        <w:rPr>
          <w:color w:val="000000" w:themeColor="text1"/>
          <w:sz w:val="28"/>
          <w:szCs w:val="28"/>
        </w:rPr>
        <w:t>----</w:t>
      </w:r>
      <w:r>
        <w:rPr>
          <w:rFonts w:hint="eastAsia"/>
          <w:color w:val="000000" w:themeColor="text1"/>
          <w:sz w:val="28"/>
          <w:szCs w:val="28"/>
        </w:rPr>
        <w:t>指项目所在地详细地址、公路、铁路应填写起止地点。</w:t>
      </w:r>
    </w:p>
    <w:p>
      <w:pPr>
        <w:ind w:firstLine="560"/>
        <w:rPr>
          <w:color w:val="000000" w:themeColor="text1"/>
          <w:sz w:val="28"/>
          <w:szCs w:val="28"/>
        </w:rPr>
      </w:pPr>
      <w:r>
        <w:rPr>
          <w:color w:val="000000" w:themeColor="text1"/>
          <w:sz w:val="28"/>
          <w:szCs w:val="28"/>
        </w:rPr>
        <w:t>3.</w:t>
      </w:r>
      <w:r>
        <w:rPr>
          <w:rFonts w:hint="eastAsia"/>
          <w:color w:val="000000" w:themeColor="text1"/>
          <w:sz w:val="28"/>
          <w:szCs w:val="28"/>
        </w:rPr>
        <w:t>行业类别</w:t>
      </w:r>
      <w:r>
        <w:rPr>
          <w:color w:val="000000" w:themeColor="text1"/>
          <w:sz w:val="28"/>
          <w:szCs w:val="28"/>
        </w:rPr>
        <w:t>----</w:t>
      </w:r>
      <w:r>
        <w:rPr>
          <w:rFonts w:hint="eastAsia"/>
          <w:color w:val="000000" w:themeColor="text1"/>
          <w:sz w:val="28"/>
          <w:szCs w:val="28"/>
        </w:rPr>
        <w:t>按国标填写。</w:t>
      </w:r>
    </w:p>
    <w:p>
      <w:pPr>
        <w:ind w:firstLine="560"/>
        <w:rPr>
          <w:color w:val="000000" w:themeColor="text1"/>
          <w:sz w:val="28"/>
          <w:szCs w:val="28"/>
        </w:rPr>
      </w:pPr>
      <w:r>
        <w:rPr>
          <w:color w:val="000000" w:themeColor="text1"/>
          <w:sz w:val="28"/>
          <w:szCs w:val="28"/>
        </w:rPr>
        <w:t>4.</w:t>
      </w:r>
      <w:r>
        <w:rPr>
          <w:rFonts w:hint="eastAsia"/>
          <w:color w:val="000000" w:themeColor="text1"/>
          <w:sz w:val="28"/>
          <w:szCs w:val="28"/>
        </w:rPr>
        <w:t>总投资</w:t>
      </w:r>
      <w:r>
        <w:rPr>
          <w:color w:val="000000" w:themeColor="text1"/>
          <w:sz w:val="28"/>
          <w:szCs w:val="28"/>
        </w:rPr>
        <w:t>----</w:t>
      </w:r>
      <w:r>
        <w:rPr>
          <w:rFonts w:hint="eastAsia"/>
          <w:color w:val="000000" w:themeColor="text1"/>
          <w:sz w:val="28"/>
          <w:szCs w:val="28"/>
        </w:rPr>
        <w:t>指项目投资总额。</w:t>
      </w:r>
    </w:p>
    <w:p>
      <w:pPr>
        <w:ind w:firstLine="560"/>
        <w:rPr>
          <w:color w:val="000000" w:themeColor="text1"/>
          <w:sz w:val="28"/>
          <w:szCs w:val="28"/>
        </w:rPr>
      </w:pPr>
      <w:r>
        <w:rPr>
          <w:color w:val="000000" w:themeColor="text1"/>
          <w:sz w:val="28"/>
          <w:szCs w:val="28"/>
        </w:rPr>
        <w:t>5.</w:t>
      </w:r>
      <w:r>
        <w:rPr>
          <w:rFonts w:hint="eastAsia"/>
          <w:color w:val="000000" w:themeColor="text1"/>
          <w:sz w:val="28"/>
          <w:szCs w:val="28"/>
        </w:rPr>
        <w:t>主要环境保护目标</w:t>
      </w:r>
      <w:r>
        <w:rPr>
          <w:color w:val="000000" w:themeColor="text1"/>
          <w:sz w:val="28"/>
          <w:szCs w:val="28"/>
        </w:rPr>
        <w:t>----</w:t>
      </w:r>
      <w:r>
        <w:rPr>
          <w:rFonts w:hint="eastAsia"/>
          <w:color w:val="000000" w:themeColor="text1"/>
          <w:sz w:val="28"/>
          <w:szCs w:val="28"/>
        </w:rPr>
        <w:t>指项目区周围一定范围内集中居民住宅、学校、医院、保护文物、风景名胜区、水源地和生态敏感点等，应尽可能给出保护目标、性质、规模和距厂界距离等。</w:t>
      </w:r>
    </w:p>
    <w:p>
      <w:pPr>
        <w:ind w:firstLine="560"/>
        <w:rPr>
          <w:color w:val="000000" w:themeColor="text1"/>
          <w:sz w:val="28"/>
          <w:szCs w:val="28"/>
        </w:rPr>
      </w:pPr>
      <w:r>
        <w:rPr>
          <w:color w:val="000000" w:themeColor="text1"/>
          <w:sz w:val="28"/>
          <w:szCs w:val="28"/>
        </w:rPr>
        <w:t>6.</w:t>
      </w:r>
      <w:r>
        <w:rPr>
          <w:rFonts w:hint="eastAsia"/>
          <w:color w:val="000000" w:themeColor="text1"/>
          <w:sz w:val="28"/>
          <w:szCs w:val="28"/>
        </w:rPr>
        <w:t>结论与建议</w:t>
      </w:r>
      <w:r>
        <w:rPr>
          <w:color w:val="000000" w:themeColor="text1"/>
          <w:sz w:val="28"/>
          <w:szCs w:val="28"/>
        </w:rPr>
        <w:t>----</w:t>
      </w:r>
      <w:r>
        <w:rPr>
          <w:rFonts w:hint="eastAsia"/>
          <w:color w:val="000000" w:themeColor="text1"/>
          <w:sz w:val="28"/>
          <w:szCs w:val="28"/>
        </w:rPr>
        <w:t>给出本项目清洁生产、达标排放和总量控制的分析结论，确定污染防治措施的有效性，说明本项目对环境造成的影响，给出建设项目环境可行性的明确结论。同时提出减少环境影响的其它建议。</w:t>
      </w:r>
    </w:p>
    <w:p>
      <w:pPr>
        <w:ind w:firstLine="560"/>
        <w:rPr>
          <w:color w:val="000000" w:themeColor="text1"/>
          <w:sz w:val="28"/>
          <w:szCs w:val="28"/>
        </w:rPr>
      </w:pPr>
      <w:r>
        <w:rPr>
          <w:color w:val="000000" w:themeColor="text1"/>
          <w:sz w:val="28"/>
          <w:szCs w:val="28"/>
        </w:rPr>
        <w:t>7.</w:t>
      </w:r>
      <w:r>
        <w:rPr>
          <w:rFonts w:hint="eastAsia"/>
          <w:color w:val="000000" w:themeColor="text1"/>
          <w:sz w:val="28"/>
          <w:szCs w:val="28"/>
        </w:rPr>
        <w:t>预审意见</w:t>
      </w:r>
      <w:r>
        <w:rPr>
          <w:color w:val="000000" w:themeColor="text1"/>
          <w:sz w:val="28"/>
          <w:szCs w:val="28"/>
        </w:rPr>
        <w:t>----</w:t>
      </w:r>
      <w:r>
        <w:rPr>
          <w:rFonts w:hint="eastAsia"/>
          <w:color w:val="000000" w:themeColor="text1"/>
          <w:sz w:val="28"/>
          <w:szCs w:val="28"/>
        </w:rPr>
        <w:t>由行业主管部门填写答复意见，无主管部门项目，可不填。</w:t>
      </w:r>
    </w:p>
    <w:p>
      <w:pPr>
        <w:ind w:firstLine="560"/>
        <w:rPr>
          <w:color w:val="000000" w:themeColor="text1"/>
          <w:sz w:val="28"/>
          <w:szCs w:val="28"/>
        </w:rPr>
      </w:pPr>
      <w:r>
        <w:rPr>
          <w:color w:val="000000" w:themeColor="text1"/>
          <w:sz w:val="28"/>
          <w:szCs w:val="28"/>
        </w:rPr>
        <w:t>8.</w:t>
      </w:r>
      <w:r>
        <w:rPr>
          <w:rFonts w:hint="eastAsia"/>
          <w:color w:val="000000" w:themeColor="text1"/>
          <w:sz w:val="28"/>
          <w:szCs w:val="28"/>
        </w:rPr>
        <w:t>审批意见</w:t>
      </w:r>
      <w:r>
        <w:rPr>
          <w:color w:val="000000" w:themeColor="text1"/>
          <w:sz w:val="28"/>
          <w:szCs w:val="28"/>
        </w:rPr>
        <w:t>----</w:t>
      </w:r>
      <w:r>
        <w:rPr>
          <w:rFonts w:hint="eastAsia"/>
          <w:color w:val="000000" w:themeColor="text1"/>
          <w:sz w:val="28"/>
          <w:szCs w:val="28"/>
        </w:rPr>
        <w:t>由负责审批该项目的环境保护行政主管部门批复。</w:t>
      </w:r>
    </w:p>
    <w:p>
      <w:pPr>
        <w:ind w:firstLine="480"/>
        <w:rPr>
          <w:color w:val="000000" w:themeColor="text1"/>
        </w:rPr>
      </w:pPr>
    </w:p>
    <w:p>
      <w:pPr>
        <w:spacing w:line="360" w:lineRule="auto"/>
        <w:jc w:val="center"/>
        <w:rPr>
          <w:rFonts w:ascii="Times New Roman" w:hAnsi="Times New Roman" w:cs="Times New Roman"/>
          <w:color w:val="000000" w:themeColor="text1"/>
        </w:rPr>
      </w:pPr>
    </w:p>
    <w:p>
      <w:pPr>
        <w:pStyle w:val="90"/>
        <w:ind w:firstLine="320" w:firstLineChars="100"/>
        <w:jc w:val="center"/>
        <w:rPr>
          <w:rFonts w:eastAsiaTheme="minorEastAsia"/>
          <w:color w:val="000000" w:themeColor="text1"/>
          <w:szCs w:val="32"/>
          <w:u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000000" w:themeColor="text1"/>
          <w:sz w:val="30"/>
          <w:szCs w:val="30"/>
          <w:vertAlign w:val="subscript"/>
        </w:rPr>
      </w:pPr>
      <w:r>
        <w:rPr>
          <w:rFonts w:hint="eastAsia" w:ascii="Times New Roman" w:hAnsi="Times New Roman" w:cs="Times New Roman"/>
          <w:b/>
          <w:color w:val="000000" w:themeColor="text1"/>
          <w:sz w:val="30"/>
          <w:szCs w:val="30"/>
        </w:rPr>
        <w:t>建设项目基本情况</w:t>
      </w:r>
      <w:r>
        <w:rPr>
          <w:rFonts w:ascii="Times New Roman" w:hAnsi="Times New Roman" w:cs="Times New Roman"/>
          <w:b/>
          <w:color w:val="000000" w:themeColor="text1"/>
          <w:sz w:val="30"/>
          <w:szCs w:val="30"/>
        </w:rPr>
        <w:t xml:space="preserve">  </w:t>
      </w:r>
      <w:r>
        <w:rPr>
          <w:rFonts w:hint="eastAsia" w:ascii="Times New Roman" w:hAnsi="Times New Roman" w:cs="Times New Roman"/>
          <w:b/>
          <w:color w:val="000000" w:themeColor="text1"/>
          <w:sz w:val="30"/>
          <w:szCs w:val="30"/>
        </w:rPr>
        <w:t xml:space="preserve">                                   (</w:t>
      </w:r>
      <w:r>
        <w:rPr>
          <w:rFonts w:hint="eastAsia" w:ascii="Times New Roman" w:hAnsi="Times New Roman" w:cs="Times New Roman"/>
          <w:b/>
          <w:snapToGrid w:val="0"/>
          <w:color w:val="000000" w:themeColor="text1"/>
          <w:kern w:val="0"/>
          <w:sz w:val="30"/>
          <w:szCs w:val="30"/>
        </w:rPr>
        <w:t>表一)</w:t>
      </w:r>
    </w:p>
    <w:tbl>
      <w:tblPr>
        <w:tblStyle w:val="51"/>
        <w:tblW w:w="92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88"/>
        <w:gridCol w:w="924"/>
        <w:gridCol w:w="1425"/>
        <w:gridCol w:w="850"/>
        <w:gridCol w:w="1010"/>
        <w:gridCol w:w="855"/>
        <w:gridCol w:w="701"/>
        <w:gridCol w:w="738"/>
        <w:gridCol w:w="12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项目名称</w:t>
            </w:r>
          </w:p>
        </w:tc>
        <w:tc>
          <w:tcPr>
            <w:tcW w:w="7798" w:type="dxa"/>
            <w:gridSpan w:val="8"/>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松潘县安宏乡肖包寺村、西宁关村等安全饮水工程建设项目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7"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建设单位</w:t>
            </w:r>
          </w:p>
        </w:tc>
        <w:tc>
          <w:tcPr>
            <w:tcW w:w="7798" w:type="dxa"/>
            <w:gridSpan w:val="8"/>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松潘县安宏乡人民政府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9"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法人代表</w:t>
            </w:r>
          </w:p>
        </w:tc>
        <w:tc>
          <w:tcPr>
            <w:tcW w:w="3199" w:type="dxa"/>
            <w:gridSpan w:val="3"/>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陈兵</w:t>
            </w:r>
          </w:p>
        </w:tc>
        <w:tc>
          <w:tcPr>
            <w:tcW w:w="2566" w:type="dxa"/>
            <w:gridSpan w:val="3"/>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联系人</w:t>
            </w:r>
          </w:p>
        </w:tc>
        <w:tc>
          <w:tcPr>
            <w:tcW w:w="2033" w:type="dxa"/>
            <w:gridSpan w:val="2"/>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马迟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通讯地址</w:t>
            </w:r>
          </w:p>
        </w:tc>
        <w:tc>
          <w:tcPr>
            <w:tcW w:w="7798" w:type="dxa"/>
            <w:gridSpan w:val="8"/>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松潘县安宏乡安宏村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联系电话</w:t>
            </w:r>
          </w:p>
        </w:tc>
        <w:tc>
          <w:tcPr>
            <w:tcW w:w="3199" w:type="dxa"/>
            <w:gridSpan w:val="3"/>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15309046511</w:t>
            </w:r>
          </w:p>
        </w:tc>
        <w:tc>
          <w:tcPr>
            <w:tcW w:w="1010" w:type="dxa"/>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传真</w:t>
            </w:r>
          </w:p>
        </w:tc>
        <w:tc>
          <w:tcPr>
            <w:tcW w:w="855"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1439" w:type="dxa"/>
            <w:gridSpan w:val="2"/>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邮政编码</w:t>
            </w:r>
          </w:p>
        </w:tc>
        <w:tc>
          <w:tcPr>
            <w:tcW w:w="1295" w:type="dxa"/>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623300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5"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建设地点</w:t>
            </w:r>
          </w:p>
        </w:tc>
        <w:tc>
          <w:tcPr>
            <w:tcW w:w="7798" w:type="dxa"/>
            <w:gridSpan w:val="8"/>
            <w:shd w:val="clear" w:color="auto" w:fill="auto"/>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松潘县安宏乡肖包寺村、安宏村、烟囱村、西宁关村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7" w:hRule="atLeast"/>
          <w:jc w:val="center"/>
        </w:trPr>
        <w:tc>
          <w:tcPr>
            <w:tcW w:w="1488" w:type="dxa"/>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立项审批</w:t>
            </w:r>
          </w:p>
          <w:p>
            <w:pPr>
              <w:adjustRightInd w:val="0"/>
              <w:snapToGrid w:val="0"/>
              <w:jc w:val="center"/>
              <w:rPr>
                <w:rFonts w:ascii="Times New Roman" w:hAnsi="Times New Roman" w:cs="Times New Roman"/>
                <w:sz w:val="24"/>
              </w:rPr>
            </w:pPr>
            <w:r>
              <w:rPr>
                <w:rFonts w:hint="eastAsia" w:ascii="Times New Roman" w:hAnsi="Times New Roman" w:cs="Times New Roman"/>
                <w:sz w:val="24"/>
              </w:rPr>
              <w:t>部门</w:t>
            </w:r>
          </w:p>
        </w:tc>
        <w:tc>
          <w:tcPr>
            <w:tcW w:w="3199" w:type="dxa"/>
            <w:gridSpan w:val="3"/>
            <w:vAlign w:val="center"/>
          </w:tcPr>
          <w:p>
            <w:pPr>
              <w:adjustRightInd w:val="0"/>
              <w:snapToGrid w:val="0"/>
              <w:jc w:val="center"/>
              <w:rPr>
                <w:rFonts w:ascii="Times New Roman" w:hAnsi="Times New Roman" w:cs="Times New Roman"/>
                <w:sz w:val="24"/>
              </w:rPr>
            </w:pPr>
            <w:r>
              <w:rPr>
                <w:rFonts w:ascii="Times New Roman" w:hAnsi="Times New Roman" w:cs="Times New Roman"/>
                <w:sz w:val="24"/>
              </w:rPr>
              <w:t>松潘县发展和改革局</w:t>
            </w:r>
          </w:p>
        </w:tc>
        <w:tc>
          <w:tcPr>
            <w:tcW w:w="1865" w:type="dxa"/>
            <w:gridSpan w:val="2"/>
            <w:vAlign w:val="center"/>
          </w:tcPr>
          <w:p>
            <w:pPr>
              <w:adjustRightInd w:val="0"/>
              <w:snapToGrid w:val="0"/>
              <w:jc w:val="center"/>
              <w:rPr>
                <w:rFonts w:ascii="Times New Roman" w:hAnsi="Times New Roman" w:cs="Times New Roman"/>
                <w:sz w:val="24"/>
              </w:rPr>
            </w:pPr>
            <w:r>
              <w:rPr>
                <w:rFonts w:hint="eastAsia" w:ascii="Times New Roman" w:hAnsi="Times New Roman" w:cs="Times New Roman"/>
                <w:sz w:val="24"/>
              </w:rPr>
              <w:t>批准文号</w:t>
            </w:r>
          </w:p>
        </w:tc>
        <w:tc>
          <w:tcPr>
            <w:tcW w:w="2734" w:type="dxa"/>
            <w:gridSpan w:val="3"/>
            <w:vAlign w:val="center"/>
          </w:tcPr>
          <w:p>
            <w:pPr>
              <w:adjustRightInd w:val="0"/>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松发改</w:t>
            </w:r>
            <w:r>
              <w:rPr>
                <w:rFonts w:hint="eastAsia" w:ascii="Times New Roman" w:hAnsi="Times New Roman" w:cs="Times New Roman"/>
                <w:color w:val="000000" w:themeColor="text1"/>
                <w:sz w:val="24"/>
              </w:rPr>
              <w:t>行审[2020]107号</w:t>
            </w:r>
          </w:p>
          <w:p>
            <w:pPr>
              <w:adjustRightInd w:val="0"/>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松发改</w:t>
            </w:r>
            <w:r>
              <w:rPr>
                <w:rFonts w:hint="eastAsia" w:ascii="Times New Roman" w:hAnsi="Times New Roman" w:cs="Times New Roman"/>
                <w:color w:val="000000" w:themeColor="text1"/>
                <w:sz w:val="24"/>
              </w:rPr>
              <w:t>行审[2020]106号</w:t>
            </w:r>
          </w:p>
          <w:p>
            <w:pPr>
              <w:adjustRightInd w:val="0"/>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松发改</w:t>
            </w:r>
            <w:r>
              <w:rPr>
                <w:rFonts w:hint="eastAsia" w:ascii="Times New Roman" w:hAnsi="Times New Roman" w:cs="Times New Roman"/>
                <w:color w:val="000000" w:themeColor="text1"/>
                <w:sz w:val="24"/>
              </w:rPr>
              <w:t>行审[2020]111号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1488" w:type="dxa"/>
            <w:vAlign w:val="center"/>
          </w:tcPr>
          <w:p>
            <w:pPr>
              <w:snapToGrid w:val="0"/>
              <w:spacing w:before="156" w:beforeLines="5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建设性质</w:t>
            </w:r>
          </w:p>
        </w:tc>
        <w:tc>
          <w:tcPr>
            <w:tcW w:w="3199" w:type="dxa"/>
            <w:gridSpan w:val="3"/>
            <w:vAlign w:val="center"/>
          </w:tcPr>
          <w:p>
            <w:pPr>
              <w:snapToGrid w:val="0"/>
              <w:spacing w:before="156" w:beforeLines="5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新建</w:t>
            </w:r>
          </w:p>
        </w:tc>
        <w:tc>
          <w:tcPr>
            <w:tcW w:w="1865" w:type="dxa"/>
            <w:gridSpan w:val="2"/>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行业类别及代码</w:t>
            </w:r>
          </w:p>
        </w:tc>
        <w:tc>
          <w:tcPr>
            <w:tcW w:w="2734" w:type="dxa"/>
            <w:gridSpan w:val="3"/>
            <w:vAlign w:val="center"/>
          </w:tcPr>
          <w:p>
            <w:pPr>
              <w:adjustRightInd w:val="0"/>
              <w:snapToGrid w:val="0"/>
              <w:jc w:val="center"/>
              <w:rPr>
                <w:rFonts w:ascii="Times New Roman" w:hAnsi="Times New Roman" w:cs="Times New Roman"/>
                <w:color w:val="000000" w:themeColor="text1"/>
                <w:sz w:val="24"/>
              </w:rPr>
            </w:pPr>
            <w:r>
              <w:rPr>
                <w:rFonts w:hint="eastAsia" w:ascii="Times New Roman" w:hAnsi="Times New Roman" w:eastAsia="宋体" w:cs="Times New Roman"/>
                <w:color w:val="000000"/>
                <w:sz w:val="24"/>
              </w:rPr>
              <w:t>自来水生产和供应</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D4610</w:t>
            </w:r>
            <w:r>
              <w:rPr>
                <w:rFonts w:ascii="Times New Roman" w:hAnsi="Times New Roman" w:eastAsia="宋体" w:cs="Times New Roman"/>
                <w:color w:val="000000"/>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5"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占地面积</w:t>
            </w:r>
          </w:p>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（平方米）</w:t>
            </w:r>
          </w:p>
        </w:tc>
        <w:tc>
          <w:tcPr>
            <w:tcW w:w="3199" w:type="dxa"/>
            <w:gridSpan w:val="3"/>
            <w:vAlign w:val="center"/>
          </w:tcPr>
          <w:p>
            <w:pPr>
              <w:snapToGrid w:val="0"/>
              <w:ind w:firstLine="240" w:firstLineChars="10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14383</w:t>
            </w:r>
          </w:p>
        </w:tc>
        <w:tc>
          <w:tcPr>
            <w:tcW w:w="1865" w:type="dxa"/>
            <w:gridSpan w:val="2"/>
            <w:vAlign w:val="center"/>
          </w:tcPr>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绿化面积</w:t>
            </w:r>
          </w:p>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（平方米）</w:t>
            </w:r>
          </w:p>
        </w:tc>
        <w:tc>
          <w:tcPr>
            <w:tcW w:w="2734" w:type="dxa"/>
            <w:gridSpan w:val="3"/>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5"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总投资</w:t>
            </w:r>
          </w:p>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（万元）</w:t>
            </w:r>
          </w:p>
        </w:tc>
        <w:tc>
          <w:tcPr>
            <w:tcW w:w="924" w:type="dxa"/>
            <w:vAlign w:val="center"/>
          </w:tcPr>
          <w:p>
            <w:pPr>
              <w:snapToGrid w:val="0"/>
              <w:jc w:val="center"/>
              <w:rPr>
                <w:rFonts w:ascii="Times New Roman" w:hAnsi="Times New Roman" w:cs="Times New Roman"/>
                <w:sz w:val="24"/>
              </w:rPr>
            </w:pPr>
            <w:r>
              <w:rPr>
                <w:rFonts w:hint="eastAsia" w:ascii="Times New Roman" w:hAnsi="Times New Roman" w:cs="Times New Roman"/>
                <w:sz w:val="24"/>
              </w:rPr>
              <w:t>117</w:t>
            </w:r>
          </w:p>
        </w:tc>
        <w:tc>
          <w:tcPr>
            <w:tcW w:w="1425" w:type="dxa"/>
            <w:vAlign w:val="center"/>
          </w:tcPr>
          <w:p>
            <w:pPr>
              <w:snapToGrid w:val="0"/>
              <w:jc w:val="center"/>
              <w:rPr>
                <w:rFonts w:ascii="Times New Roman" w:hAnsi="Times New Roman" w:cs="Times New Roman"/>
                <w:sz w:val="24"/>
              </w:rPr>
            </w:pPr>
            <w:r>
              <w:rPr>
                <w:rFonts w:hint="eastAsia" w:ascii="Times New Roman" w:hAnsi="Times New Roman" w:cs="Times New Roman"/>
                <w:sz w:val="24"/>
              </w:rPr>
              <w:t>其中：环保投资（万元）</w:t>
            </w:r>
          </w:p>
        </w:tc>
        <w:tc>
          <w:tcPr>
            <w:tcW w:w="850" w:type="dxa"/>
            <w:vAlign w:val="center"/>
          </w:tcPr>
          <w:p>
            <w:pPr>
              <w:snapToGrid w:val="0"/>
              <w:jc w:val="center"/>
              <w:rPr>
                <w:rFonts w:ascii="Times New Roman" w:hAnsi="Times New Roman" w:cs="Times New Roman"/>
                <w:sz w:val="24"/>
              </w:rPr>
            </w:pPr>
            <w:r>
              <w:rPr>
                <w:rFonts w:hint="eastAsia" w:ascii="Times New Roman" w:hAnsi="Times New Roman" w:cs="Times New Roman"/>
                <w:sz w:val="24"/>
              </w:rPr>
              <w:t>20.7</w:t>
            </w:r>
          </w:p>
        </w:tc>
        <w:tc>
          <w:tcPr>
            <w:tcW w:w="1865" w:type="dxa"/>
            <w:gridSpan w:val="2"/>
            <w:vAlign w:val="center"/>
          </w:tcPr>
          <w:p>
            <w:pPr>
              <w:snapToGrid w:val="0"/>
              <w:jc w:val="center"/>
              <w:rPr>
                <w:rFonts w:ascii="Times New Roman" w:hAnsi="Times New Roman" w:cs="Times New Roman"/>
                <w:sz w:val="24"/>
              </w:rPr>
            </w:pPr>
            <w:r>
              <w:rPr>
                <w:rFonts w:hint="eastAsia" w:ascii="Times New Roman" w:hAnsi="Times New Roman" w:cs="Times New Roman"/>
                <w:sz w:val="24"/>
              </w:rPr>
              <w:t>环保投资占总投资比例</w:t>
            </w:r>
          </w:p>
        </w:tc>
        <w:tc>
          <w:tcPr>
            <w:tcW w:w="2734" w:type="dxa"/>
            <w:gridSpan w:val="3"/>
            <w:vAlign w:val="center"/>
          </w:tcPr>
          <w:p>
            <w:pPr>
              <w:snapToGrid w:val="0"/>
              <w:jc w:val="center"/>
              <w:rPr>
                <w:rFonts w:ascii="Times New Roman" w:hAnsi="Times New Roman" w:cs="Times New Roman"/>
                <w:sz w:val="24"/>
              </w:rPr>
            </w:pPr>
            <w:r>
              <w:rPr>
                <w:rFonts w:hint="eastAsia" w:ascii="Times New Roman" w:hAnsi="Times New Roman" w:cs="Times New Roman"/>
                <w:sz w:val="24"/>
              </w:rPr>
              <w:t>17.69</w:t>
            </w:r>
            <w:r>
              <w:rPr>
                <w:rFonts w:ascii="Times New Roman" w:hAnsi="Times New Roman" w:cs="Times New Roman"/>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5" w:hRule="atLeast"/>
          <w:jc w:val="center"/>
        </w:trPr>
        <w:tc>
          <w:tcPr>
            <w:tcW w:w="1488" w:type="dxa"/>
            <w:vAlign w:val="center"/>
          </w:tcPr>
          <w:p>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评价经费</w:t>
            </w:r>
          </w:p>
          <w:p>
            <w:pPr>
              <w:snapToGrid w:val="0"/>
              <w:jc w:val="center"/>
              <w:rPr>
                <w:rFonts w:ascii="Times New Roman" w:hAnsi="Times New Roman" w:cs="Times New Roman"/>
                <w:color w:val="000000" w:themeColor="text1"/>
                <w:sz w:val="24"/>
              </w:rPr>
            </w:pPr>
            <w:r>
              <w:rPr>
                <w:rFonts w:hint="eastAsia" w:ascii="Times New Roman" w:hAnsi="Times New Roman" w:cs="Times New Roman"/>
                <w:color w:val="000000" w:themeColor="text1"/>
                <w:sz w:val="24"/>
              </w:rPr>
              <w:t>（万元）</w:t>
            </w:r>
          </w:p>
        </w:tc>
        <w:tc>
          <w:tcPr>
            <w:tcW w:w="3199" w:type="dxa"/>
            <w:gridSpan w:val="3"/>
            <w:vAlign w:val="center"/>
          </w:tcPr>
          <w:p>
            <w:pPr>
              <w:snapToGrid w:val="0"/>
              <w:spacing w:before="156" w:beforeLines="50"/>
              <w:jc w:val="center"/>
              <w:rPr>
                <w:rFonts w:ascii="Times New Roman" w:hAnsi="Times New Roman" w:cs="Times New Roman"/>
                <w:sz w:val="24"/>
              </w:rPr>
            </w:pPr>
            <w:r>
              <w:rPr>
                <w:rFonts w:ascii="Times New Roman" w:hAnsi="Times New Roman" w:cs="Times New Roman"/>
                <w:sz w:val="24"/>
              </w:rPr>
              <w:t>/</w:t>
            </w:r>
          </w:p>
        </w:tc>
        <w:tc>
          <w:tcPr>
            <w:tcW w:w="1865" w:type="dxa"/>
            <w:gridSpan w:val="2"/>
            <w:vAlign w:val="center"/>
          </w:tcPr>
          <w:p>
            <w:pPr>
              <w:snapToGrid w:val="0"/>
              <w:jc w:val="center"/>
              <w:rPr>
                <w:rFonts w:ascii="Times New Roman" w:hAnsi="Times New Roman" w:cs="Times New Roman"/>
                <w:sz w:val="24"/>
              </w:rPr>
            </w:pPr>
            <w:r>
              <w:rPr>
                <w:rFonts w:hint="eastAsia" w:ascii="Times New Roman" w:hAnsi="Times New Roman" w:cs="Times New Roman"/>
                <w:sz w:val="24"/>
              </w:rPr>
              <w:t>投产日期</w:t>
            </w:r>
          </w:p>
        </w:tc>
        <w:tc>
          <w:tcPr>
            <w:tcW w:w="2734" w:type="dxa"/>
            <w:gridSpan w:val="3"/>
            <w:vAlign w:val="center"/>
          </w:tcPr>
          <w:p>
            <w:pPr>
              <w:snapToGrid w:val="0"/>
              <w:jc w:val="center"/>
              <w:rPr>
                <w:rFonts w:ascii="Times New Roman" w:hAnsi="Times New Roman" w:cs="Times New Roman"/>
                <w:sz w:val="24"/>
              </w:rPr>
            </w:pPr>
            <w:r>
              <w:rPr>
                <w:rFonts w:ascii="Times New Roman" w:hAnsi="Times New Roman" w:cs="Times New Roman"/>
                <w:sz w:val="24"/>
              </w:rPr>
              <w:t>20</w:t>
            </w:r>
            <w:r>
              <w:rPr>
                <w:rFonts w:hint="eastAsia" w:ascii="Times New Roman" w:hAnsi="Times New Roman" w:cs="Times New Roman"/>
                <w:sz w:val="24"/>
              </w:rPr>
              <w:t>20年9月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17" w:hRule="atLeast"/>
          <w:jc w:val="center"/>
        </w:trPr>
        <w:tc>
          <w:tcPr>
            <w:tcW w:w="9286" w:type="dxa"/>
            <w:gridSpan w:val="9"/>
            <w:tcBorders>
              <w:bottom w:val="single" w:color="auto" w:sz="4" w:space="0"/>
            </w:tcBorders>
          </w:tcPr>
          <w:p>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项目内容及规模：</w:t>
            </w:r>
          </w:p>
          <w:p>
            <w:pPr>
              <w:spacing w:line="360" w:lineRule="auto"/>
              <w:rPr>
                <w:rFonts w:ascii="Times New Roman" w:hAnsi="Times New Roman" w:cs="Times New Roman"/>
                <w:b/>
                <w:color w:val="000000" w:themeColor="text1"/>
                <w:sz w:val="28"/>
                <w:szCs w:val="28"/>
              </w:rPr>
            </w:pPr>
            <w:r>
              <w:rPr>
                <w:rFonts w:hint="eastAsia" w:ascii="Times New Roman" w:hAnsi="Times New Roman" w:cs="Times New Roman"/>
                <w:b/>
                <w:color w:val="000000" w:themeColor="text1"/>
                <w:sz w:val="28"/>
                <w:szCs w:val="28"/>
              </w:rPr>
              <w:t>一、建设项目由来</w:t>
            </w:r>
          </w:p>
          <w:p>
            <w:pPr>
              <w:adjustRightInd w:val="0"/>
              <w:snapToGrid w:val="0"/>
              <w:spacing w:line="360" w:lineRule="auto"/>
              <w:ind w:firstLine="480" w:firstLineChars="200"/>
              <w:rPr>
                <w:rFonts w:asciiTheme="minorEastAsia" w:hAnsiTheme="minorEastAsia" w:cstheme="minorEastAsia"/>
                <w:sz w:val="24"/>
                <w:lang w:val="zh-CN"/>
              </w:rPr>
            </w:pPr>
            <w:r>
              <w:rPr>
                <w:rFonts w:hint="eastAsia" w:asciiTheme="minorEastAsia" w:hAnsiTheme="minorEastAsia" w:cstheme="minorEastAsia"/>
                <w:sz w:val="24"/>
                <w:lang w:val="zh-CN"/>
              </w:rPr>
              <w:t>松潘县水资源量在时间、区域分布上极不平衡，在时间分配上大部分水量集中在6-9月，而3-5月水量仅占7</w:t>
            </w:r>
            <w:r>
              <w:rPr>
                <w:rStyle w:val="61"/>
                <w:rFonts w:hint="eastAsia" w:asciiTheme="minorEastAsia" w:hAnsiTheme="minorEastAsia" w:cstheme="minorEastAsia"/>
                <w:sz w:val="24"/>
                <w:szCs w:val="24"/>
              </w:rPr>
              <w:t>%</w:t>
            </w:r>
            <w:r>
              <w:rPr>
                <w:rFonts w:hint="eastAsia" w:asciiTheme="minorEastAsia" w:hAnsiTheme="minorEastAsia" w:cstheme="minorEastAsia"/>
                <w:sz w:val="24"/>
                <w:lang w:val="zh-CN"/>
              </w:rPr>
              <w:t>-20</w:t>
            </w:r>
            <w:r>
              <w:rPr>
                <w:rFonts w:hint="eastAsia" w:asciiTheme="minorEastAsia" w:hAnsiTheme="minorEastAsia" w:cstheme="minorEastAsia"/>
                <w:sz w:val="24"/>
              </w:rPr>
              <w:t>%</w:t>
            </w:r>
            <w:r>
              <w:rPr>
                <w:rFonts w:hint="eastAsia" w:asciiTheme="minorEastAsia" w:hAnsiTheme="minorEastAsia" w:cstheme="minorEastAsia"/>
                <w:sz w:val="24"/>
                <w:lang w:val="zh-CN"/>
              </w:rPr>
              <w:t>，极易造成局部性洪涝及区域性、季节性干旱灾害。旱灾分类：冬干和</w:t>
            </w:r>
            <w:r>
              <w:rPr>
                <w:rFonts w:hint="eastAsia" w:asciiTheme="minorEastAsia" w:hAnsiTheme="minorEastAsia" w:cstheme="minorEastAsia"/>
                <w:sz w:val="24"/>
              </w:rPr>
              <w:t>春</w:t>
            </w:r>
            <w:r>
              <w:rPr>
                <w:rFonts w:hint="eastAsia" w:asciiTheme="minorEastAsia" w:hAnsiTheme="minorEastAsia" w:cstheme="minorEastAsia"/>
                <w:sz w:val="24"/>
                <w:lang w:val="zh-CN"/>
              </w:rPr>
              <w:t>、夏、伏旱，且主要是</w:t>
            </w:r>
            <w:r>
              <w:rPr>
                <w:rFonts w:hint="eastAsia" w:asciiTheme="minorEastAsia" w:hAnsiTheme="minorEastAsia" w:cstheme="minorEastAsia"/>
                <w:sz w:val="24"/>
              </w:rPr>
              <w:t>春</w:t>
            </w:r>
            <w:r>
              <w:rPr>
                <w:rFonts w:hint="eastAsia" w:asciiTheme="minorEastAsia" w:hAnsiTheme="minorEastAsia" w:cstheme="minorEastAsia"/>
                <w:sz w:val="24"/>
                <w:lang w:val="zh-CN"/>
              </w:rPr>
              <w:t>旱和夏旱，据干旱统计分析，40年间，出现区域性春旱17年，机率43</w:t>
            </w:r>
            <w:r>
              <w:rPr>
                <w:rFonts w:hint="eastAsia" w:asciiTheme="minorEastAsia" w:hAnsiTheme="minorEastAsia" w:cstheme="minorEastAsia"/>
                <w:sz w:val="24"/>
              </w:rPr>
              <w:t>%</w:t>
            </w:r>
            <w:r>
              <w:rPr>
                <w:rFonts w:hint="eastAsia" w:asciiTheme="minorEastAsia" w:hAnsiTheme="minorEastAsia" w:cstheme="minorEastAsia"/>
                <w:sz w:val="24"/>
                <w:lang w:val="zh-CN"/>
              </w:rPr>
              <w:t>，出现夏旱29年，机率73</w:t>
            </w:r>
            <w:r>
              <w:rPr>
                <w:rFonts w:hint="eastAsia" w:asciiTheme="minorEastAsia" w:hAnsiTheme="minorEastAsia" w:cstheme="minorEastAsia"/>
                <w:sz w:val="24"/>
              </w:rPr>
              <w:t>%</w:t>
            </w:r>
            <w:r>
              <w:rPr>
                <w:rFonts w:hint="eastAsia" w:asciiTheme="minorEastAsia" w:hAnsiTheme="minorEastAsia" w:cstheme="minorEastAsia"/>
                <w:sz w:val="24"/>
                <w:lang w:val="zh-CN"/>
              </w:rPr>
              <w:t>，其中严重夏旱10年，机率25</w:t>
            </w:r>
            <w:r>
              <w:rPr>
                <w:rFonts w:hint="eastAsia" w:asciiTheme="minorEastAsia" w:hAnsiTheme="minorEastAsia" w:cstheme="minorEastAsia"/>
                <w:sz w:val="24"/>
              </w:rPr>
              <w:t>%</w:t>
            </w:r>
            <w:r>
              <w:rPr>
                <w:rFonts w:hint="eastAsia" w:asciiTheme="minorEastAsia" w:hAnsiTheme="minorEastAsia" w:cstheme="minorEastAsia"/>
                <w:sz w:val="24"/>
                <w:lang w:val="zh-CN"/>
              </w:rPr>
              <w:t>。在地域分配上深丘和山地地表径流量占总量的70</w:t>
            </w:r>
            <w:r>
              <w:rPr>
                <w:rFonts w:hint="eastAsia" w:asciiTheme="minorEastAsia" w:hAnsiTheme="minorEastAsia" w:cstheme="minorEastAsia"/>
                <w:sz w:val="24"/>
              </w:rPr>
              <w:t>%</w:t>
            </w:r>
            <w:r>
              <w:rPr>
                <w:rFonts w:hint="eastAsia" w:asciiTheme="minorEastAsia" w:hAnsiTheme="minorEastAsia" w:cstheme="minorEastAsia"/>
                <w:sz w:val="24"/>
                <w:lang w:val="zh-CN"/>
              </w:rPr>
              <w:t>，而耕地和人口相对集中的深、浅丘区水资源量并不富裕。</w:t>
            </w:r>
          </w:p>
          <w:p>
            <w:pPr>
              <w:adjustRightInd w:val="0"/>
              <w:snapToGrid w:val="0"/>
              <w:spacing w:line="360" w:lineRule="auto"/>
              <w:ind w:firstLine="480" w:firstLineChars="200"/>
              <w:rPr>
                <w:kern w:val="0"/>
                <w:sz w:val="24"/>
                <w:szCs w:val="20"/>
              </w:rPr>
            </w:pPr>
            <w:r>
              <w:rPr>
                <w:rFonts w:hint="eastAsia"/>
                <w:sz w:val="24"/>
              </w:rPr>
              <w:t>安宏乡</w:t>
            </w:r>
            <w:r>
              <w:rPr>
                <w:rFonts w:hint="eastAsia"/>
                <w:kern w:val="0"/>
                <w:sz w:val="24"/>
                <w:szCs w:val="20"/>
              </w:rPr>
              <w:t>肖包寺村原来饮水项目仅能满足全村群众夏秋两季饮水需求，冬春两季枯水期水量减少部分群众无水可用。为改善当地群众生产生活条件，保障人民群众生活用水，发展当地经济，亟需建设安宏乡肖包村安全饮水建设项目。</w:t>
            </w:r>
          </w:p>
          <w:p>
            <w:pPr>
              <w:adjustRightInd w:val="0"/>
              <w:snapToGrid w:val="0"/>
              <w:spacing w:line="360" w:lineRule="auto"/>
              <w:ind w:firstLine="480" w:firstLineChars="200"/>
              <w:rPr>
                <w:kern w:val="0"/>
                <w:sz w:val="24"/>
                <w:szCs w:val="20"/>
              </w:rPr>
            </w:pPr>
            <w:r>
              <w:rPr>
                <w:rFonts w:hint="eastAsia"/>
                <w:kern w:val="0"/>
                <w:sz w:val="24"/>
                <w:szCs w:val="20"/>
              </w:rPr>
              <w:t>安宏乡烟囱村位于安宏乡南部，辖三个村民小组，属汉、藏民族聚居地。该村为已摘帽贫困村，为了实现该村村民持续增收，实现稳定脱贫，但因该村三个小组饮水工程严重老化、损坏，导致冬季村民无法使用自来水。为切实保障农民能方便的使用上清洁饮用水，亟需建设烟囱村饮水项目。</w:t>
            </w:r>
          </w:p>
          <w:p>
            <w:pPr>
              <w:adjustRightInd w:val="0"/>
              <w:snapToGrid w:val="0"/>
              <w:spacing w:line="360" w:lineRule="auto"/>
              <w:ind w:firstLine="480" w:firstLineChars="200"/>
              <w:rPr>
                <w:kern w:val="0"/>
                <w:sz w:val="24"/>
                <w:szCs w:val="20"/>
              </w:rPr>
            </w:pPr>
            <w:r>
              <w:rPr>
                <w:rFonts w:hint="eastAsia"/>
                <w:kern w:val="0"/>
                <w:sz w:val="24"/>
                <w:szCs w:val="20"/>
              </w:rPr>
              <w:t>多年来安宏乡安宏村和西宁关村饮水困难，给当地农牧民群众的生产、生活、物资流通带来了极大不便，严重影响了人</w:t>
            </w:r>
            <w:r>
              <w:rPr>
                <w:rStyle w:val="61"/>
                <w:rFonts w:hint="eastAsia"/>
              </w:rPr>
              <w:t>畜</w:t>
            </w:r>
            <w:r>
              <w:rPr>
                <w:rFonts w:hint="eastAsia"/>
                <w:kern w:val="0"/>
                <w:sz w:val="24"/>
                <w:szCs w:val="20"/>
              </w:rPr>
              <w:t>饮水。因此修建该村安全饮水是当务之急，实现村民多年来饮水难得到彻底解决的愿望。</w:t>
            </w:r>
          </w:p>
          <w:p>
            <w:pPr>
              <w:adjustRightInd w:val="0"/>
              <w:snapToGrid w:val="0"/>
              <w:spacing w:line="360" w:lineRule="auto"/>
              <w:ind w:firstLine="480" w:firstLineChars="200"/>
              <w:rPr>
                <w:sz w:val="24"/>
                <w:lang w:val="zh-CN"/>
              </w:rPr>
            </w:pPr>
            <w:r>
              <w:rPr>
                <w:sz w:val="24"/>
              </w:rPr>
              <w:t>饮水工程的建设，对于改善群众基本的生产、生活条件，保障人</w:t>
            </w:r>
            <w:r>
              <w:rPr>
                <w:rFonts w:hint="eastAsia"/>
                <w:sz w:val="24"/>
              </w:rPr>
              <w:t>民</w:t>
            </w:r>
            <w:r>
              <w:rPr>
                <w:sz w:val="24"/>
              </w:rPr>
              <w:t>群众安居乐业，促进社会稳定和经济发展具有重要的社会意义，是十分必要的，也是十分迫切的。</w:t>
            </w:r>
          </w:p>
          <w:p>
            <w:pPr>
              <w:adjustRightInd w:val="0"/>
              <w:snapToGrid w:val="0"/>
              <w:spacing w:line="360" w:lineRule="auto"/>
              <w:ind w:firstLine="480" w:firstLineChars="200"/>
              <w:rPr>
                <w:rFonts w:ascii="Times New Roman" w:hAnsi="Times New Roman" w:cs="Times New Roman"/>
                <w:sz w:val="24"/>
              </w:rPr>
            </w:pPr>
            <w:r>
              <w:rPr>
                <w:rFonts w:hint="eastAsia" w:cs="Times New Roman"/>
                <w:sz w:val="24"/>
              </w:rPr>
              <w:t>松潘县安宏乡肖包寺村、西宁关村等安全饮水工程建设项目位于阿坝州松潘县安宏乡，涉及松潘县安宏乡肖包寺村、西宁关村、安宏村、烟囱村等4个村，共5个项目点。本工程拟解决松潘县安宏乡共计970人的饮水安全问题，根据《村镇供水工程设计规范》，本工程各项目点供水规模为均小于200m</w:t>
            </w:r>
            <w:r>
              <w:rPr>
                <w:rFonts w:hint="eastAsia" w:cs="Times New Roman"/>
                <w:sz w:val="24"/>
                <w:vertAlign w:val="superscript"/>
              </w:rPr>
              <w:t>3</w:t>
            </w:r>
            <w:r>
              <w:rPr>
                <w:rFonts w:hint="eastAsia" w:cs="Times New Roman"/>
                <w:sz w:val="24"/>
              </w:rPr>
              <w:t>/d，工程类型为Ⅴ型。</w:t>
            </w:r>
            <w:r>
              <w:rPr>
                <w:rFonts w:hint="eastAsia"/>
                <w:kern w:val="0"/>
                <w:sz w:val="24"/>
                <w:szCs w:val="20"/>
              </w:rPr>
              <w:t>本工程建设内容为：肖包寺村安全饮水项目：新建管道长5000米，蓄水池1个（100立方米），沉淀池1个；肖包寺村饮水工程建设项目：新建引泉池1个，沉淀池1个，消毒池1个，蓄水池1个（100立方米），饮水管道4公里；西宁关村老村安全饮水项目：新建引泉池1个，蓄水池1个（100立方米），沉淀池1个，饮水管线长3公里及安装管道；</w:t>
            </w:r>
            <w:r>
              <w:rPr>
                <w:kern w:val="0"/>
                <w:sz w:val="24"/>
                <w:szCs w:val="20"/>
              </w:rPr>
              <w:t>烟囱村</w:t>
            </w:r>
            <w:r>
              <w:rPr>
                <w:rFonts w:hint="eastAsia"/>
                <w:kern w:val="0"/>
                <w:sz w:val="24"/>
                <w:szCs w:val="20"/>
              </w:rPr>
              <w:t>饮水项目：新建给水管道全长850m，蓄水池2</w:t>
            </w:r>
            <w:r>
              <w:rPr>
                <w:rStyle w:val="61"/>
                <w:rFonts w:hint="eastAsia"/>
              </w:rPr>
              <w:t>个</w:t>
            </w:r>
            <w:r>
              <w:rPr>
                <w:rFonts w:hint="eastAsia"/>
                <w:kern w:val="0"/>
                <w:sz w:val="24"/>
                <w:szCs w:val="20"/>
              </w:rPr>
              <w:t>（18立方米）、阀门井2个；安宏村饮水工程：新建给水管道全长1500m，蓄水池（20立方米）、阀门井2个。</w:t>
            </w:r>
          </w:p>
          <w:p>
            <w:pPr>
              <w:spacing w:line="360" w:lineRule="auto"/>
              <w:ind w:firstLine="480" w:firstLineChars="200"/>
              <w:rPr>
                <w:rFonts w:ascii="t" w:hAnsi="t"/>
                <w:color w:val="000000" w:themeColor="text1"/>
                <w:sz w:val="24"/>
              </w:rPr>
            </w:pPr>
            <w:r>
              <w:rPr>
                <w:rFonts w:ascii="t" w:hAnsi="t"/>
                <w:color w:val="000000" w:themeColor="text1"/>
                <w:sz w:val="24"/>
              </w:rPr>
              <w:t>根据《中华人民共和国环境保护法》、《中华人民共和国环境影响评价法》和《建设项目环境保护管理办法》国务院令第682号</w:t>
            </w:r>
            <w:r>
              <w:rPr>
                <w:rFonts w:hint="eastAsia" w:ascii="t" w:hAnsi="t"/>
                <w:color w:val="000000" w:themeColor="text1"/>
                <w:sz w:val="24"/>
              </w:rPr>
              <w:t>的要求</w:t>
            </w:r>
            <w:r>
              <w:rPr>
                <w:rFonts w:ascii="t" w:hAnsi="t"/>
                <w:color w:val="000000" w:themeColor="text1"/>
                <w:sz w:val="24"/>
              </w:rPr>
              <w:t>，该项目需进行环境影响评价工作</w:t>
            </w:r>
            <w:r>
              <w:rPr>
                <w:rFonts w:hint="eastAsia" w:ascii="t" w:hAnsi="t"/>
                <w:color w:val="000000" w:themeColor="text1"/>
                <w:sz w:val="24"/>
              </w:rPr>
              <w:t>。</w:t>
            </w:r>
            <w:r>
              <w:rPr>
                <w:rFonts w:ascii="t" w:hAnsi="t"/>
                <w:color w:val="000000" w:themeColor="text1"/>
                <w:sz w:val="24"/>
              </w:rPr>
              <w:t>依据《建设项目环境影响评价分类管理名录》</w:t>
            </w:r>
            <w:r>
              <w:rPr>
                <w:rFonts w:hint="eastAsia" w:ascii="t" w:hAnsi="t"/>
                <w:color w:val="000000" w:themeColor="text1"/>
                <w:sz w:val="24"/>
              </w:rPr>
              <w:t>（环境保护部44号令）</w:t>
            </w:r>
            <w:r>
              <w:rPr>
                <w:rFonts w:ascii="t" w:hAnsi="t"/>
                <w:color w:val="000000" w:themeColor="text1"/>
                <w:sz w:val="24"/>
              </w:rPr>
              <w:t>的规定，</w:t>
            </w:r>
            <w:r>
              <w:rPr>
                <w:rFonts w:ascii="t" w:hAnsi="t"/>
                <w:sz w:val="24"/>
              </w:rPr>
              <w:t>该项目属于“</w:t>
            </w:r>
            <w:r>
              <w:rPr>
                <w:rFonts w:hint="eastAsia" w:ascii="t" w:hAnsi="t"/>
                <w:sz w:val="24"/>
              </w:rPr>
              <w:t>三十三、水的生产和供应业，95.自来水生产和供应工程的全部</w:t>
            </w:r>
            <w:r>
              <w:rPr>
                <w:rFonts w:ascii="t" w:hAnsi="t"/>
                <w:sz w:val="24"/>
              </w:rPr>
              <w:t>”，</w:t>
            </w:r>
            <w:r>
              <w:rPr>
                <w:rFonts w:ascii="t" w:hAnsi="t"/>
                <w:color w:val="000000" w:themeColor="text1"/>
                <w:sz w:val="24"/>
              </w:rPr>
              <w:t>该行业应编制环境影响报告表。建设单位委托</w:t>
            </w:r>
            <w:r>
              <w:rPr>
                <w:rFonts w:hint="eastAsia" w:ascii="t" w:hAnsi="t"/>
                <w:color w:val="000000" w:themeColor="text1"/>
                <w:sz w:val="24"/>
              </w:rPr>
              <w:t>四川省新尚昇环保咨询有限公司</w:t>
            </w:r>
            <w:r>
              <w:rPr>
                <w:rFonts w:ascii="t" w:hAnsi="t"/>
                <w:color w:val="000000" w:themeColor="text1"/>
                <w:sz w:val="24"/>
              </w:rPr>
              <w:t>承担该项目的环境影响报告表编制。接受委托后，我司组织人员进行现场踏勘、收集资料，根</w:t>
            </w:r>
            <w:r>
              <w:rPr>
                <w:rFonts w:hint="eastAsia" w:ascii="t" w:hAnsi="t"/>
                <w:color w:val="000000" w:themeColor="text1"/>
                <w:sz w:val="24"/>
              </w:rPr>
              <w:t>据国家有关法律 和环境影响评价技术导则，编制了《</w:t>
            </w:r>
            <w:r>
              <w:rPr>
                <w:rFonts w:hint="eastAsia" w:ascii="Times New Roman" w:hAnsi="Times New Roman" w:cs="Times New Roman"/>
                <w:color w:val="000000" w:themeColor="text1"/>
                <w:sz w:val="24"/>
              </w:rPr>
              <w:t>松潘县安宏乡肖包寺村、西宁关村等安全饮水工程建设项目</w:t>
            </w:r>
            <w:r>
              <w:rPr>
                <w:rFonts w:hint="eastAsia" w:ascii="t" w:hAnsi="t"/>
                <w:color w:val="000000" w:themeColor="text1"/>
                <w:sz w:val="24"/>
              </w:rPr>
              <w:t>环境影晌报告表》，现上报审查。</w:t>
            </w:r>
          </w:p>
          <w:p>
            <w:pPr>
              <w:spacing w:line="360" w:lineRule="auto"/>
              <w:rPr>
                <w:rFonts w:ascii="Times New Roman" w:hAnsi="Times New Roman" w:cs="Times New Roman"/>
                <w:b/>
                <w:color w:val="000000" w:themeColor="text1"/>
                <w:sz w:val="28"/>
                <w:szCs w:val="28"/>
              </w:rPr>
            </w:pPr>
            <w:r>
              <w:rPr>
                <w:rFonts w:hint="eastAsia" w:ascii="Times New Roman" w:hAnsi="Times New Roman" w:cs="Times New Roman"/>
                <w:b/>
                <w:color w:val="000000" w:themeColor="text1"/>
                <w:sz w:val="28"/>
                <w:szCs w:val="28"/>
              </w:rPr>
              <w:t>二、规划符合性及选址合理性分析</w:t>
            </w:r>
          </w:p>
          <w:p>
            <w:pPr>
              <w:spacing w:line="360" w:lineRule="auto"/>
              <w:ind w:firstLine="480" w:firstLineChars="200"/>
              <w:rPr>
                <w:rFonts w:ascii="Times New Roman" w:hAnsi="Times New Roman" w:cs="Times New Roman"/>
                <w:b/>
                <w:sz w:val="24"/>
              </w:rPr>
            </w:pPr>
            <w:r>
              <w:rPr>
                <w:rFonts w:ascii="Times New Roman" w:hAnsi="Times New Roman" w:cs="Times New Roman"/>
                <w:b/>
                <w:sz w:val="24"/>
              </w:rPr>
              <w:t>1、</w:t>
            </w:r>
            <w:r>
              <w:rPr>
                <w:rFonts w:hint="eastAsia" w:ascii="Times New Roman" w:hAnsi="Times New Roman" w:cs="Times New Roman"/>
                <w:b/>
                <w:sz w:val="24"/>
              </w:rPr>
              <w:t>产业政策符合性分析</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color w:val="000000"/>
                <w:sz w:val="24"/>
              </w:rPr>
              <w:t>本项目为饮水工程项目，根据国家发展和改革委员会国家发改委令第29号令修正版《产业结构调整指导目录》（2019年本），本项目属于“第一类 鼓励类” 中“二、水利”中的“4、农村饮水安全工程”，属于鼓励类</w:t>
            </w:r>
            <w:r>
              <w:rPr>
                <w:rFonts w:ascii="Times New Roman" w:hAnsi="Times New Roman" w:eastAsia="宋体" w:cs="Times New Roman"/>
                <w:color w:val="000000"/>
                <w:sz w:val="24"/>
              </w:rPr>
              <w:t>，符合相关法律法规和政策规定，据此，松潘县发展和改革局以松发改[20</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1</w:t>
            </w:r>
            <w:r>
              <w:rPr>
                <w:rFonts w:hint="eastAsia" w:eastAsia="宋体" w:cs="Times New Roman"/>
                <w:color w:val="000000"/>
                <w:sz w:val="24"/>
              </w:rPr>
              <w:t>06</w:t>
            </w:r>
            <w:r>
              <w:rPr>
                <w:rFonts w:ascii="Times New Roman" w:hAnsi="Times New Roman" w:eastAsia="宋体" w:cs="Times New Roman"/>
                <w:color w:val="000000"/>
                <w:sz w:val="24"/>
              </w:rPr>
              <w:t>号</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[20</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1</w:t>
            </w:r>
            <w:r>
              <w:rPr>
                <w:rFonts w:hint="eastAsia" w:eastAsia="宋体" w:cs="Times New Roman"/>
                <w:color w:val="000000"/>
                <w:sz w:val="24"/>
              </w:rPr>
              <w:t>07</w:t>
            </w:r>
            <w:r>
              <w:rPr>
                <w:rFonts w:ascii="Times New Roman" w:hAnsi="Times New Roman" w:eastAsia="宋体" w:cs="Times New Roman"/>
                <w:color w:val="000000"/>
                <w:sz w:val="24"/>
              </w:rPr>
              <w:t>号</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[20</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111</w:t>
            </w:r>
            <w:r>
              <w:rPr>
                <w:rFonts w:ascii="Times New Roman" w:hAnsi="Times New Roman" w:eastAsia="宋体" w:cs="Times New Roman"/>
                <w:color w:val="000000"/>
                <w:sz w:val="24"/>
              </w:rPr>
              <w:t>号下达了</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关于</w:t>
            </w:r>
            <w:r>
              <w:rPr>
                <w:rFonts w:hint="eastAsia" w:eastAsia="宋体" w:cs="Times New Roman"/>
                <w:color w:val="000000"/>
                <w:sz w:val="24"/>
              </w:rPr>
              <w:t>安宏乡肖包寺村饮水工程建设项目建议书的批复》、《关于安宏乡肖包寺村安全饮水项目建议书的批复</w:t>
            </w:r>
            <w:r>
              <w:rPr>
                <w:rFonts w:hint="eastAsia" w:ascii="Times New Roman" w:hAnsi="Times New Roman" w:eastAsia="宋体" w:cs="Times New Roman"/>
                <w:color w:val="000000"/>
                <w:sz w:val="24"/>
              </w:rPr>
              <w:t>》</w:t>
            </w:r>
            <w:r>
              <w:rPr>
                <w:rFonts w:hint="eastAsia" w:eastAsia="宋体" w:cs="Times New Roman"/>
                <w:color w:val="000000"/>
                <w:sz w:val="24"/>
              </w:rPr>
              <w:t>、《关于安宏乡西宁关村老村安全饮水项目建议书的批复》（详见附件1），</w:t>
            </w:r>
            <w:r>
              <w:rPr>
                <w:rFonts w:ascii="Times New Roman" w:hAnsi="Times New Roman" w:eastAsia="宋体" w:cs="Times New Roman"/>
                <w:color w:val="000000"/>
                <w:sz w:val="24"/>
              </w:rPr>
              <w:t>同意</w:t>
            </w:r>
            <w:r>
              <w:rPr>
                <w:rFonts w:hint="eastAsia" w:ascii="Times New Roman" w:hAnsi="Times New Roman" w:eastAsia="宋体" w:cs="Times New Roman"/>
                <w:color w:val="000000"/>
                <w:sz w:val="24"/>
              </w:rPr>
              <w:t>本</w:t>
            </w:r>
            <w:r>
              <w:rPr>
                <w:rFonts w:ascii="Times New Roman" w:hAnsi="Times New Roman" w:eastAsia="宋体" w:cs="Times New Roman"/>
                <w:color w:val="000000"/>
                <w:sz w:val="24"/>
              </w:rPr>
              <w:t>项目实施。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表1-1  项目政策文件批准情况</w:t>
            </w:r>
          </w:p>
          <w:tbl>
            <w:tblPr>
              <w:tblStyle w:val="52"/>
              <w:tblW w:w="90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30"/>
              <w:gridCol w:w="3030"/>
              <w:gridCol w:w="1275"/>
              <w:gridCol w:w="1440"/>
              <w:gridCol w:w="1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bottom w:val="single" w:color="auto" w:sz="12" w:space="0"/>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序号</w:t>
                  </w:r>
                </w:p>
              </w:tc>
              <w:tc>
                <w:tcPr>
                  <w:tcW w:w="1230" w:type="dxa"/>
                  <w:tcBorders>
                    <w:bottom w:val="single" w:color="auto" w:sz="12" w:space="0"/>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项目名称</w:t>
                  </w:r>
                </w:p>
              </w:tc>
              <w:tc>
                <w:tcPr>
                  <w:tcW w:w="3030" w:type="dxa"/>
                  <w:tcBorders>
                    <w:bottom w:val="single" w:color="auto" w:sz="12" w:space="0"/>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建设内容</w:t>
                  </w:r>
                </w:p>
              </w:tc>
              <w:tc>
                <w:tcPr>
                  <w:tcW w:w="1275" w:type="dxa"/>
                  <w:tcBorders>
                    <w:bottom w:val="single" w:color="auto" w:sz="12" w:space="0"/>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投资（万元）</w:t>
                  </w:r>
                </w:p>
              </w:tc>
              <w:tc>
                <w:tcPr>
                  <w:tcW w:w="1440" w:type="dxa"/>
                  <w:tcBorders>
                    <w:bottom w:val="single" w:color="auto" w:sz="12" w:space="0"/>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发改备案</w:t>
                  </w:r>
                </w:p>
              </w:tc>
              <w:tc>
                <w:tcPr>
                  <w:tcW w:w="1395" w:type="dxa"/>
                  <w:tcBorders>
                    <w:bottom w:val="single" w:color="auto" w:sz="12" w:space="0"/>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用地审核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op w:val="single" w:color="auto" w:sz="12" w:space="0"/>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w:t>
                  </w:r>
                </w:p>
              </w:tc>
              <w:tc>
                <w:tcPr>
                  <w:tcW w:w="1230" w:type="dxa"/>
                  <w:tcBorders>
                    <w:top w:val="single" w:color="auto" w:sz="12" w:space="0"/>
                    <w:tl2br w:val="nil"/>
                    <w:tr2bl w:val="nil"/>
                  </w:tcBorders>
                  <w:vAlign w:val="center"/>
                </w:tcPr>
                <w:p>
                  <w:pPr>
                    <w:jc w:val="center"/>
                    <w:rPr>
                      <w:rFonts w:ascii="Times New Roman" w:hAnsi="Times New Roman" w:cs="Times New Roman"/>
                      <w:bCs/>
                      <w:szCs w:val="21"/>
                    </w:rPr>
                  </w:pPr>
                  <w:r>
                    <w:rPr>
                      <w:rFonts w:hint="eastAsia"/>
                    </w:rPr>
                    <w:t>肖包寺村安全饮水项目</w:t>
                  </w:r>
                </w:p>
              </w:tc>
              <w:tc>
                <w:tcPr>
                  <w:tcW w:w="3030" w:type="dxa"/>
                  <w:tcBorders>
                    <w:top w:val="single" w:color="auto" w:sz="12" w:space="0"/>
                    <w:tl2br w:val="nil"/>
                    <w:tr2bl w:val="nil"/>
                  </w:tcBorders>
                  <w:vAlign w:val="center"/>
                </w:tcPr>
                <w:p>
                  <w:pPr>
                    <w:jc w:val="center"/>
                    <w:rPr>
                      <w:rFonts w:ascii="Times New Roman" w:hAnsi="Times New Roman" w:cs="Times New Roman"/>
                      <w:bCs/>
                      <w:szCs w:val="21"/>
                    </w:rPr>
                  </w:pPr>
                  <w:r>
                    <w:rPr>
                      <w:rFonts w:hint="eastAsia"/>
                    </w:rPr>
                    <w:t>新建管道长5000米，蓄水池1个（100立方米），沉淀池1个</w:t>
                  </w:r>
                </w:p>
              </w:tc>
              <w:tc>
                <w:tcPr>
                  <w:tcW w:w="1275" w:type="dxa"/>
                  <w:tcBorders>
                    <w:top w:val="single" w:color="auto" w:sz="12" w:space="0"/>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50</w:t>
                  </w:r>
                </w:p>
              </w:tc>
              <w:tc>
                <w:tcPr>
                  <w:tcW w:w="1440" w:type="dxa"/>
                  <w:tcBorders>
                    <w:top w:val="single" w:color="auto" w:sz="12" w:space="0"/>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松发改行审[2020]111号</w:t>
                  </w:r>
                </w:p>
              </w:tc>
              <w:tc>
                <w:tcPr>
                  <w:tcW w:w="1395" w:type="dxa"/>
                  <w:tcBorders>
                    <w:top w:val="single" w:color="auto" w:sz="12" w:space="0"/>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松自然资函[2020]171号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w:t>
                  </w:r>
                </w:p>
              </w:tc>
              <w:tc>
                <w:tcPr>
                  <w:tcW w:w="1230" w:type="dxa"/>
                  <w:tcBorders>
                    <w:tl2br w:val="nil"/>
                    <w:tr2bl w:val="nil"/>
                  </w:tcBorders>
                  <w:vAlign w:val="center"/>
                </w:tcPr>
                <w:p>
                  <w:pPr>
                    <w:jc w:val="center"/>
                    <w:rPr>
                      <w:rFonts w:ascii="Times New Roman" w:hAnsi="Times New Roman" w:cs="Times New Roman"/>
                      <w:bCs/>
                      <w:szCs w:val="21"/>
                    </w:rPr>
                  </w:pPr>
                  <w:r>
                    <w:rPr>
                      <w:rFonts w:hint="eastAsia"/>
                    </w:rPr>
                    <w:t>肖包寺村饮水工程建设项目</w:t>
                  </w:r>
                </w:p>
              </w:tc>
              <w:tc>
                <w:tcPr>
                  <w:tcW w:w="3030" w:type="dxa"/>
                  <w:tcBorders>
                    <w:tl2br w:val="nil"/>
                    <w:tr2bl w:val="nil"/>
                  </w:tcBorders>
                  <w:vAlign w:val="center"/>
                </w:tcPr>
                <w:p>
                  <w:pPr>
                    <w:jc w:val="center"/>
                    <w:rPr>
                      <w:rFonts w:ascii="Times New Roman" w:hAnsi="Times New Roman" w:cs="Times New Roman"/>
                      <w:bCs/>
                      <w:szCs w:val="21"/>
                    </w:rPr>
                  </w:pPr>
                  <w:r>
                    <w:rPr>
                      <w:rFonts w:hint="eastAsia"/>
                    </w:rPr>
                    <w:t>新建引泉池1个，沉淀池1个，消毒池1个，蓄水池1个（100立方米），饮水管道4公里</w:t>
                  </w:r>
                </w:p>
              </w:tc>
              <w:tc>
                <w:tcPr>
                  <w:tcW w:w="127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30</w:t>
                  </w:r>
                </w:p>
              </w:tc>
              <w:tc>
                <w:tcPr>
                  <w:tcW w:w="1440"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松发改行审[2020]106号</w:t>
                  </w:r>
                </w:p>
              </w:tc>
              <w:tc>
                <w:tcPr>
                  <w:tcW w:w="139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松自然资函[2020]173号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w:t>
                  </w:r>
                </w:p>
              </w:tc>
              <w:tc>
                <w:tcPr>
                  <w:tcW w:w="1230" w:type="dxa"/>
                  <w:tcBorders>
                    <w:tl2br w:val="nil"/>
                    <w:tr2bl w:val="nil"/>
                  </w:tcBorders>
                  <w:vAlign w:val="center"/>
                </w:tcPr>
                <w:p>
                  <w:pPr>
                    <w:jc w:val="center"/>
                    <w:rPr>
                      <w:rFonts w:ascii="Times New Roman" w:hAnsi="Times New Roman" w:cs="Times New Roman"/>
                      <w:bCs/>
                      <w:szCs w:val="21"/>
                    </w:rPr>
                  </w:pPr>
                  <w:r>
                    <w:rPr>
                      <w:rFonts w:hint="eastAsia"/>
                    </w:rPr>
                    <w:t>西宁关村老村安全饮水项目</w:t>
                  </w:r>
                </w:p>
              </w:tc>
              <w:tc>
                <w:tcPr>
                  <w:tcW w:w="3030" w:type="dxa"/>
                  <w:tcBorders>
                    <w:tl2br w:val="nil"/>
                    <w:tr2bl w:val="nil"/>
                  </w:tcBorders>
                  <w:vAlign w:val="center"/>
                </w:tcPr>
                <w:p>
                  <w:pPr>
                    <w:jc w:val="center"/>
                    <w:rPr>
                      <w:rFonts w:ascii="Times New Roman" w:hAnsi="Times New Roman" w:cs="Times New Roman"/>
                      <w:bCs/>
                      <w:szCs w:val="21"/>
                    </w:rPr>
                  </w:pPr>
                  <w:r>
                    <w:rPr>
                      <w:rFonts w:hint="eastAsia"/>
                    </w:rPr>
                    <w:t>新建引泉池1个，蓄水池1个（100立方米），沉淀池1个，饮水管线长3公里及安装管道</w:t>
                  </w:r>
                </w:p>
              </w:tc>
              <w:tc>
                <w:tcPr>
                  <w:tcW w:w="127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21</w:t>
                  </w:r>
                </w:p>
              </w:tc>
              <w:tc>
                <w:tcPr>
                  <w:tcW w:w="1440"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松发改行审[2020]107号</w:t>
                  </w:r>
                </w:p>
              </w:tc>
              <w:tc>
                <w:tcPr>
                  <w:tcW w:w="139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松自然资函[2020]172号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w:t>
                  </w:r>
                </w:p>
              </w:tc>
              <w:tc>
                <w:tcPr>
                  <w:tcW w:w="1230" w:type="dxa"/>
                  <w:tcBorders>
                    <w:tl2br w:val="nil"/>
                    <w:tr2bl w:val="nil"/>
                  </w:tcBorders>
                  <w:vAlign w:val="center"/>
                </w:tcPr>
                <w:p>
                  <w:pPr>
                    <w:jc w:val="center"/>
                    <w:rPr>
                      <w:rFonts w:ascii="Times New Roman" w:hAnsi="Times New Roman" w:cs="Times New Roman"/>
                      <w:bCs/>
                      <w:szCs w:val="21"/>
                    </w:rPr>
                  </w:pPr>
                  <w:r>
                    <w:t>烟囱村</w:t>
                  </w:r>
                  <w:r>
                    <w:rPr>
                      <w:rFonts w:hint="eastAsia"/>
                    </w:rPr>
                    <w:t>饮水项目</w:t>
                  </w:r>
                </w:p>
              </w:tc>
              <w:tc>
                <w:tcPr>
                  <w:tcW w:w="3030" w:type="dxa"/>
                  <w:tcBorders>
                    <w:tl2br w:val="nil"/>
                    <w:tr2bl w:val="nil"/>
                  </w:tcBorders>
                  <w:vAlign w:val="center"/>
                </w:tcPr>
                <w:p>
                  <w:pPr>
                    <w:jc w:val="center"/>
                    <w:rPr>
                      <w:rFonts w:ascii="Times New Roman" w:hAnsi="Times New Roman" w:cs="Times New Roman"/>
                      <w:bCs/>
                      <w:szCs w:val="21"/>
                    </w:rPr>
                  </w:pPr>
                  <w:r>
                    <w:t>给水管道全长850m，</w:t>
                  </w:r>
                  <w:r>
                    <w:rPr>
                      <w:rFonts w:hint="eastAsia"/>
                    </w:rPr>
                    <w:t>蓄水池2个（3*3*2米）、阀门井2个</w:t>
                  </w:r>
                </w:p>
              </w:tc>
              <w:tc>
                <w:tcPr>
                  <w:tcW w:w="127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8</w:t>
                  </w:r>
                </w:p>
              </w:tc>
              <w:tc>
                <w:tcPr>
                  <w:tcW w:w="1440" w:type="dxa"/>
                  <w:tcBorders>
                    <w:tl2br w:val="nil"/>
                    <w:tr2bl w:val="nil"/>
                  </w:tcBorders>
                  <w:vAlign w:val="center"/>
                </w:tcPr>
                <w:p>
                  <w:pPr>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rPr>
                    <w:t>投资额小于20万元，</w:t>
                  </w:r>
                  <w:r>
                    <w:rPr>
                      <w:rFonts w:hint="eastAsia" w:ascii="Times New Roman" w:hAnsi="Times New Roman" w:cs="Times New Roman"/>
                      <w:bCs/>
                      <w:szCs w:val="21"/>
                      <w:lang w:val="en-US" w:eastAsia="zh-CN"/>
                    </w:rPr>
                    <w:t>见松财[2019]261号</w:t>
                  </w:r>
                </w:p>
              </w:tc>
              <w:tc>
                <w:tcPr>
                  <w:tcW w:w="139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投资额小于20万元，不予用地预审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w:t>
                  </w:r>
                </w:p>
              </w:tc>
              <w:tc>
                <w:tcPr>
                  <w:tcW w:w="1230" w:type="dxa"/>
                  <w:tcBorders>
                    <w:tl2br w:val="nil"/>
                    <w:tr2bl w:val="nil"/>
                  </w:tcBorders>
                  <w:vAlign w:val="center"/>
                </w:tcPr>
                <w:p>
                  <w:pPr>
                    <w:jc w:val="center"/>
                    <w:rPr>
                      <w:rFonts w:ascii="Times New Roman" w:hAnsi="Times New Roman" w:cs="Times New Roman"/>
                      <w:bCs/>
                      <w:szCs w:val="21"/>
                    </w:rPr>
                  </w:pPr>
                  <w:r>
                    <w:rPr>
                      <w:rFonts w:hint="eastAsia"/>
                    </w:rPr>
                    <w:t>安宏村饮水工程</w:t>
                  </w:r>
                </w:p>
              </w:tc>
              <w:tc>
                <w:tcPr>
                  <w:tcW w:w="3030" w:type="dxa"/>
                  <w:tcBorders>
                    <w:tl2br w:val="nil"/>
                    <w:tr2bl w:val="nil"/>
                  </w:tcBorders>
                  <w:vAlign w:val="center"/>
                </w:tcPr>
                <w:p>
                  <w:pPr>
                    <w:jc w:val="center"/>
                    <w:rPr>
                      <w:rFonts w:ascii="Times New Roman" w:hAnsi="Times New Roman" w:cs="Times New Roman"/>
                      <w:bCs/>
                      <w:szCs w:val="21"/>
                    </w:rPr>
                  </w:pPr>
                  <w:r>
                    <w:rPr>
                      <w:rFonts w:hint="eastAsia"/>
                    </w:rPr>
                    <w:t>给水管道全长1500m，全段管径DN50，蓄水池（20立方米）、阀门井2个</w:t>
                  </w:r>
                </w:p>
              </w:tc>
              <w:tc>
                <w:tcPr>
                  <w:tcW w:w="127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8</w:t>
                  </w:r>
                </w:p>
              </w:tc>
              <w:tc>
                <w:tcPr>
                  <w:tcW w:w="1440" w:type="dxa"/>
                  <w:tcBorders>
                    <w:tl2br w:val="nil"/>
                    <w:tr2bl w:val="nil"/>
                  </w:tcBorders>
                  <w:vAlign w:val="center"/>
                </w:tcPr>
                <w:p>
                  <w:pPr>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rPr>
                    <w:t>投资额小于20万元，</w:t>
                  </w:r>
                  <w:r>
                    <w:rPr>
                      <w:rFonts w:hint="eastAsia" w:ascii="Times New Roman" w:hAnsi="Times New Roman" w:cs="Times New Roman"/>
                      <w:bCs/>
                      <w:szCs w:val="21"/>
                      <w:lang w:val="en-US" w:eastAsia="zh-CN"/>
                    </w:rPr>
                    <w:t>见松委办[2020]15号</w:t>
                  </w:r>
                </w:p>
              </w:tc>
              <w:tc>
                <w:tcPr>
                  <w:tcW w:w="139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投资额小于20万元，不予用地预审</w:t>
                  </w:r>
                </w:p>
              </w:tc>
            </w:tr>
          </w:tbl>
          <w:p>
            <w:pPr>
              <w:spacing w:line="360" w:lineRule="auto"/>
              <w:ind w:firstLine="480" w:firstLineChars="200"/>
              <w:rPr>
                <w:rFonts w:ascii="Times New Roman" w:hAnsi="Times New Roman" w:cs="Times New Roman"/>
                <w:sz w:val="24"/>
              </w:rPr>
            </w:pPr>
            <w:r>
              <w:rPr>
                <w:rFonts w:ascii="Times New Roman" w:hAnsi="Times New Roman" w:eastAsia="宋体" w:cs="Times New Roman"/>
                <w:color w:val="000000"/>
                <w:sz w:val="24"/>
              </w:rPr>
              <w:t>因此，符合国家现行产业政策。</w:t>
            </w:r>
          </w:p>
          <w:p>
            <w:pPr>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2、选址及规划符合性</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b/>
                <w:bCs/>
                <w:sz w:val="24"/>
              </w:rPr>
              <w:t>（1）选址符合性分析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本项目选址于松潘县安宏乡肖包寺村、西宁关村、安宏村、烟囱村等</w:t>
            </w:r>
            <w:r>
              <w:rPr>
                <w:rFonts w:hint="eastAsia" w:cs="Times New Roman"/>
                <w:sz w:val="24"/>
              </w:rPr>
              <w:t>，共5个项目点。</w:t>
            </w:r>
            <w:r>
              <w:rPr>
                <w:rFonts w:hint="eastAsia" w:ascii="Times New Roman" w:hAnsi="Times New Roman" w:cs="Times New Roman"/>
                <w:sz w:val="24"/>
              </w:rPr>
              <w:t>根据松潘县自然资源局对本项目的选址复函（松自然资函［2020］171号、松自然资函［2020］172号、松自然资函［2020］173号文）</w:t>
            </w:r>
            <w:r>
              <w:rPr>
                <w:rStyle w:val="61"/>
                <w:rFonts w:hint="eastAsia"/>
                <w:sz w:val="24"/>
                <w:szCs w:val="24"/>
              </w:rPr>
              <w:t>（详见附件2）</w:t>
            </w:r>
            <w:r>
              <w:rPr>
                <w:rFonts w:hint="eastAsia" w:ascii="Times New Roman" w:hAnsi="Times New Roman" w:cs="Times New Roman"/>
                <w:sz w:val="24"/>
              </w:rPr>
              <w:t>，项目建设管网及沉淀池均采用地埋式，不改变土地用途，不予预审。</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因此，本项目用地符合相关要求。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（2）与《四川省水利厅转发水利部关于建立农村饮水安全管理责任体系的通知》（川水函〔2019〕218号）的符合性</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四川省水利厅要求，全面落实农村饮水安全管理“三个责任”，健全完善农村饮水安全工程运行管理“三项制度”。</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①全面落实农村饮水安全管理“三个责任” </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农村饮水安全保障地方行政首长负责制的要求，农村饮水安全实行“省负总责、市县抓落实”的工作机制。各县（区）要全面落实农村饮水安全地方人民政府的主体责任、水行政主管等部门的行业监管责任、供水单位的运行管理责任。</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②健全完善农村饮水工程运行管理“三项制度” </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各县（区）要健全完善县级农村饮水安全工程运行管理机构、运行管理办法和运行管理经费“三项制度”，确保农村饮水工程有机构和人员管理，有政策支持、有经费保障。</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本项目属于农村饮水安全工程，符合水利厅的相关要求。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（3）与松潘县农村饮水安全管理的符合性分析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2020年4月，松潘县人民政府发布松潘县农村饮水安全管理“三个责任”和“三项制度”公示，为确保我县农村饮水安全管理工作落实到位，实现工程建的好、管得好、长受益。按照《水利部关于建立农村饮水安全管理责任体系的通知》（水农〔2019〕2号）文件要求。建立健全农村饮水安全管理责任体系，全面落实全县农村饮水安全管理“三个责任”“三项制度”。</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“三个责任是”是指地方政府的主体责任、水行政主管部门的行业监管责任、供水管理单位的运行管理责任。</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“三项制度”是指农村饮水工程运行管理机构、农村饮水工程运行管理办法、农村饮水工程运行管理经费。</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本项目在认真落实农村饮水安全和确保资金去向的前提下提出。因此，项目建设符合相关规划。</w:t>
            </w:r>
          </w:p>
          <w:p>
            <w:pPr>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3、外环境相容性</w:t>
            </w:r>
          </w:p>
          <w:p>
            <w:pPr>
              <w:spacing w:line="360" w:lineRule="auto"/>
              <w:ind w:firstLine="480" w:firstLineChars="200"/>
              <w:rPr>
                <w:rFonts w:asciiTheme="minorEastAsia" w:hAnsiTheme="minorEastAsia"/>
                <w:sz w:val="24"/>
              </w:rPr>
            </w:pPr>
            <w:r>
              <w:rPr>
                <w:rFonts w:hint="eastAsia" w:ascii="Times New Roman" w:hAnsi="Times New Roman" w:cs="Times New Roman"/>
                <w:sz w:val="24"/>
              </w:rPr>
              <w:t>本项目选址于</w:t>
            </w:r>
            <w:r>
              <w:rPr>
                <w:rFonts w:hint="eastAsia" w:ascii="Times New Roman" w:hAnsi="Times New Roman" w:cs="Times New Roman"/>
                <w:color w:val="000000" w:themeColor="text1"/>
                <w:sz w:val="24"/>
              </w:rPr>
              <w:t>松潘县安宏乡</w:t>
            </w:r>
            <w:r>
              <w:rPr>
                <w:rFonts w:hint="eastAsia"/>
                <w:kern w:val="0"/>
                <w:sz w:val="24"/>
                <w:szCs w:val="20"/>
              </w:rPr>
              <w:t>肖包寺村、安宏村、烟囱村和西宁关村</w:t>
            </w:r>
            <w:r>
              <w:rPr>
                <w:rFonts w:hint="eastAsia" w:cs="Times New Roman"/>
                <w:sz w:val="24"/>
              </w:rPr>
              <w:t>，共5个项目点。各点外环境类似，均为农村山区，周边无居民居住，具体外环境见外环境关系图</w:t>
            </w:r>
            <w:r>
              <w:rPr>
                <w:rStyle w:val="61"/>
                <w:rFonts w:hint="eastAsia" w:asciiTheme="minorEastAsia" w:hAnsiTheme="minorEastAsia" w:cstheme="minorEastAsia"/>
                <w:sz w:val="24"/>
                <w:szCs w:val="24"/>
              </w:rPr>
              <w:t>（详见附图4）</w:t>
            </w:r>
            <w:r>
              <w:rPr>
                <w:rFonts w:hint="eastAsia" w:cs="Times New Roman"/>
                <w:sz w:val="24"/>
              </w:rPr>
              <w:t>。本项目管网</w:t>
            </w:r>
            <w:r>
              <w:rPr>
                <w:rFonts w:hAnsi="宋体"/>
                <w:sz w:val="24"/>
              </w:rPr>
              <w:t>尽量做到线路最短，土石方量最小，造价经济，施工维护方便，少占或不占农田；输水管的走向、平面布置和高程应符合村庄对管线规划的要求，尽可能沿现状道路或规划道路敷设；尽量减少与公路、河流的交叉，管线尽量避开滑坡、塌方、岩石、高地下水位、流沙和河流淹没与冲刷地区；在管线凸起的位置设置放（排）气阀，总管线在村内有较大分支处，设置总阀门，管线最低处设置放空阀；</w:t>
            </w:r>
            <w:r>
              <w:rPr>
                <w:rFonts w:hint="eastAsia" w:asciiTheme="minorEastAsia" w:hAnsiTheme="minorEastAsia"/>
                <w:sz w:val="24"/>
              </w:rPr>
              <w:t>根据以上设计，本项目管网选线的布置合理。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主要建设内容为铺设水管，修建蓄水池及沉淀池等，建设内容不包括入户支管。运营期主要为当地村民供水，无对外环境产生严重污染的生产工艺；本项目施工期的影响是暂时的，在施工结束后，影响区域的各环境要素基本都可以得到恢复，项目施工期加强管理，采取有效的环保措施后，对附近居民影响较小。运营期在落实各项污染防治措施的情况下，项目周围外环境无明显的环境制约因素。因此，项目建设与周边外环境相容较好。</w:t>
            </w:r>
          </w:p>
          <w:p>
            <w:pPr>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4、引水合理性</w:t>
            </w:r>
          </w:p>
          <w:p>
            <w:pPr>
              <w:spacing w:line="360" w:lineRule="auto"/>
              <w:ind w:firstLine="480" w:firstLineChars="200"/>
              <w:rPr>
                <w:rFonts w:ascii="宋体" w:hAnsi="宋体"/>
                <w:b/>
                <w:sz w:val="24"/>
              </w:rPr>
            </w:pPr>
            <w:r>
              <w:rPr>
                <w:rFonts w:hint="eastAsia" w:ascii="宋体" w:hAnsi="宋体"/>
                <w:b/>
                <w:sz w:val="24"/>
              </w:rPr>
              <w:t>1）供水需求量</w:t>
            </w:r>
          </w:p>
          <w:p>
            <w:pPr>
              <w:spacing w:line="360" w:lineRule="auto"/>
              <w:ind w:firstLine="480" w:firstLineChars="200"/>
              <w:rPr>
                <w:rFonts w:ascii="宋体" w:hAnsi="宋体"/>
                <w:sz w:val="24"/>
              </w:rPr>
            </w:pPr>
            <w:r>
              <w:rPr>
                <w:rFonts w:hint="eastAsia" w:ascii="宋体" w:hAnsi="宋体"/>
                <w:sz w:val="24"/>
              </w:rPr>
              <w:t>本工程主要解决松潘县安宏乡共计970人的饮水安全问题。设计水平年为2025年。</w:t>
            </w:r>
            <w:r>
              <w:rPr>
                <w:rFonts w:ascii="宋体" w:hAnsi="宋体"/>
                <w:sz w:val="24"/>
              </w:rPr>
              <w:t>需水量由居民生活用水量、公共建筑用水量、村镇企业及养殖专业户用水量、消防用水量、浇洒道路绿地用水量、管网漏失及未预见水量和水厂自用水量组成。</w:t>
            </w:r>
          </w:p>
          <w:p>
            <w:pPr>
              <w:spacing w:line="360" w:lineRule="auto"/>
              <w:ind w:firstLine="480" w:firstLineChars="200"/>
              <w:rPr>
                <w:rFonts w:ascii="宋体" w:hAnsi="宋体"/>
                <w:sz w:val="24"/>
              </w:rPr>
            </w:pPr>
            <w:r>
              <w:rPr>
                <w:rFonts w:hint="eastAsia" w:ascii="宋体" w:hAnsi="宋体"/>
                <w:sz w:val="24"/>
              </w:rPr>
              <w:t>（1）设计用水标准</w:t>
            </w:r>
          </w:p>
          <w:p>
            <w:pPr>
              <w:spacing w:line="360" w:lineRule="auto"/>
              <w:ind w:firstLine="480" w:firstLineChars="200"/>
              <w:rPr>
                <w:rFonts w:ascii="宋体" w:hAnsi="宋体"/>
                <w:sz w:val="24"/>
              </w:rPr>
            </w:pPr>
            <w:r>
              <w:rPr>
                <w:rFonts w:hint="eastAsia"/>
                <w:sz w:val="24"/>
              </w:rPr>
              <w:t>根据对供水范围用户的实地考察，根据村民生活习惯与用水现状、用水条件、供水方式、经济条件等情况，结合本地经济发展状况，根据松潘县安宏乡的用水现状、用水条件、供水方式、经济条件、用水习惯、发展潜力等情况，查《村镇供水工程设计规范》</w:t>
            </w:r>
            <w:r>
              <w:rPr>
                <w:sz w:val="24"/>
              </w:rPr>
              <w:t>SL687-2014</w:t>
            </w:r>
            <w:r>
              <w:rPr>
                <w:rFonts w:hint="eastAsia"/>
                <w:sz w:val="24"/>
              </w:rPr>
              <w:t>“最高日居民生活用水定额表”，见表</w:t>
            </w:r>
            <w:r>
              <w:rPr>
                <w:sz w:val="24"/>
              </w:rPr>
              <w:t>5-1</w:t>
            </w:r>
            <w:r>
              <w:rPr>
                <w:rFonts w:hint="eastAsia"/>
                <w:sz w:val="24"/>
              </w:rPr>
              <w:t>不同地区农村生活饮用水水量指标，可知松潘县</w:t>
            </w:r>
            <w:r>
              <w:rPr>
                <w:rFonts w:hint="eastAsia" w:hAnsi="宋体"/>
                <w:sz w:val="24"/>
              </w:rPr>
              <w:t>为</w:t>
            </w:r>
            <w:r>
              <w:rPr>
                <w:rFonts w:hint="eastAsia"/>
                <w:sz w:val="24"/>
              </w:rPr>
              <w:t>属于第一区，农村村民适用于：“</w:t>
            </w:r>
            <w:r>
              <w:rPr>
                <w:rFonts w:hint="eastAsia" w:ascii="宋体" w:hAnsi="宋体" w:cs="宋体"/>
                <w:kern w:val="0"/>
                <w:sz w:val="24"/>
              </w:rPr>
              <w:t>全日供水，户内有洗涤池,卫生设施较齐全</w:t>
            </w:r>
            <w:r>
              <w:rPr>
                <w:rFonts w:hint="eastAsia"/>
                <w:sz w:val="24"/>
              </w:rPr>
              <w:t>”标准100</w:t>
            </w:r>
            <w:r>
              <w:rPr>
                <w:sz w:val="24"/>
              </w:rPr>
              <w:t>L/</w:t>
            </w:r>
            <w:r>
              <w:rPr>
                <w:rFonts w:hint="eastAsia"/>
                <w:sz w:val="24"/>
              </w:rPr>
              <w:t>人*</w:t>
            </w:r>
            <w:r>
              <w:rPr>
                <w:sz w:val="24"/>
              </w:rPr>
              <w:t>d</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表1-2  不同地区农村生活饮用水水量指标  单位：L/人*d</w:t>
            </w:r>
          </w:p>
          <w:tbl>
            <w:tblPr>
              <w:tblStyle w:val="51"/>
              <w:tblW w:w="8808" w:type="dxa"/>
              <w:tblInd w:w="9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623"/>
              <w:gridCol w:w="2977"/>
              <w:gridCol w:w="21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80" w:type="dxa"/>
                  <w:vMerge w:val="restart"/>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气候和地域分区</w:t>
                  </w:r>
                </w:p>
              </w:tc>
              <w:tc>
                <w:tcPr>
                  <w:tcW w:w="2623" w:type="dxa"/>
                  <w:vMerge w:val="restart"/>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公共取水点，或水龙头入户、定时供水</w:t>
                  </w:r>
                </w:p>
              </w:tc>
              <w:tc>
                <w:tcPr>
                  <w:tcW w:w="5105" w:type="dxa"/>
                  <w:gridSpan w:val="2"/>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水龙头入户，基本全日供水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80" w:type="dxa"/>
                  <w:vMerge w:val="continue"/>
                  <w:tcBorders>
                    <w:tl2br w:val="nil"/>
                    <w:tr2bl w:val="nil"/>
                  </w:tcBorders>
                  <w:vAlign w:val="center"/>
                </w:tcPr>
                <w:p>
                  <w:pPr>
                    <w:widowControl/>
                    <w:jc w:val="left"/>
                    <w:rPr>
                      <w:rFonts w:asciiTheme="minorEastAsia" w:hAnsiTheme="minorEastAsia"/>
                      <w:kern w:val="0"/>
                      <w:szCs w:val="21"/>
                    </w:rPr>
                  </w:pPr>
                </w:p>
              </w:tc>
              <w:tc>
                <w:tcPr>
                  <w:tcW w:w="2623" w:type="dxa"/>
                  <w:vMerge w:val="continue"/>
                  <w:tcBorders>
                    <w:tl2br w:val="nil"/>
                    <w:tr2bl w:val="nil"/>
                  </w:tcBorders>
                  <w:vAlign w:val="center"/>
                </w:tcPr>
                <w:p>
                  <w:pPr>
                    <w:widowControl/>
                    <w:jc w:val="left"/>
                    <w:rPr>
                      <w:rFonts w:asciiTheme="minorEastAsia" w:hAnsiTheme="minorEastAsia"/>
                      <w:kern w:val="0"/>
                      <w:szCs w:val="21"/>
                    </w:rPr>
                  </w:pPr>
                </w:p>
              </w:tc>
              <w:tc>
                <w:tcPr>
                  <w:tcW w:w="2977" w:type="dxa"/>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有洗涤池，少量卫生设施</w:t>
                  </w:r>
                </w:p>
              </w:tc>
              <w:tc>
                <w:tcPr>
                  <w:tcW w:w="2128" w:type="dxa"/>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有洗涤池，卫生设施较齐全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一区</w:t>
                  </w:r>
                </w:p>
              </w:tc>
              <w:tc>
                <w:tcPr>
                  <w:tcW w:w="2623"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20</w:t>
                  </w:r>
                  <w:r>
                    <w:rPr>
                      <w:rFonts w:hint="eastAsia" w:asciiTheme="minorEastAsia" w:hAnsiTheme="minorEastAsia"/>
                      <w:kern w:val="0"/>
                      <w:szCs w:val="21"/>
                    </w:rPr>
                    <w:t>～</w:t>
                  </w:r>
                  <w:r>
                    <w:rPr>
                      <w:rFonts w:asciiTheme="minorEastAsia" w:hAnsiTheme="minorEastAsia"/>
                      <w:kern w:val="0"/>
                      <w:szCs w:val="21"/>
                    </w:rPr>
                    <w:t>40</w:t>
                  </w:r>
                </w:p>
              </w:tc>
              <w:tc>
                <w:tcPr>
                  <w:tcW w:w="2977"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40</w:t>
                  </w:r>
                  <w:r>
                    <w:rPr>
                      <w:rFonts w:hint="eastAsia" w:asciiTheme="minorEastAsia" w:hAnsiTheme="minorEastAsia"/>
                      <w:kern w:val="0"/>
                      <w:szCs w:val="21"/>
                    </w:rPr>
                    <w:t>～</w:t>
                  </w:r>
                  <w:r>
                    <w:rPr>
                      <w:rFonts w:asciiTheme="minorEastAsia" w:hAnsiTheme="minorEastAsia"/>
                      <w:kern w:val="0"/>
                      <w:szCs w:val="21"/>
                    </w:rPr>
                    <w:t>60</w:t>
                  </w:r>
                </w:p>
              </w:tc>
              <w:tc>
                <w:tcPr>
                  <w:tcW w:w="2128"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60</w:t>
                  </w:r>
                  <w:r>
                    <w:rPr>
                      <w:rFonts w:hint="eastAsia" w:asciiTheme="minorEastAsia" w:hAnsiTheme="minorEastAsia"/>
                      <w:kern w:val="0"/>
                      <w:szCs w:val="21"/>
                    </w:rPr>
                    <w:t>～</w:t>
                  </w:r>
                  <w:r>
                    <w:rPr>
                      <w:rFonts w:asciiTheme="minorEastAsia" w:hAnsiTheme="minorEastAsia"/>
                      <w:kern w:val="0"/>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二区</w:t>
                  </w:r>
                </w:p>
              </w:tc>
              <w:tc>
                <w:tcPr>
                  <w:tcW w:w="2623"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25</w:t>
                  </w:r>
                  <w:r>
                    <w:rPr>
                      <w:rFonts w:hint="eastAsia" w:asciiTheme="minorEastAsia" w:hAnsiTheme="minorEastAsia"/>
                      <w:kern w:val="0"/>
                      <w:szCs w:val="21"/>
                    </w:rPr>
                    <w:t>～</w:t>
                  </w:r>
                  <w:r>
                    <w:rPr>
                      <w:rFonts w:asciiTheme="minorEastAsia" w:hAnsiTheme="minorEastAsia"/>
                      <w:kern w:val="0"/>
                      <w:szCs w:val="21"/>
                    </w:rPr>
                    <w:t>45</w:t>
                  </w:r>
                </w:p>
              </w:tc>
              <w:tc>
                <w:tcPr>
                  <w:tcW w:w="2977"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45</w:t>
                  </w:r>
                  <w:r>
                    <w:rPr>
                      <w:rFonts w:hint="eastAsia" w:asciiTheme="minorEastAsia" w:hAnsiTheme="minorEastAsia"/>
                      <w:kern w:val="0"/>
                      <w:szCs w:val="21"/>
                    </w:rPr>
                    <w:t>～</w:t>
                  </w:r>
                  <w:r>
                    <w:rPr>
                      <w:rFonts w:asciiTheme="minorEastAsia" w:hAnsiTheme="minorEastAsia"/>
                      <w:kern w:val="0"/>
                      <w:szCs w:val="21"/>
                    </w:rPr>
                    <w:t>70</w:t>
                  </w:r>
                </w:p>
              </w:tc>
              <w:tc>
                <w:tcPr>
                  <w:tcW w:w="2128"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70</w:t>
                  </w:r>
                  <w:r>
                    <w:rPr>
                      <w:rFonts w:hint="eastAsia" w:asciiTheme="minorEastAsia" w:hAnsiTheme="minorEastAsia"/>
                      <w:kern w:val="0"/>
                      <w:szCs w:val="21"/>
                    </w:rPr>
                    <w:t>～</w:t>
                  </w:r>
                  <w:r>
                    <w:rPr>
                      <w:rFonts w:asciiTheme="minorEastAsia" w:hAnsiTheme="minorEastAsia"/>
                      <w:kern w:val="0"/>
                      <w:szCs w:val="21"/>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三区</w:t>
                  </w:r>
                </w:p>
              </w:tc>
              <w:tc>
                <w:tcPr>
                  <w:tcW w:w="2623"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30</w:t>
                  </w:r>
                  <w:r>
                    <w:rPr>
                      <w:rFonts w:hint="eastAsia" w:asciiTheme="minorEastAsia" w:hAnsiTheme="minorEastAsia"/>
                      <w:kern w:val="0"/>
                      <w:szCs w:val="21"/>
                    </w:rPr>
                    <w:t>～</w:t>
                  </w:r>
                  <w:r>
                    <w:rPr>
                      <w:rFonts w:asciiTheme="minorEastAsia" w:hAnsiTheme="minorEastAsia"/>
                      <w:kern w:val="0"/>
                      <w:szCs w:val="21"/>
                    </w:rPr>
                    <w:t>50</w:t>
                  </w:r>
                </w:p>
              </w:tc>
              <w:tc>
                <w:tcPr>
                  <w:tcW w:w="2977"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50</w:t>
                  </w:r>
                  <w:r>
                    <w:rPr>
                      <w:rFonts w:hint="eastAsia" w:asciiTheme="minorEastAsia" w:hAnsiTheme="minorEastAsia"/>
                      <w:kern w:val="0"/>
                      <w:szCs w:val="21"/>
                    </w:rPr>
                    <w:t>～</w:t>
                  </w:r>
                  <w:r>
                    <w:rPr>
                      <w:rFonts w:asciiTheme="minorEastAsia" w:hAnsiTheme="minorEastAsia"/>
                      <w:kern w:val="0"/>
                      <w:szCs w:val="21"/>
                    </w:rPr>
                    <w:t>80</w:t>
                  </w:r>
                </w:p>
              </w:tc>
              <w:tc>
                <w:tcPr>
                  <w:tcW w:w="2128"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80</w:t>
                  </w:r>
                  <w:r>
                    <w:rPr>
                      <w:rFonts w:hint="eastAsia" w:asciiTheme="minorEastAsia" w:hAnsiTheme="minorEastAsia"/>
                      <w:kern w:val="0"/>
                      <w:szCs w:val="21"/>
                    </w:rPr>
                    <w:t>～</w:t>
                  </w:r>
                  <w:r>
                    <w:rPr>
                      <w:rFonts w:asciiTheme="minorEastAsia" w:hAnsiTheme="minorEastAsia"/>
                      <w:kern w:val="0"/>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四区</w:t>
                  </w:r>
                </w:p>
              </w:tc>
              <w:tc>
                <w:tcPr>
                  <w:tcW w:w="2623"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35</w:t>
                  </w:r>
                  <w:r>
                    <w:rPr>
                      <w:rFonts w:hint="eastAsia" w:asciiTheme="minorEastAsia" w:hAnsiTheme="minorEastAsia"/>
                      <w:kern w:val="0"/>
                      <w:szCs w:val="21"/>
                    </w:rPr>
                    <w:t>～</w:t>
                  </w:r>
                  <w:r>
                    <w:rPr>
                      <w:rFonts w:asciiTheme="minorEastAsia" w:hAnsiTheme="minorEastAsia"/>
                      <w:kern w:val="0"/>
                      <w:szCs w:val="21"/>
                    </w:rPr>
                    <w:t>60</w:t>
                  </w:r>
                </w:p>
              </w:tc>
              <w:tc>
                <w:tcPr>
                  <w:tcW w:w="2977"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60</w:t>
                  </w:r>
                  <w:r>
                    <w:rPr>
                      <w:rFonts w:hint="eastAsia" w:asciiTheme="minorEastAsia" w:hAnsiTheme="minorEastAsia"/>
                      <w:kern w:val="0"/>
                      <w:szCs w:val="21"/>
                    </w:rPr>
                    <w:t>～</w:t>
                  </w:r>
                  <w:r>
                    <w:rPr>
                      <w:rFonts w:asciiTheme="minorEastAsia" w:hAnsiTheme="minorEastAsia"/>
                      <w:kern w:val="0"/>
                      <w:szCs w:val="21"/>
                    </w:rPr>
                    <w:t>90</w:t>
                  </w:r>
                </w:p>
              </w:tc>
              <w:tc>
                <w:tcPr>
                  <w:tcW w:w="2128"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90</w:t>
                  </w:r>
                  <w:r>
                    <w:rPr>
                      <w:rFonts w:hint="eastAsia" w:asciiTheme="minorEastAsia" w:hAnsiTheme="minorEastAsia"/>
                      <w:kern w:val="0"/>
                      <w:szCs w:val="21"/>
                    </w:rPr>
                    <w:t>～</w:t>
                  </w:r>
                  <w:r>
                    <w:rPr>
                      <w:rFonts w:asciiTheme="minorEastAsia" w:hAnsiTheme="minorEastAsia"/>
                      <w:kern w:val="0"/>
                      <w:szCs w:val="21"/>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tcBorders>
                    <w:tl2br w:val="nil"/>
                    <w:tr2bl w:val="nil"/>
                  </w:tcBorders>
                  <w:vAlign w:val="center"/>
                </w:tcPr>
                <w:p>
                  <w:pPr>
                    <w:widowControl/>
                    <w:jc w:val="center"/>
                    <w:rPr>
                      <w:rFonts w:asciiTheme="minorEastAsia" w:hAnsiTheme="minorEastAsia"/>
                      <w:kern w:val="0"/>
                      <w:szCs w:val="21"/>
                    </w:rPr>
                  </w:pPr>
                  <w:r>
                    <w:rPr>
                      <w:rFonts w:hint="eastAsia" w:asciiTheme="minorEastAsia" w:hAnsiTheme="minorEastAsia"/>
                      <w:kern w:val="0"/>
                      <w:szCs w:val="21"/>
                    </w:rPr>
                    <w:t>五区</w:t>
                  </w:r>
                </w:p>
              </w:tc>
              <w:tc>
                <w:tcPr>
                  <w:tcW w:w="2623"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40</w:t>
                  </w:r>
                  <w:r>
                    <w:rPr>
                      <w:rFonts w:hint="eastAsia" w:asciiTheme="minorEastAsia" w:hAnsiTheme="minorEastAsia"/>
                      <w:kern w:val="0"/>
                      <w:szCs w:val="21"/>
                    </w:rPr>
                    <w:t>～</w:t>
                  </w:r>
                  <w:r>
                    <w:rPr>
                      <w:rFonts w:asciiTheme="minorEastAsia" w:hAnsiTheme="minorEastAsia"/>
                      <w:kern w:val="0"/>
                      <w:szCs w:val="21"/>
                    </w:rPr>
                    <w:t>70</w:t>
                  </w:r>
                </w:p>
              </w:tc>
              <w:tc>
                <w:tcPr>
                  <w:tcW w:w="2977"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70</w:t>
                  </w:r>
                  <w:r>
                    <w:rPr>
                      <w:rFonts w:hint="eastAsia" w:asciiTheme="minorEastAsia" w:hAnsiTheme="minorEastAsia"/>
                      <w:kern w:val="0"/>
                      <w:szCs w:val="21"/>
                    </w:rPr>
                    <w:t>～</w:t>
                  </w:r>
                  <w:r>
                    <w:rPr>
                      <w:rFonts w:asciiTheme="minorEastAsia" w:hAnsiTheme="minorEastAsia"/>
                      <w:kern w:val="0"/>
                      <w:szCs w:val="21"/>
                    </w:rPr>
                    <w:t>100</w:t>
                  </w:r>
                </w:p>
              </w:tc>
              <w:tc>
                <w:tcPr>
                  <w:tcW w:w="2128" w:type="dxa"/>
                  <w:tcBorders>
                    <w:tl2br w:val="nil"/>
                    <w:tr2bl w:val="nil"/>
                  </w:tcBorders>
                  <w:vAlign w:val="center"/>
                </w:tcPr>
                <w:p>
                  <w:pPr>
                    <w:widowControl/>
                    <w:jc w:val="center"/>
                    <w:rPr>
                      <w:rFonts w:asciiTheme="minorEastAsia" w:hAnsiTheme="minorEastAsia"/>
                      <w:kern w:val="0"/>
                      <w:szCs w:val="21"/>
                    </w:rPr>
                  </w:pPr>
                  <w:r>
                    <w:rPr>
                      <w:rFonts w:asciiTheme="minorEastAsia" w:hAnsiTheme="minorEastAsia"/>
                      <w:kern w:val="0"/>
                      <w:szCs w:val="21"/>
                    </w:rPr>
                    <w:t>100</w:t>
                  </w:r>
                  <w:r>
                    <w:rPr>
                      <w:rFonts w:hint="eastAsia" w:asciiTheme="minorEastAsia" w:hAnsiTheme="minorEastAsia"/>
                      <w:kern w:val="0"/>
                      <w:szCs w:val="21"/>
                    </w:rPr>
                    <w:t>～</w:t>
                  </w:r>
                  <w:r>
                    <w:rPr>
                      <w:rFonts w:asciiTheme="minorEastAsia" w:hAnsiTheme="minorEastAsia"/>
                      <w:kern w:val="0"/>
                      <w:szCs w:val="21"/>
                    </w:rPr>
                    <w:t>140</w:t>
                  </w:r>
                </w:p>
              </w:tc>
            </w:tr>
          </w:tbl>
          <w:p>
            <w:pPr>
              <w:spacing w:line="360" w:lineRule="auto"/>
              <w:ind w:firstLine="480" w:firstLineChars="200"/>
              <w:rPr>
                <w:rFonts w:ascii="宋体" w:hAnsi="宋体"/>
                <w:sz w:val="24"/>
              </w:rPr>
            </w:pPr>
            <w:r>
              <w:rPr>
                <w:rFonts w:hint="eastAsia" w:ascii="宋体" w:hAnsi="宋体"/>
                <w:sz w:val="24"/>
              </w:rPr>
              <w:t>（2）设计人口</w:t>
            </w:r>
          </w:p>
          <w:p>
            <w:pPr>
              <w:spacing w:line="360" w:lineRule="auto"/>
              <w:ind w:firstLine="480" w:firstLineChars="200"/>
              <w:rPr>
                <w:rFonts w:ascii="宋体" w:hAnsi="宋体"/>
                <w:sz w:val="24"/>
              </w:rPr>
            </w:pPr>
            <w:r>
              <w:rPr>
                <w:rFonts w:hint="eastAsia" w:ascii="宋体" w:hAnsi="宋体"/>
                <w:sz w:val="24"/>
              </w:rPr>
              <w:t>设计用水居民人数：   P = P0（1+γ）</w:t>
            </w:r>
            <w:r>
              <w:rPr>
                <w:rFonts w:hint="eastAsia" w:ascii="宋体" w:hAnsi="宋体"/>
                <w:sz w:val="24"/>
                <w:vertAlign w:val="superscript"/>
              </w:rPr>
              <w:t>n</w:t>
            </w:r>
            <w:r>
              <w:rPr>
                <w:rFonts w:hint="eastAsia" w:ascii="宋体" w:hAnsi="宋体"/>
                <w:sz w:val="24"/>
              </w:rPr>
              <w:t xml:space="preserve"> + P1  </w:t>
            </w:r>
          </w:p>
          <w:p>
            <w:pPr>
              <w:spacing w:line="360" w:lineRule="auto"/>
              <w:ind w:firstLine="480" w:firstLineChars="200"/>
              <w:rPr>
                <w:rFonts w:ascii="宋体" w:hAnsi="宋体"/>
                <w:sz w:val="24"/>
              </w:rPr>
            </w:pPr>
            <w:r>
              <w:rPr>
                <w:rFonts w:hint="eastAsia" w:ascii="宋体" w:hAnsi="宋体"/>
                <w:sz w:val="24"/>
              </w:rPr>
              <w:t>式中， P — 设计用水居民人数，人；</w:t>
            </w:r>
          </w:p>
          <w:p>
            <w:pPr>
              <w:spacing w:line="360" w:lineRule="auto"/>
              <w:ind w:firstLine="480" w:firstLineChars="200"/>
              <w:rPr>
                <w:rFonts w:ascii="宋体" w:hAnsi="宋体"/>
                <w:sz w:val="24"/>
              </w:rPr>
            </w:pPr>
            <w:r>
              <w:rPr>
                <w:rFonts w:hint="eastAsia" w:ascii="宋体" w:hAnsi="宋体"/>
                <w:sz w:val="24"/>
              </w:rPr>
              <w:t>P0— 供水范围内的现状常住人口数，其中包括无当地户籍的常住人口；</w:t>
            </w:r>
          </w:p>
          <w:p>
            <w:pPr>
              <w:spacing w:line="360" w:lineRule="auto"/>
              <w:ind w:firstLine="480" w:firstLineChars="200"/>
              <w:rPr>
                <w:rFonts w:ascii="宋体" w:hAnsi="宋体"/>
                <w:sz w:val="24"/>
              </w:rPr>
            </w:pPr>
            <w:r>
              <w:rPr>
                <w:rFonts w:hint="eastAsia" w:ascii="宋体" w:hAnsi="宋体"/>
                <w:sz w:val="24"/>
              </w:rPr>
              <w:t>P1— 设计年限内人口的机械增长总数，可根据各村镇的人口规划以及近年来流动人口和户籍迁移人口的变化情况，按平均增长法确定，本工程忽略不计；</w:t>
            </w:r>
          </w:p>
          <w:p>
            <w:pPr>
              <w:spacing w:line="360" w:lineRule="auto"/>
              <w:ind w:firstLine="480" w:firstLineChars="200"/>
              <w:rPr>
                <w:rFonts w:ascii="宋体" w:hAnsi="宋体"/>
                <w:sz w:val="24"/>
              </w:rPr>
            </w:pPr>
            <w:r>
              <w:rPr>
                <w:rFonts w:hint="eastAsia" w:ascii="宋体" w:hAnsi="宋体"/>
                <w:sz w:val="24"/>
              </w:rPr>
              <w:t>γ— 设计年限内人口的自然增长率，可根据当地近年来的人口自然增长率确定；本工程牟尼乡后寺（寺庙）项目点不考虑人口增长率；</w:t>
            </w:r>
          </w:p>
          <w:p>
            <w:pPr>
              <w:spacing w:line="360" w:lineRule="auto"/>
              <w:ind w:firstLine="480" w:firstLineChars="200"/>
              <w:rPr>
                <w:rFonts w:ascii="宋体" w:hAnsi="宋体"/>
                <w:sz w:val="24"/>
              </w:rPr>
            </w:pPr>
            <w:r>
              <w:rPr>
                <w:rFonts w:hint="eastAsia" w:ascii="宋体" w:hAnsi="宋体"/>
                <w:sz w:val="24"/>
              </w:rPr>
              <w:t>n — 工程设计年限。本工程取15年</w:t>
            </w:r>
          </w:p>
          <w:p>
            <w:pPr>
              <w:spacing w:line="360" w:lineRule="auto"/>
              <w:ind w:firstLine="480" w:firstLineChars="200"/>
              <w:rPr>
                <w:rFonts w:ascii="宋体" w:hAnsi="宋体"/>
                <w:sz w:val="24"/>
              </w:rPr>
            </w:pPr>
            <w:r>
              <w:rPr>
                <w:rFonts w:hint="eastAsia" w:ascii="宋体" w:hAnsi="宋体"/>
                <w:sz w:val="24"/>
              </w:rPr>
              <w:t>（3）居民生活用水量</w:t>
            </w:r>
          </w:p>
          <w:p>
            <w:pPr>
              <w:spacing w:line="360" w:lineRule="auto"/>
              <w:ind w:firstLine="480" w:firstLineChars="200"/>
              <w:rPr>
                <w:sz w:val="24"/>
              </w:rPr>
            </w:pPr>
            <w:r>
              <w:rPr>
                <w:rFonts w:hAnsi="宋体"/>
                <w:sz w:val="24"/>
              </w:rPr>
              <w:t>居民生活用水量按下式计算：</w:t>
            </w:r>
          </w:p>
          <w:p>
            <w:pPr>
              <w:spacing w:line="360" w:lineRule="auto"/>
              <w:ind w:firstLine="480" w:firstLineChars="200"/>
              <w:rPr>
                <w:sz w:val="24"/>
              </w:rPr>
            </w:pPr>
            <w:r>
              <w:rPr>
                <w:sz w:val="24"/>
              </w:rPr>
              <w:t>Q1= P×q / 1000  </w:t>
            </w:r>
          </w:p>
          <w:p>
            <w:pPr>
              <w:spacing w:line="360" w:lineRule="auto"/>
              <w:ind w:firstLine="480" w:firstLineChars="200"/>
              <w:rPr>
                <w:sz w:val="24"/>
              </w:rPr>
            </w:pPr>
            <w:r>
              <w:rPr>
                <w:rFonts w:hAnsi="宋体"/>
                <w:sz w:val="24"/>
              </w:rPr>
              <w:t>式中，</w:t>
            </w:r>
            <w:r>
              <w:rPr>
                <w:sz w:val="24"/>
              </w:rPr>
              <w:t xml:space="preserve"> Q1—</w:t>
            </w:r>
            <w:r>
              <w:rPr>
                <w:rFonts w:hAnsi="宋体"/>
                <w:sz w:val="24"/>
              </w:rPr>
              <w:t>居民生活用水量，</w:t>
            </w:r>
            <w:r>
              <w:rPr>
                <w:sz w:val="24"/>
              </w:rPr>
              <w:t>m</w:t>
            </w:r>
            <w:r>
              <w:rPr>
                <w:sz w:val="24"/>
                <w:vertAlign w:val="superscript"/>
              </w:rPr>
              <w:t>3</w:t>
            </w:r>
            <w:r>
              <w:rPr>
                <w:sz w:val="24"/>
              </w:rPr>
              <w:t>/d</w:t>
            </w:r>
            <w:r>
              <w:rPr>
                <w:rFonts w:hAnsi="宋体"/>
                <w:sz w:val="24"/>
              </w:rPr>
              <w:t>；</w:t>
            </w:r>
          </w:p>
          <w:p>
            <w:pPr>
              <w:spacing w:line="360" w:lineRule="auto"/>
              <w:ind w:firstLine="480" w:firstLineChars="200"/>
              <w:rPr>
                <w:sz w:val="24"/>
              </w:rPr>
            </w:pPr>
            <w:r>
              <w:rPr>
                <w:sz w:val="24"/>
              </w:rPr>
              <w:t xml:space="preserve">       P—</w:t>
            </w:r>
            <w:r>
              <w:rPr>
                <w:rFonts w:hAnsi="宋体"/>
                <w:sz w:val="24"/>
              </w:rPr>
              <w:t>设计用水居民人数，人；</w:t>
            </w:r>
          </w:p>
          <w:p>
            <w:pPr>
              <w:spacing w:line="360" w:lineRule="auto"/>
              <w:ind w:firstLine="480" w:firstLineChars="200"/>
              <w:rPr>
                <w:rFonts w:ascii="宋体" w:hAnsi="宋体"/>
                <w:sz w:val="24"/>
              </w:rPr>
            </w:pPr>
            <w:r>
              <w:rPr>
                <w:sz w:val="24"/>
              </w:rPr>
              <w:t xml:space="preserve">       q—</w:t>
            </w:r>
            <w:r>
              <w:rPr>
                <w:rFonts w:hAnsi="宋体"/>
                <w:sz w:val="24"/>
              </w:rPr>
              <w:t>最高日居民生活用水定额，农村居民</w:t>
            </w:r>
            <w:r>
              <w:rPr>
                <w:rFonts w:hint="eastAsia"/>
                <w:sz w:val="24"/>
              </w:rPr>
              <w:t>100</w:t>
            </w:r>
            <w:r>
              <w:rPr>
                <w:sz w:val="24"/>
              </w:rPr>
              <w:t>L/</w:t>
            </w:r>
            <w:r>
              <w:rPr>
                <w:rFonts w:hAnsi="宋体"/>
                <w:sz w:val="24"/>
              </w:rPr>
              <w:t>人</w:t>
            </w:r>
            <w:r>
              <w:rPr>
                <w:rFonts w:hint="eastAsia"/>
                <w:sz w:val="24"/>
              </w:rPr>
              <w:t>*</w:t>
            </w:r>
            <w:r>
              <w:rPr>
                <w:sz w:val="24"/>
              </w:rPr>
              <w:t xml:space="preserve">d </w:t>
            </w:r>
            <w:r>
              <w:rPr>
                <w:rFonts w:hAnsi="宋体"/>
                <w:sz w:val="24"/>
              </w:rPr>
              <w:t>。</w:t>
            </w:r>
          </w:p>
          <w:p>
            <w:pPr>
              <w:spacing w:line="360" w:lineRule="auto"/>
              <w:ind w:firstLine="480" w:firstLineChars="200"/>
              <w:rPr>
                <w:rFonts w:ascii="宋体" w:hAnsi="宋体"/>
                <w:sz w:val="24"/>
              </w:rPr>
            </w:pPr>
            <w:r>
              <w:rPr>
                <w:rFonts w:hint="eastAsia" w:ascii="宋体" w:hAnsi="宋体"/>
                <w:sz w:val="24"/>
              </w:rPr>
              <w:t>（4）公共建筑用水量</w:t>
            </w:r>
          </w:p>
          <w:p>
            <w:pPr>
              <w:spacing w:line="360" w:lineRule="auto"/>
              <w:ind w:firstLine="480" w:firstLineChars="200"/>
              <w:rPr>
                <w:sz w:val="24"/>
              </w:rPr>
            </w:pPr>
            <w:r>
              <w:rPr>
                <w:rFonts w:hAnsi="宋体"/>
                <w:sz w:val="24"/>
              </w:rPr>
              <w:t>公共建筑用水量应根据公共建筑性质、规模及用水定额确定。条件较好的村镇，按《建筑给水排水设计规范》（</w:t>
            </w:r>
            <w:r>
              <w:rPr>
                <w:sz w:val="24"/>
              </w:rPr>
              <w:t>GBJ 15</w:t>
            </w:r>
            <w:r>
              <w:rPr>
                <w:rFonts w:hAnsi="宋体"/>
                <w:sz w:val="24"/>
              </w:rPr>
              <w:t>）确定公共建筑用水定额；条件一般或较差的村镇，可根据具体情况适当折减。缺乏资料时，公共建筑用水量可按居民生活用水量的</w:t>
            </w:r>
            <w:r>
              <w:rPr>
                <w:sz w:val="24"/>
              </w:rPr>
              <w:t>5%</w:t>
            </w:r>
            <w:r>
              <w:rPr>
                <w:rFonts w:hAnsi="宋体"/>
                <w:sz w:val="24"/>
              </w:rPr>
              <w:t>～</w:t>
            </w:r>
            <w:r>
              <w:rPr>
                <w:sz w:val="24"/>
              </w:rPr>
              <w:t>25%</w:t>
            </w:r>
            <w:r>
              <w:rPr>
                <w:rFonts w:hAnsi="宋体"/>
                <w:sz w:val="24"/>
              </w:rPr>
              <w:t>估算，其中：村庄为</w:t>
            </w:r>
            <w:r>
              <w:rPr>
                <w:sz w:val="24"/>
              </w:rPr>
              <w:t>5%</w:t>
            </w:r>
            <w:r>
              <w:rPr>
                <w:rFonts w:hAnsi="宋体"/>
                <w:sz w:val="24"/>
              </w:rPr>
              <w:t>～</w:t>
            </w:r>
            <w:r>
              <w:rPr>
                <w:sz w:val="24"/>
              </w:rPr>
              <w:t>10%</w:t>
            </w:r>
            <w:r>
              <w:rPr>
                <w:rFonts w:hAnsi="宋体"/>
                <w:sz w:val="24"/>
              </w:rPr>
              <w:t>，集镇为</w:t>
            </w:r>
            <w:r>
              <w:rPr>
                <w:sz w:val="24"/>
              </w:rPr>
              <w:t>10%</w:t>
            </w:r>
            <w:r>
              <w:rPr>
                <w:rFonts w:hAnsi="宋体"/>
                <w:sz w:val="24"/>
              </w:rPr>
              <w:t>～</w:t>
            </w:r>
            <w:r>
              <w:rPr>
                <w:sz w:val="24"/>
              </w:rPr>
              <w:t>15%</w:t>
            </w:r>
            <w:r>
              <w:rPr>
                <w:rFonts w:hAnsi="宋体"/>
                <w:sz w:val="24"/>
              </w:rPr>
              <w:t>，建制镇为</w:t>
            </w:r>
            <w:r>
              <w:rPr>
                <w:sz w:val="24"/>
              </w:rPr>
              <w:t>10%</w:t>
            </w:r>
            <w:r>
              <w:rPr>
                <w:rFonts w:hAnsi="宋体"/>
                <w:sz w:val="24"/>
              </w:rPr>
              <w:t>～</w:t>
            </w:r>
            <w:r>
              <w:rPr>
                <w:sz w:val="24"/>
              </w:rPr>
              <w:t>25%</w:t>
            </w:r>
            <w:r>
              <w:rPr>
                <w:rFonts w:hAnsi="宋体"/>
                <w:sz w:val="24"/>
              </w:rPr>
              <w:t>。</w:t>
            </w:r>
          </w:p>
          <w:p>
            <w:pPr>
              <w:spacing w:line="360" w:lineRule="auto"/>
              <w:ind w:firstLine="480" w:firstLineChars="200"/>
              <w:rPr>
                <w:rFonts w:ascii="宋体" w:hAnsi="宋体"/>
                <w:sz w:val="24"/>
              </w:rPr>
            </w:pPr>
            <w:r>
              <w:rPr>
                <w:rFonts w:hint="eastAsia" w:hAnsi="宋体"/>
                <w:sz w:val="24"/>
              </w:rPr>
              <w:t>经过现场探勘，项目点无公共建筑物，故</w:t>
            </w:r>
            <w:r>
              <w:rPr>
                <w:rFonts w:hAnsi="宋体"/>
                <w:sz w:val="24"/>
              </w:rPr>
              <w:t>本工程不计此项，</w:t>
            </w:r>
            <w:r>
              <w:rPr>
                <w:sz w:val="24"/>
              </w:rPr>
              <w:t>Q2=</w:t>
            </w:r>
            <w:r>
              <w:rPr>
                <w:rFonts w:hint="eastAsia"/>
                <w:sz w:val="24"/>
              </w:rPr>
              <w:t>0</w:t>
            </w:r>
          </w:p>
          <w:p>
            <w:pPr>
              <w:spacing w:line="360" w:lineRule="auto"/>
              <w:ind w:firstLine="480" w:firstLineChars="200"/>
              <w:rPr>
                <w:rFonts w:ascii="宋体" w:hAnsi="宋体"/>
                <w:sz w:val="24"/>
              </w:rPr>
            </w:pPr>
            <w:r>
              <w:rPr>
                <w:rFonts w:hint="eastAsia" w:ascii="宋体" w:hAnsi="宋体"/>
                <w:sz w:val="24"/>
              </w:rPr>
              <w:t>（5）牲畜用水</w:t>
            </w:r>
          </w:p>
          <w:p>
            <w:pPr>
              <w:spacing w:line="360" w:lineRule="auto"/>
              <w:ind w:firstLine="420"/>
              <w:rPr>
                <w:rFonts w:ascii="宋体" w:hAnsi="宋体"/>
                <w:sz w:val="24"/>
              </w:rPr>
            </w:pPr>
            <w:r>
              <w:rPr>
                <w:rFonts w:hint="eastAsia" w:ascii="宋体" w:hAnsi="宋体"/>
                <w:sz w:val="24"/>
              </w:rPr>
              <w:t>饲养牲畜用水量</w:t>
            </w:r>
          </w:p>
          <w:p>
            <w:pPr>
              <w:spacing w:line="360" w:lineRule="auto"/>
              <w:ind w:firstLine="1507" w:firstLineChars="628"/>
              <w:rPr>
                <w:rFonts w:ascii="宋体" w:hAnsi="宋体"/>
                <w:sz w:val="24"/>
              </w:rPr>
            </w:pPr>
            <w:r>
              <w:rPr>
                <w:rFonts w:ascii="宋体" w:hAnsi="宋体"/>
                <w:sz w:val="24"/>
              </w:rPr>
              <w:t>Q</w:t>
            </w:r>
            <w:r>
              <w:rPr>
                <w:rFonts w:hint="eastAsia" w:ascii="宋体" w:hAnsi="宋体"/>
                <w:sz w:val="24"/>
                <w:vertAlign w:val="subscript"/>
              </w:rPr>
              <w:t>牲</w:t>
            </w:r>
            <w:r>
              <w:rPr>
                <w:rFonts w:ascii="宋体" w:hAnsi="宋体"/>
                <w:sz w:val="24"/>
              </w:rPr>
              <w:t>=P</w:t>
            </w:r>
            <w:r>
              <w:rPr>
                <w:rFonts w:hint="eastAsia" w:ascii="宋体" w:hAnsi="宋体"/>
                <w:sz w:val="24"/>
                <w:vertAlign w:val="subscript"/>
              </w:rPr>
              <w:t>牲</w:t>
            </w:r>
            <w:r>
              <w:rPr>
                <w:rFonts w:ascii="宋体" w:hAnsi="宋体"/>
                <w:sz w:val="24"/>
              </w:rPr>
              <w:t>q</w:t>
            </w:r>
            <w:r>
              <w:rPr>
                <w:rFonts w:hint="eastAsia" w:ascii="宋体" w:hAnsi="宋体"/>
                <w:sz w:val="24"/>
                <w:vertAlign w:val="subscript"/>
              </w:rPr>
              <w:t>牲</w:t>
            </w:r>
            <w:r>
              <w:rPr>
                <w:rFonts w:ascii="宋体" w:hAnsi="宋体"/>
                <w:sz w:val="24"/>
              </w:rPr>
              <w:t xml:space="preserve"> /1000</w:t>
            </w:r>
          </w:p>
          <w:p>
            <w:pPr>
              <w:spacing w:line="360" w:lineRule="auto"/>
              <w:ind w:firstLine="1440" w:firstLineChars="600"/>
              <w:rPr>
                <w:rFonts w:ascii="宋体" w:hAnsi="宋体"/>
                <w:sz w:val="24"/>
              </w:rPr>
            </w:pPr>
            <w:r>
              <w:rPr>
                <w:rFonts w:hint="eastAsia" w:ascii="宋体" w:hAnsi="宋体"/>
                <w:sz w:val="24"/>
              </w:rPr>
              <w:t>式中：</w:t>
            </w:r>
            <w:r>
              <w:rPr>
                <w:rFonts w:ascii="宋体" w:hAnsi="宋体"/>
                <w:sz w:val="24"/>
              </w:rPr>
              <w:t>Q</w:t>
            </w:r>
            <w:r>
              <w:rPr>
                <w:rFonts w:hint="eastAsia" w:ascii="宋体" w:hAnsi="宋体"/>
                <w:sz w:val="24"/>
                <w:vertAlign w:val="subscript"/>
              </w:rPr>
              <w:t>牲</w:t>
            </w:r>
            <w:r>
              <w:rPr>
                <w:rFonts w:ascii="宋体" w:hAnsi="宋体"/>
                <w:sz w:val="24"/>
              </w:rPr>
              <w:t>-居民日生活用水量（m</w:t>
            </w:r>
            <w:r>
              <w:rPr>
                <w:rFonts w:ascii="宋体" w:hAnsi="宋体"/>
                <w:sz w:val="24"/>
                <w:vertAlign w:val="superscript"/>
              </w:rPr>
              <w:t>3</w:t>
            </w:r>
            <w:r>
              <w:rPr>
                <w:rFonts w:ascii="宋体" w:hAnsi="宋体"/>
                <w:sz w:val="24"/>
              </w:rPr>
              <w:t>/d）；</w:t>
            </w:r>
          </w:p>
          <w:p>
            <w:pPr>
              <w:spacing w:line="360" w:lineRule="auto"/>
              <w:ind w:firstLine="2160" w:firstLineChars="900"/>
              <w:rPr>
                <w:rFonts w:ascii="宋体" w:hAnsi="宋体"/>
                <w:sz w:val="24"/>
              </w:rPr>
            </w:pPr>
            <w:r>
              <w:rPr>
                <w:rFonts w:ascii="宋体" w:hAnsi="宋体"/>
                <w:sz w:val="24"/>
              </w:rPr>
              <w:t>P</w:t>
            </w:r>
            <w:r>
              <w:rPr>
                <w:rFonts w:hint="eastAsia" w:ascii="宋体" w:hAnsi="宋体"/>
                <w:sz w:val="24"/>
                <w:vertAlign w:val="subscript"/>
              </w:rPr>
              <w:t>牲</w:t>
            </w:r>
            <w:r>
              <w:rPr>
                <w:rFonts w:ascii="宋体" w:hAnsi="宋体"/>
                <w:sz w:val="24"/>
              </w:rPr>
              <w:t>—现有</w:t>
            </w:r>
            <w:r>
              <w:rPr>
                <w:rFonts w:hint="eastAsia" w:ascii="宋体" w:hAnsi="宋体"/>
                <w:sz w:val="24"/>
              </w:rPr>
              <w:t>牲畜</w:t>
            </w:r>
            <w:r>
              <w:rPr>
                <w:rFonts w:ascii="宋体" w:hAnsi="宋体"/>
                <w:sz w:val="24"/>
              </w:rPr>
              <w:t>数；</w:t>
            </w:r>
          </w:p>
          <w:p>
            <w:pPr>
              <w:spacing w:line="360" w:lineRule="auto"/>
              <w:ind w:firstLine="480" w:firstLineChars="200"/>
              <w:rPr>
                <w:rFonts w:ascii="宋体" w:hAnsi="宋体"/>
                <w:sz w:val="24"/>
              </w:rPr>
            </w:pPr>
            <w:r>
              <w:rPr>
                <w:rFonts w:ascii="宋体" w:hAnsi="宋体"/>
                <w:sz w:val="24"/>
              </w:rPr>
              <w:t>q</w:t>
            </w:r>
            <w:r>
              <w:rPr>
                <w:rFonts w:ascii="宋体" w:hAnsi="宋体"/>
                <w:sz w:val="24"/>
                <w:vertAlign w:val="subscript"/>
              </w:rPr>
              <w:t xml:space="preserve"> </w:t>
            </w:r>
            <w:r>
              <w:rPr>
                <w:rFonts w:hint="eastAsia" w:ascii="宋体" w:hAnsi="宋体"/>
                <w:sz w:val="24"/>
                <w:vertAlign w:val="subscript"/>
              </w:rPr>
              <w:t>牲</w:t>
            </w:r>
            <w:r>
              <w:rPr>
                <w:rFonts w:ascii="宋体" w:hAnsi="宋体"/>
                <w:sz w:val="24"/>
              </w:rPr>
              <w:t>—最高日用水标准，</w:t>
            </w:r>
            <w:r>
              <w:rPr>
                <w:rFonts w:hint="eastAsia" w:ascii="宋体" w:hAnsi="宋体"/>
                <w:sz w:val="24"/>
              </w:rPr>
              <w:t>当地主要牲畜为牛和羊，牛为40L/[头*d]，羊为10L/[头*d]</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（6）消防用水量</w:t>
            </w:r>
          </w:p>
          <w:p>
            <w:pPr>
              <w:spacing w:line="360" w:lineRule="auto"/>
              <w:ind w:firstLine="480" w:firstLineChars="200"/>
              <w:rPr>
                <w:sz w:val="24"/>
              </w:rPr>
            </w:pPr>
            <w:r>
              <w:rPr>
                <w:sz w:val="24"/>
              </w:rPr>
              <w:t>根据规范要求：消防用水量应按照《建筑设计防火规范》（GBJ16）和《村镇建筑设计防火规范》（GBJ39）的有关规定确定。</w:t>
            </w:r>
          </w:p>
          <w:p>
            <w:pPr>
              <w:spacing w:line="360" w:lineRule="auto"/>
              <w:ind w:firstLine="480" w:firstLineChars="200"/>
              <w:rPr>
                <w:rFonts w:ascii="宋体" w:hAnsi="宋体"/>
                <w:sz w:val="24"/>
              </w:rPr>
            </w:pPr>
            <w:r>
              <w:rPr>
                <w:sz w:val="24"/>
              </w:rPr>
              <w:t>允许短时间间断供水的村镇，当居民用水量和公共用水量之和高于消防用水量时，供水规模可不单列消防用水量。因此</w:t>
            </w:r>
            <w:r>
              <w:rPr>
                <w:rFonts w:hint="eastAsia"/>
                <w:sz w:val="24"/>
              </w:rPr>
              <w:t>本</w:t>
            </w:r>
            <w:r>
              <w:rPr>
                <w:sz w:val="24"/>
              </w:rPr>
              <w:t>工程均不单独考虑消防用水。</w:t>
            </w:r>
          </w:p>
          <w:p>
            <w:pPr>
              <w:spacing w:line="360" w:lineRule="auto"/>
              <w:ind w:firstLine="480" w:firstLineChars="200"/>
              <w:rPr>
                <w:rFonts w:ascii="宋体" w:hAnsi="宋体"/>
                <w:sz w:val="24"/>
              </w:rPr>
            </w:pPr>
            <w:r>
              <w:rPr>
                <w:rFonts w:hint="eastAsia" w:ascii="宋体" w:hAnsi="宋体"/>
                <w:sz w:val="24"/>
              </w:rPr>
              <w:t>（7）浇洒道路绿化用水量</w:t>
            </w:r>
          </w:p>
          <w:p>
            <w:pPr>
              <w:spacing w:line="360" w:lineRule="auto"/>
              <w:ind w:firstLine="480" w:firstLineChars="200"/>
              <w:rPr>
                <w:rFonts w:ascii="宋体" w:hAnsi="宋体"/>
                <w:sz w:val="24"/>
              </w:rPr>
            </w:pPr>
            <w:r>
              <w:rPr>
                <w:sz w:val="24"/>
              </w:rPr>
              <w:t>本次工程不考虑浇洒道路和绿地用水量，Q5=0。</w:t>
            </w:r>
          </w:p>
          <w:p>
            <w:pPr>
              <w:spacing w:line="360" w:lineRule="auto"/>
              <w:ind w:firstLine="480" w:firstLineChars="200"/>
              <w:rPr>
                <w:rFonts w:ascii="宋体" w:hAnsi="宋体"/>
                <w:sz w:val="24"/>
              </w:rPr>
            </w:pPr>
            <w:r>
              <w:rPr>
                <w:rFonts w:hint="eastAsia" w:ascii="宋体" w:hAnsi="宋体"/>
                <w:sz w:val="24"/>
              </w:rPr>
              <w:t>（8）官网漏水失水量和未预见水量</w:t>
            </w:r>
          </w:p>
          <w:p>
            <w:pPr>
              <w:spacing w:line="360" w:lineRule="auto"/>
              <w:ind w:firstLine="480" w:firstLineChars="200"/>
              <w:rPr>
                <w:sz w:val="24"/>
              </w:rPr>
            </w:pPr>
            <w:r>
              <w:rPr>
                <w:sz w:val="24"/>
              </w:rPr>
              <w:t>根据规范要求：管网漏失水量和未预见水量之和，宜按上述用水量之和的10%～25%取值，村庄取较低值、规模较大的镇区取较高值。</w:t>
            </w:r>
          </w:p>
          <w:p>
            <w:pPr>
              <w:spacing w:line="360" w:lineRule="auto"/>
              <w:ind w:firstLine="480" w:firstLineChars="200"/>
              <w:rPr>
                <w:sz w:val="24"/>
              </w:rPr>
            </w:pPr>
            <w:r>
              <w:rPr>
                <w:sz w:val="24"/>
              </w:rPr>
              <w:t>结合当地发展情况，由于资料有限，管网漏失水量和未预见水量取上述用水量之和的15%。</w:t>
            </w:r>
          </w:p>
          <w:p>
            <w:pPr>
              <w:pStyle w:val="16"/>
              <w:spacing w:before="312" w:after="156" w:line="360" w:lineRule="auto"/>
              <w:ind w:firstLine="480"/>
            </w:pPr>
            <w:r>
              <w:t>Q6=( Q1+Q2 +Q3+Q4 +Q5)×</w:t>
            </w:r>
            <w:r>
              <w:rPr>
                <w:rFonts w:hint="eastAsia"/>
              </w:rPr>
              <w:t>20</w:t>
            </w:r>
            <w:r>
              <w:t>%</w:t>
            </w:r>
          </w:p>
          <w:p>
            <w:pPr>
              <w:spacing w:line="360" w:lineRule="auto"/>
              <w:ind w:firstLine="480" w:firstLineChars="200"/>
              <w:rPr>
                <w:rFonts w:ascii="宋体" w:hAnsi="宋体"/>
                <w:sz w:val="24"/>
              </w:rPr>
            </w:pPr>
            <w:r>
              <w:rPr>
                <w:rFonts w:hint="eastAsia" w:ascii="宋体" w:hAnsi="宋体"/>
                <w:sz w:val="24"/>
              </w:rPr>
              <w:t>（9）农村用水变化系数及供水时间</w:t>
            </w:r>
          </w:p>
          <w:p>
            <w:pPr>
              <w:spacing w:line="360" w:lineRule="auto"/>
              <w:ind w:firstLine="480" w:firstLineChars="200"/>
              <w:rPr>
                <w:sz w:val="24"/>
              </w:rPr>
            </w:pPr>
            <w:r>
              <w:rPr>
                <w:rFonts w:ascii="宋体" w:hAnsi="宋体"/>
                <w:sz w:val="24"/>
              </w:rPr>
              <w:t>①</w:t>
            </w:r>
            <w:r>
              <w:rPr>
                <w:sz w:val="24"/>
              </w:rPr>
              <w:t>时变化系数Kh，建议按下表采用：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表1-3 时变化系数取值表</w:t>
            </w:r>
          </w:p>
          <w:tbl>
            <w:tblPr>
              <w:tblStyle w:val="51"/>
              <w:tblW w:w="8845"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2547"/>
              <w:gridCol w:w="1276"/>
              <w:gridCol w:w="1842"/>
              <w:gridCol w:w="1560"/>
              <w:gridCol w:w="1620"/>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12" w:hRule="atLeast"/>
                <w:jc w:val="center"/>
              </w:trPr>
              <w:tc>
                <w:tcPr>
                  <w:tcW w:w="2547"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供水规模（W）（m</w:t>
                  </w:r>
                  <w:r>
                    <w:rPr>
                      <w:rFonts w:asciiTheme="minorEastAsia" w:hAnsiTheme="minorEastAsia"/>
                      <w:szCs w:val="21"/>
                      <w:vertAlign w:val="superscript"/>
                    </w:rPr>
                    <w:t>3</w:t>
                  </w:r>
                  <w:r>
                    <w:rPr>
                      <w:rFonts w:asciiTheme="minorEastAsia" w:hAnsiTheme="minorEastAsia"/>
                      <w:szCs w:val="21"/>
                    </w:rPr>
                    <w:t>/d）</w:t>
                  </w:r>
                </w:p>
              </w:tc>
              <w:tc>
                <w:tcPr>
                  <w:tcW w:w="1276"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W＞5000</w:t>
                  </w:r>
                </w:p>
              </w:tc>
              <w:tc>
                <w:tcPr>
                  <w:tcW w:w="1842"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5000≥W＞1000</w:t>
                  </w:r>
                </w:p>
              </w:tc>
              <w:tc>
                <w:tcPr>
                  <w:tcW w:w="1560"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1000≥W≥200</w:t>
                  </w:r>
                </w:p>
              </w:tc>
              <w:tc>
                <w:tcPr>
                  <w:tcW w:w="1620"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W＜200</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12" w:hRule="atLeast"/>
                <w:jc w:val="center"/>
              </w:trPr>
              <w:tc>
                <w:tcPr>
                  <w:tcW w:w="2547"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全日供水时变化系数K</w:t>
                  </w:r>
                  <w:r>
                    <w:rPr>
                      <w:rFonts w:asciiTheme="minorEastAsia" w:hAnsiTheme="minorEastAsia"/>
                      <w:szCs w:val="21"/>
                      <w:vertAlign w:val="subscript"/>
                    </w:rPr>
                    <w:t>h</w:t>
                  </w:r>
                </w:p>
              </w:tc>
              <w:tc>
                <w:tcPr>
                  <w:tcW w:w="1276"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1.6—2.0</w:t>
                  </w:r>
                </w:p>
              </w:tc>
              <w:tc>
                <w:tcPr>
                  <w:tcW w:w="1842"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1.8--2.2</w:t>
                  </w:r>
                </w:p>
              </w:tc>
              <w:tc>
                <w:tcPr>
                  <w:tcW w:w="1560"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2.0—2.5</w:t>
                  </w:r>
                </w:p>
              </w:tc>
              <w:tc>
                <w:tcPr>
                  <w:tcW w:w="1620" w:type="dxa"/>
                  <w:tcBorders>
                    <w:tl2br w:val="nil"/>
                    <w:tr2bl w:val="nil"/>
                  </w:tcBorders>
                  <w:vAlign w:val="center"/>
                </w:tcPr>
                <w:p>
                  <w:pPr>
                    <w:spacing w:line="360" w:lineRule="auto"/>
                    <w:jc w:val="center"/>
                    <w:rPr>
                      <w:rFonts w:asciiTheme="minorEastAsia" w:hAnsiTheme="minorEastAsia"/>
                      <w:szCs w:val="21"/>
                    </w:rPr>
                  </w:pPr>
                  <w:r>
                    <w:rPr>
                      <w:rFonts w:asciiTheme="minorEastAsia" w:hAnsiTheme="minorEastAsia"/>
                      <w:szCs w:val="21"/>
                    </w:rPr>
                    <w:t>2.3—3.0</w:t>
                  </w:r>
                </w:p>
              </w:tc>
            </w:tr>
          </w:tbl>
          <w:p>
            <w:pPr>
              <w:spacing w:line="360" w:lineRule="auto"/>
              <w:ind w:firstLine="480" w:firstLineChars="200"/>
              <w:rPr>
                <w:sz w:val="24"/>
              </w:rPr>
            </w:pPr>
            <w:r>
              <w:rPr>
                <w:rFonts w:ascii="宋体" w:hAnsi="宋体"/>
                <w:sz w:val="24"/>
              </w:rPr>
              <w:t>②</w:t>
            </w:r>
            <w:r>
              <w:rPr>
                <w:sz w:val="24"/>
              </w:rPr>
              <w:t>日变化系数Kd可在1.3~1.6范围内取值，建议采用Kd=1.5；采用全日制供水。</w:t>
            </w:r>
          </w:p>
          <w:p>
            <w:pPr>
              <w:spacing w:line="360" w:lineRule="auto"/>
              <w:ind w:firstLine="480" w:firstLineChars="200"/>
              <w:rPr>
                <w:sz w:val="24"/>
              </w:rPr>
            </w:pPr>
            <w:r>
              <w:rPr>
                <w:sz w:val="24"/>
              </w:rPr>
              <w:t>本工程供水规模</w:t>
            </w:r>
            <w:r>
              <w:rPr>
                <w:rFonts w:hint="eastAsia"/>
                <w:sz w:val="24"/>
              </w:rPr>
              <w:t>均</w:t>
            </w:r>
            <w:r>
              <w:rPr>
                <w:sz w:val="24"/>
              </w:rPr>
              <w:t>小于200m</w:t>
            </w:r>
            <w:r>
              <w:rPr>
                <w:sz w:val="24"/>
                <w:vertAlign w:val="superscript"/>
              </w:rPr>
              <w:t>3</w:t>
            </w:r>
            <w:r>
              <w:rPr>
                <w:sz w:val="24"/>
              </w:rPr>
              <w:t>/d，</w:t>
            </w:r>
            <w:r>
              <w:rPr>
                <w:rFonts w:hint="eastAsia"/>
                <w:sz w:val="24"/>
              </w:rPr>
              <w:t>故</w:t>
            </w:r>
            <w:r>
              <w:rPr>
                <w:sz w:val="24"/>
              </w:rPr>
              <w:t>时变化系数取</w:t>
            </w:r>
            <w:r>
              <w:rPr>
                <w:rFonts w:hint="eastAsia"/>
                <w:sz w:val="24"/>
              </w:rPr>
              <w:t>3.0</w:t>
            </w:r>
            <w:r>
              <w:rPr>
                <w:sz w:val="24"/>
              </w:rPr>
              <w:t>。日变化系数取1.5。</w:t>
            </w:r>
          </w:p>
          <w:p>
            <w:pPr>
              <w:spacing w:line="360" w:lineRule="auto"/>
              <w:ind w:firstLine="480" w:firstLineChars="200"/>
              <w:rPr>
                <w:b/>
                <w:sz w:val="24"/>
              </w:rPr>
            </w:pPr>
            <w:r>
              <w:rPr>
                <w:rFonts w:hint="eastAsia"/>
                <w:b/>
                <w:sz w:val="24"/>
              </w:rPr>
              <w:t>2）供水规模的确定</w:t>
            </w:r>
          </w:p>
          <w:p>
            <w:pPr>
              <w:spacing w:line="360" w:lineRule="auto"/>
              <w:ind w:firstLine="480" w:firstLineChars="200"/>
              <w:rPr>
                <w:sz w:val="24"/>
              </w:rPr>
            </w:pPr>
            <w:r>
              <w:rPr>
                <w:rFonts w:hAnsi="宋体"/>
                <w:sz w:val="24"/>
              </w:rPr>
              <w:t>供水规模（即最高日供水量）</w:t>
            </w:r>
            <w:r>
              <w:rPr>
                <w:sz w:val="24"/>
              </w:rPr>
              <w:t>=</w:t>
            </w:r>
            <w:r>
              <w:rPr>
                <w:rFonts w:hAnsi="宋体"/>
                <w:sz w:val="24"/>
              </w:rPr>
              <w:t>居民生活用水量</w:t>
            </w:r>
            <w:r>
              <w:rPr>
                <w:sz w:val="24"/>
              </w:rPr>
              <w:t xml:space="preserve"> + </w:t>
            </w:r>
            <w:r>
              <w:rPr>
                <w:rFonts w:hAnsi="宋体"/>
                <w:sz w:val="24"/>
              </w:rPr>
              <w:t>公共建筑用水量</w:t>
            </w:r>
            <w:r>
              <w:rPr>
                <w:sz w:val="24"/>
              </w:rPr>
              <w:t xml:space="preserve"> + </w:t>
            </w:r>
            <w:r>
              <w:rPr>
                <w:rFonts w:hAnsi="宋体"/>
                <w:sz w:val="24"/>
              </w:rPr>
              <w:t>管网漏失水量与未预见水量。</w:t>
            </w:r>
          </w:p>
          <w:p>
            <w:pPr>
              <w:spacing w:line="360" w:lineRule="auto"/>
              <w:ind w:firstLine="480" w:firstLineChars="200"/>
              <w:rPr>
                <w:sz w:val="24"/>
              </w:rPr>
            </w:pPr>
            <w:r>
              <w:rPr>
                <w:rFonts w:hAnsi="宋体"/>
                <w:sz w:val="24"/>
              </w:rPr>
              <w:t>总供水量：</w:t>
            </w:r>
          </w:p>
          <w:p>
            <w:pPr>
              <w:spacing w:line="360" w:lineRule="auto"/>
              <w:ind w:firstLine="480" w:firstLineChars="200"/>
              <w:rPr>
                <w:sz w:val="24"/>
              </w:rPr>
            </w:pPr>
            <w:r>
              <w:rPr>
                <w:sz w:val="24"/>
              </w:rPr>
              <w:t>Qd= Q1+Q</w:t>
            </w:r>
            <w:r>
              <w:rPr>
                <w:rFonts w:hint="eastAsia"/>
                <w:sz w:val="24"/>
              </w:rPr>
              <w:t>2+Q3+Q4+Q5+Q6</w:t>
            </w:r>
          </w:p>
          <w:p>
            <w:pPr>
              <w:spacing w:line="360" w:lineRule="auto"/>
              <w:ind w:firstLine="480" w:firstLineChars="200"/>
              <w:rPr>
                <w:rFonts w:hAnsi="宋体"/>
                <w:sz w:val="24"/>
              </w:rPr>
            </w:pPr>
            <w:r>
              <w:rPr>
                <w:rFonts w:hAnsi="宋体"/>
                <w:sz w:val="24"/>
              </w:rPr>
              <w:t>应根据居民用水的实际情况，考虑现状供水工程已有供水能力，合理确定供水规模，必要时可考虑分质供水。对严重缺水地区，应以解决生活用水为主，一般不考虑村办和乡镇企业、畜禽用水量。工程供水规模（即水厂最高日的供水能力）按最高日用水量计算。计算时供水规模应扣除水厂自用水量。村镇供水工程供水规模原则上在百位或十位</w:t>
            </w:r>
            <w:r>
              <w:rPr>
                <w:sz w:val="24"/>
              </w:rPr>
              <w:t>“</w:t>
            </w:r>
            <w:r>
              <w:rPr>
                <w:rFonts w:hAnsi="宋体"/>
                <w:sz w:val="24"/>
              </w:rPr>
              <w:t>四舍五入取整数</w:t>
            </w:r>
            <w:r>
              <w:rPr>
                <w:sz w:val="24"/>
              </w:rPr>
              <w:t>”</w:t>
            </w:r>
            <w:r>
              <w:rPr>
                <w:rFonts w:hAnsi="宋体"/>
                <w:sz w:val="24"/>
              </w:rPr>
              <w:t>。</w:t>
            </w:r>
            <w:r>
              <w:rPr>
                <w:rFonts w:hint="eastAsia" w:hAnsi="宋体"/>
                <w:sz w:val="24"/>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表1-4 集中供水工程供水规模计算表</w:t>
            </w:r>
          </w:p>
          <w:tbl>
            <w:tblPr>
              <w:tblStyle w:val="51"/>
              <w:tblW w:w="9079"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1"/>
              <w:gridCol w:w="993"/>
              <w:gridCol w:w="645"/>
              <w:gridCol w:w="885"/>
              <w:gridCol w:w="1245"/>
              <w:gridCol w:w="768"/>
              <w:gridCol w:w="850"/>
              <w:gridCol w:w="977"/>
              <w:gridCol w:w="1080"/>
              <w:gridCol w:w="12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40" w:hRule="atLeast"/>
                <w:tblHeader/>
              </w:trPr>
              <w:tc>
                <w:tcPr>
                  <w:tcW w:w="421"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序号</w:t>
                  </w:r>
                </w:p>
              </w:tc>
              <w:tc>
                <w:tcPr>
                  <w:tcW w:w="993"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项目点名称</w:t>
                  </w:r>
                </w:p>
              </w:tc>
              <w:tc>
                <w:tcPr>
                  <w:tcW w:w="645"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供水人口</w:t>
                  </w:r>
                </w:p>
              </w:tc>
              <w:tc>
                <w:tcPr>
                  <w:tcW w:w="885"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kern w:val="0"/>
                    </w:rPr>
                  </w:pPr>
                  <w:r>
                    <w:rPr>
                      <w:rFonts w:hint="eastAsia" w:ascii="宋体" w:hAnsi="宋体" w:cs="宋体"/>
                      <w:color w:val="000000"/>
                      <w:kern w:val="0"/>
                    </w:rPr>
                    <w:t>居民生活用水量</w:t>
                  </w:r>
                </w:p>
                <w:p>
                  <w:pPr>
                    <w:widowControl/>
                    <w:jc w:val="center"/>
                    <w:textAlignment w:val="center"/>
                    <w:rPr>
                      <w:rFonts w:ascii="宋体" w:hAnsi="宋体" w:cs="宋体"/>
                      <w:color w:val="000000"/>
                    </w:rPr>
                  </w:pPr>
                  <w:r>
                    <w:rPr>
                      <w:rFonts w:hint="eastAsia" w:ascii="宋体" w:hAnsi="宋体" w:cs="宋体"/>
                      <w:color w:val="000000"/>
                      <w:kern w:val="0"/>
                    </w:rPr>
                    <w:t>（m³/d)</w:t>
                  </w:r>
                </w:p>
              </w:tc>
              <w:tc>
                <w:tcPr>
                  <w:tcW w:w="1245"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管网漏失水量与未预见水量（m³/d）</w:t>
                  </w:r>
                </w:p>
              </w:tc>
              <w:tc>
                <w:tcPr>
                  <w:tcW w:w="768"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kern w:val="0"/>
                    </w:rPr>
                  </w:pPr>
                  <w:r>
                    <w:rPr>
                      <w:rFonts w:hint="eastAsia" w:ascii="宋体" w:hAnsi="宋体" w:cs="宋体"/>
                      <w:color w:val="000000"/>
                      <w:kern w:val="0"/>
                    </w:rPr>
                    <w:t>供水规模</w:t>
                  </w:r>
                </w:p>
                <w:p>
                  <w:pPr>
                    <w:widowControl/>
                    <w:jc w:val="center"/>
                    <w:textAlignment w:val="center"/>
                    <w:rPr>
                      <w:rFonts w:ascii="宋体" w:hAnsi="宋体" w:cs="宋体"/>
                      <w:color w:val="000000"/>
                    </w:rPr>
                  </w:pPr>
                  <w:r>
                    <w:rPr>
                      <w:rFonts w:hint="eastAsia" w:ascii="宋体" w:hAnsi="宋体" w:cs="宋体"/>
                      <w:color w:val="000000"/>
                      <w:kern w:val="0"/>
                    </w:rPr>
                    <w:t>（m³/d）</w:t>
                  </w:r>
                </w:p>
              </w:tc>
              <w:tc>
                <w:tcPr>
                  <w:tcW w:w="85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最高日供水量（m³/d）</w:t>
                  </w:r>
                </w:p>
              </w:tc>
              <w:tc>
                <w:tcPr>
                  <w:tcW w:w="977"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设计平均日供水量Qd（m³/d）</w:t>
                  </w:r>
                </w:p>
              </w:tc>
              <w:tc>
                <w:tcPr>
                  <w:tcW w:w="108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最高日平均时供水量Q3（m³/h）</w:t>
                  </w:r>
                </w:p>
              </w:tc>
              <w:tc>
                <w:tcPr>
                  <w:tcW w:w="1215"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最高日最高时供水量Qmax（m³/h）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421"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1</w:t>
                  </w:r>
                </w:p>
              </w:tc>
              <w:tc>
                <w:tcPr>
                  <w:tcW w:w="993"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肖包寺1</w:t>
                  </w:r>
                </w:p>
              </w:tc>
              <w:tc>
                <w:tcPr>
                  <w:tcW w:w="6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400</w:t>
                  </w:r>
                </w:p>
              </w:tc>
              <w:tc>
                <w:tcPr>
                  <w:tcW w:w="88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40</w:t>
                  </w:r>
                </w:p>
              </w:tc>
              <w:tc>
                <w:tcPr>
                  <w:tcW w:w="12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8</w:t>
                  </w:r>
                </w:p>
              </w:tc>
              <w:tc>
                <w:tcPr>
                  <w:tcW w:w="768" w:type="dxa"/>
                  <w:tcBorders>
                    <w:tl2br w:val="nil"/>
                    <w:tr2bl w:val="nil"/>
                  </w:tcBorders>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48</w:t>
                  </w:r>
                </w:p>
              </w:tc>
              <w:tc>
                <w:tcPr>
                  <w:tcW w:w="85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48</w:t>
                  </w:r>
                </w:p>
              </w:tc>
              <w:tc>
                <w:tcPr>
                  <w:tcW w:w="977"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100</w:t>
                  </w:r>
                </w:p>
              </w:tc>
              <w:tc>
                <w:tcPr>
                  <w:tcW w:w="108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4.2</w:t>
                  </w:r>
                </w:p>
              </w:tc>
              <w:tc>
                <w:tcPr>
                  <w:tcW w:w="121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21"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2</w:t>
                  </w:r>
                </w:p>
              </w:tc>
              <w:tc>
                <w:tcPr>
                  <w:tcW w:w="993"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肖包寺2</w:t>
                  </w:r>
                </w:p>
              </w:tc>
              <w:tc>
                <w:tcPr>
                  <w:tcW w:w="6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400</w:t>
                  </w:r>
                </w:p>
              </w:tc>
              <w:tc>
                <w:tcPr>
                  <w:tcW w:w="88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30</w:t>
                  </w:r>
                </w:p>
              </w:tc>
              <w:tc>
                <w:tcPr>
                  <w:tcW w:w="12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6</w:t>
                  </w:r>
                </w:p>
              </w:tc>
              <w:tc>
                <w:tcPr>
                  <w:tcW w:w="768" w:type="dxa"/>
                  <w:tcBorders>
                    <w:tl2br w:val="nil"/>
                    <w:tr2bl w:val="nil"/>
                  </w:tcBorders>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36</w:t>
                  </w:r>
                </w:p>
              </w:tc>
              <w:tc>
                <w:tcPr>
                  <w:tcW w:w="85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36</w:t>
                  </w:r>
                </w:p>
              </w:tc>
              <w:tc>
                <w:tcPr>
                  <w:tcW w:w="977"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100</w:t>
                  </w:r>
                </w:p>
              </w:tc>
              <w:tc>
                <w:tcPr>
                  <w:tcW w:w="108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4.2</w:t>
                  </w:r>
                </w:p>
              </w:tc>
              <w:tc>
                <w:tcPr>
                  <w:tcW w:w="121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21"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3</w:t>
                  </w:r>
                </w:p>
              </w:tc>
              <w:tc>
                <w:tcPr>
                  <w:tcW w:w="993"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西宁关村</w:t>
                  </w:r>
                </w:p>
              </w:tc>
              <w:tc>
                <w:tcPr>
                  <w:tcW w:w="6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100</w:t>
                  </w:r>
                </w:p>
              </w:tc>
              <w:tc>
                <w:tcPr>
                  <w:tcW w:w="88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10</w:t>
                  </w:r>
                </w:p>
              </w:tc>
              <w:tc>
                <w:tcPr>
                  <w:tcW w:w="12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2</w:t>
                  </w:r>
                </w:p>
              </w:tc>
              <w:tc>
                <w:tcPr>
                  <w:tcW w:w="768" w:type="dxa"/>
                  <w:tcBorders>
                    <w:tl2br w:val="nil"/>
                    <w:tr2bl w:val="nil"/>
                  </w:tcBorders>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12</w:t>
                  </w:r>
                </w:p>
              </w:tc>
              <w:tc>
                <w:tcPr>
                  <w:tcW w:w="85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12</w:t>
                  </w:r>
                </w:p>
              </w:tc>
              <w:tc>
                <w:tcPr>
                  <w:tcW w:w="977"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100</w:t>
                  </w:r>
                </w:p>
              </w:tc>
              <w:tc>
                <w:tcPr>
                  <w:tcW w:w="108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4.2</w:t>
                  </w:r>
                </w:p>
              </w:tc>
              <w:tc>
                <w:tcPr>
                  <w:tcW w:w="121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21"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4</w:t>
                  </w:r>
                </w:p>
              </w:tc>
              <w:tc>
                <w:tcPr>
                  <w:tcW w:w="993"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烟囱村</w:t>
                  </w:r>
                </w:p>
              </w:tc>
              <w:tc>
                <w:tcPr>
                  <w:tcW w:w="6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50</w:t>
                  </w:r>
                </w:p>
              </w:tc>
              <w:tc>
                <w:tcPr>
                  <w:tcW w:w="88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5</w:t>
                  </w:r>
                </w:p>
              </w:tc>
              <w:tc>
                <w:tcPr>
                  <w:tcW w:w="12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1</w:t>
                  </w:r>
                </w:p>
              </w:tc>
              <w:tc>
                <w:tcPr>
                  <w:tcW w:w="768" w:type="dxa"/>
                  <w:tcBorders>
                    <w:tl2br w:val="nil"/>
                    <w:tr2bl w:val="nil"/>
                  </w:tcBorders>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6</w:t>
                  </w:r>
                </w:p>
              </w:tc>
              <w:tc>
                <w:tcPr>
                  <w:tcW w:w="85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6</w:t>
                  </w:r>
                </w:p>
              </w:tc>
              <w:tc>
                <w:tcPr>
                  <w:tcW w:w="977"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36</w:t>
                  </w:r>
                </w:p>
              </w:tc>
              <w:tc>
                <w:tcPr>
                  <w:tcW w:w="108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1.5</w:t>
                  </w:r>
                </w:p>
              </w:tc>
              <w:tc>
                <w:tcPr>
                  <w:tcW w:w="121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21"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kern w:val="0"/>
                    </w:rPr>
                    <w:t>5</w:t>
                  </w:r>
                </w:p>
              </w:tc>
              <w:tc>
                <w:tcPr>
                  <w:tcW w:w="993"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安宏村</w:t>
                  </w:r>
                </w:p>
              </w:tc>
              <w:tc>
                <w:tcPr>
                  <w:tcW w:w="6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color w:val="000000"/>
                    </w:rPr>
                  </w:pPr>
                  <w:r>
                    <w:rPr>
                      <w:rFonts w:hint="eastAsia" w:ascii="宋体" w:hAnsi="宋体" w:cs="宋体"/>
                      <w:color w:val="000000"/>
                    </w:rPr>
                    <w:t>20</w:t>
                  </w:r>
                </w:p>
              </w:tc>
              <w:tc>
                <w:tcPr>
                  <w:tcW w:w="88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2</w:t>
                  </w:r>
                </w:p>
              </w:tc>
              <w:tc>
                <w:tcPr>
                  <w:tcW w:w="124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0.4</w:t>
                  </w:r>
                </w:p>
              </w:tc>
              <w:tc>
                <w:tcPr>
                  <w:tcW w:w="768" w:type="dxa"/>
                  <w:tcBorders>
                    <w:tl2br w:val="nil"/>
                    <w:tr2bl w:val="nil"/>
                  </w:tcBorders>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2.4</w:t>
                  </w:r>
                </w:p>
              </w:tc>
              <w:tc>
                <w:tcPr>
                  <w:tcW w:w="85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2.4</w:t>
                  </w:r>
                </w:p>
              </w:tc>
              <w:tc>
                <w:tcPr>
                  <w:tcW w:w="977"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kern w:val="0"/>
                    </w:rPr>
                  </w:pPr>
                  <w:r>
                    <w:rPr>
                      <w:rFonts w:hint="eastAsia" w:ascii="宋体" w:hAnsi="宋体" w:cs="宋体"/>
                      <w:kern w:val="0"/>
                    </w:rPr>
                    <w:t>20</w:t>
                  </w:r>
                </w:p>
              </w:tc>
              <w:tc>
                <w:tcPr>
                  <w:tcW w:w="1080"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0.83</w:t>
                  </w:r>
                </w:p>
              </w:tc>
              <w:tc>
                <w:tcPr>
                  <w:tcW w:w="1215" w:type="dxa"/>
                  <w:tcBorders>
                    <w:tl2br w:val="nil"/>
                    <w:tr2bl w:val="nil"/>
                  </w:tcBorders>
                  <w:noWrap/>
                  <w:tcMar>
                    <w:top w:w="15" w:type="dxa"/>
                    <w:left w:w="15" w:type="dxa"/>
                    <w:right w:w="15" w:type="dxa"/>
                  </w:tcMar>
                  <w:vAlign w:val="center"/>
                </w:tcPr>
                <w:p>
                  <w:pPr>
                    <w:widowControl/>
                    <w:jc w:val="center"/>
                    <w:textAlignment w:val="center"/>
                    <w:rPr>
                      <w:rFonts w:ascii="宋体" w:hAnsi="宋体" w:cs="宋体"/>
                    </w:rPr>
                  </w:pPr>
                  <w:r>
                    <w:rPr>
                      <w:rFonts w:hint="eastAsia" w:ascii="宋体" w:hAnsi="宋体" w:cs="宋体"/>
                    </w:rPr>
                    <w:t>0.83</w:t>
                  </w:r>
                </w:p>
              </w:tc>
            </w:tr>
          </w:tbl>
          <w:p>
            <w:pPr>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3）水源论证</w:t>
            </w:r>
          </w:p>
          <w:p>
            <w:pPr>
              <w:spacing w:line="360" w:lineRule="auto"/>
              <w:ind w:firstLine="480" w:firstLineChars="200"/>
              <w:rPr>
                <w:rFonts w:ascii="Times New Roman" w:hAnsi="Times New Roman" w:cs="Times New Roman"/>
                <w:sz w:val="24"/>
              </w:rPr>
            </w:pPr>
            <w:r>
              <w:rPr>
                <w:rFonts w:hint="eastAsia" w:hAnsi="宋体"/>
                <w:sz w:val="24"/>
              </w:rPr>
              <w:t>松潘县山溪水水资源丰富且水质较好，原水源点水源未枯竭的可用作项目点的水源，原水源点已枯竭的可就近选择新水源点。</w:t>
            </w:r>
          </w:p>
          <w:p>
            <w:pPr>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4）水源确定</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根据以前在该区域实施农村供水经验，结合本项目区域的实际情况，经会同松潘县安宏乡相关领导和技术人员一同踏勘及讨论，确定松潘县山区大部分农村居民用水水源就近取用山区高处溪水或泉水，解决松潘县安宏乡970人的饮水不安全问题。</w:t>
            </w:r>
          </w:p>
          <w:p>
            <w:pPr>
              <w:spacing w:line="360" w:lineRule="auto"/>
              <w:ind w:firstLine="480" w:firstLineChars="200"/>
              <w:rPr>
                <w:rFonts w:ascii="Times New Roman" w:hAnsi="Times New Roman" w:cs="Times New Roman"/>
                <w:sz w:val="24"/>
              </w:rPr>
            </w:pPr>
            <w:r>
              <w:rPr>
                <w:rFonts w:hint="eastAsia" w:ascii="宋体" w:hAnsi="宋体" w:cs="宋体"/>
                <w:kern w:val="0"/>
                <w:sz w:val="24"/>
              </w:rPr>
              <w:t>项目点水源选择见下表：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表1-5  项目点水源选址统计表</w:t>
            </w:r>
          </w:p>
          <w:tbl>
            <w:tblPr>
              <w:tblStyle w:val="51"/>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190"/>
              <w:gridCol w:w="1190"/>
              <w:gridCol w:w="1190"/>
              <w:gridCol w:w="1190"/>
              <w:gridCol w:w="1190"/>
              <w:gridCol w:w="16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0" w:hRule="atLeast"/>
                <w:tblHeader/>
              </w:trPr>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rPr>
                    <w:t>序号</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rPr>
                    <w:t>乡镇名称</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rPr>
                    <w:t>实施地点</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b/>
                      <w:color w:val="FF0000"/>
                      <w:sz w:val="22"/>
                      <w:szCs w:val="22"/>
                    </w:rPr>
                  </w:pPr>
                  <w:r>
                    <w:rPr>
                      <w:rFonts w:hint="eastAsia" w:ascii="宋体" w:hAnsi="宋体" w:cs="宋体"/>
                      <w:b/>
                      <w:kern w:val="0"/>
                      <w:sz w:val="22"/>
                      <w:szCs w:val="22"/>
                    </w:rPr>
                    <w:t>水源类型</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b/>
                      <w:sz w:val="22"/>
                      <w:szCs w:val="22"/>
                    </w:rPr>
                  </w:pPr>
                  <w:r>
                    <w:rPr>
                      <w:rFonts w:hint="eastAsia" w:ascii="宋体" w:hAnsi="宋体" w:cs="宋体"/>
                      <w:b/>
                      <w:kern w:val="0"/>
                      <w:sz w:val="22"/>
                      <w:szCs w:val="22"/>
                    </w:rPr>
                    <w:t>水源水量(m</w:t>
                  </w:r>
                  <w:r>
                    <w:rPr>
                      <w:rFonts w:hint="eastAsia" w:ascii="宋体" w:hAnsi="宋体" w:cs="宋体"/>
                      <w:b/>
                      <w:kern w:val="0"/>
                      <w:sz w:val="22"/>
                      <w:szCs w:val="22"/>
                      <w:vertAlign w:val="superscript"/>
                    </w:rPr>
                    <w:t>3</w:t>
                  </w:r>
                  <w:r>
                    <w:rPr>
                      <w:rFonts w:hint="eastAsia" w:ascii="宋体" w:hAnsi="宋体" w:cs="宋体"/>
                      <w:b/>
                      <w:kern w:val="0"/>
                      <w:sz w:val="22"/>
                      <w:szCs w:val="22"/>
                    </w:rPr>
                    <w:t>/d)</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b/>
                      <w:sz w:val="22"/>
                      <w:szCs w:val="22"/>
                    </w:rPr>
                  </w:pPr>
                  <w:r>
                    <w:rPr>
                      <w:rFonts w:hint="eastAsia" w:ascii="宋体" w:hAnsi="宋体" w:cs="宋体"/>
                      <w:b/>
                      <w:kern w:val="0"/>
                      <w:sz w:val="22"/>
                      <w:szCs w:val="22"/>
                    </w:rPr>
                    <w:t>供水规模(m</w:t>
                  </w:r>
                  <w:r>
                    <w:rPr>
                      <w:rFonts w:hint="eastAsia" w:ascii="宋体" w:hAnsi="宋体" w:cs="宋体"/>
                      <w:b/>
                      <w:kern w:val="0"/>
                      <w:sz w:val="22"/>
                      <w:szCs w:val="22"/>
                      <w:vertAlign w:val="superscript"/>
                    </w:rPr>
                    <w:t>3</w:t>
                  </w:r>
                  <w:r>
                    <w:rPr>
                      <w:rFonts w:hint="eastAsia" w:ascii="宋体" w:hAnsi="宋体" w:cs="宋体"/>
                      <w:b/>
                      <w:kern w:val="0"/>
                      <w:sz w:val="22"/>
                      <w:szCs w:val="22"/>
                    </w:rPr>
                    <w:t>/d)</w:t>
                  </w:r>
                </w:p>
              </w:tc>
              <w:tc>
                <w:tcPr>
                  <w:tcW w:w="1620" w:type="dxa"/>
                  <w:tcBorders>
                    <w:tl2br w:val="nil"/>
                    <w:tr2bl w:val="nil"/>
                  </w:tcBorders>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190" w:type="dxa"/>
                  <w:vMerge w:val="restart"/>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安宏乡</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肖包寺村</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泉水</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100</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48</w:t>
                  </w:r>
                </w:p>
              </w:tc>
              <w:tc>
                <w:tcPr>
                  <w:tcW w:w="1620" w:type="dxa"/>
                  <w:vMerge w:val="restart"/>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水源均为当地村民原自发取饮用水，未设为集中饮用水源，本次全部新建饮用水源点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19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肖包寺村</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泉水</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100</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36</w:t>
                  </w:r>
                </w:p>
              </w:tc>
              <w:tc>
                <w:tcPr>
                  <w:tcW w:w="162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119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西宁关村</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山溪水</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100</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12</w:t>
                  </w:r>
                </w:p>
              </w:tc>
              <w:tc>
                <w:tcPr>
                  <w:tcW w:w="162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119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烟囱村</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山溪水</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36</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6</w:t>
                  </w:r>
                </w:p>
              </w:tc>
              <w:tc>
                <w:tcPr>
                  <w:tcW w:w="162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119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安宏村</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泉水</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20</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kern w:val="0"/>
                    </w:rPr>
                    <w:t>2.4</w:t>
                  </w:r>
                </w:p>
              </w:tc>
              <w:tc>
                <w:tcPr>
                  <w:tcW w:w="1620"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sz w:val="22"/>
                      <w:szCs w:val="2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kern w:val="0"/>
                      <w:sz w:val="22"/>
                      <w:szCs w:val="22"/>
                    </w:rPr>
                  </w:pP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356</w:t>
                  </w:r>
                </w:p>
              </w:tc>
              <w:tc>
                <w:tcPr>
                  <w:tcW w:w="1190" w:type="dxa"/>
                  <w:tcBorders>
                    <w:tl2br w:val="nil"/>
                    <w:tr2bl w:val="nil"/>
                  </w:tcBorders>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104.4</w:t>
                  </w:r>
                </w:p>
              </w:tc>
              <w:tc>
                <w:tcPr>
                  <w:tcW w:w="162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w:t>
                  </w:r>
                </w:p>
              </w:tc>
            </w:tr>
          </w:tbl>
          <w:p>
            <w:pPr>
              <w:spacing w:line="360" w:lineRule="auto"/>
              <w:ind w:firstLine="480" w:firstLineChars="200"/>
              <w:rPr>
                <w:rFonts w:hint="eastAsia" w:ascii="Times New Roman" w:hAnsi="Times New Roman" w:cs="Times New Roman"/>
                <w:b/>
                <w:sz w:val="24"/>
                <w:szCs w:val="24"/>
              </w:rPr>
            </w:pPr>
            <w:r>
              <w:rPr>
                <w:rFonts w:hint="eastAsia"/>
                <w:sz w:val="24"/>
                <w:szCs w:val="24"/>
              </w:rPr>
              <w:t>由此可见，项目所选水源能满足项目供水需求。</w:t>
            </w:r>
          </w:p>
          <w:p>
            <w:pPr>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5）水质监测</w:t>
            </w:r>
          </w:p>
          <w:p>
            <w:pPr>
              <w:spacing w:line="360" w:lineRule="auto"/>
              <w:ind w:firstLine="480" w:firstLineChars="200"/>
              <w:rPr>
                <w:rFonts w:cs="Times New Roman"/>
                <w:sz w:val="24"/>
              </w:rPr>
            </w:pPr>
            <w:r>
              <w:rPr>
                <w:rFonts w:hint="eastAsia" w:ascii="Times New Roman" w:hAnsi="Times New Roman" w:cs="Times New Roman"/>
                <w:sz w:val="24"/>
              </w:rPr>
              <w:t>2020年5月，松潘县安宏乡人民政府委托成都天健新业检测技术服务有限公司对松潘县安宏乡安宏村、肖包寺村、烟囱村、西宁关村的饮用水水源水质进行了检测，</w:t>
            </w:r>
            <w:r>
              <w:rPr>
                <w:rFonts w:hint="eastAsia" w:ascii="Times New Roman" w:hAnsi="Times New Roman" w:eastAsia="宋体" w:cs="Times New Roman"/>
                <w:sz w:val="24"/>
              </w:rPr>
              <w:t>项目水源地的水质情况</w:t>
            </w:r>
            <w:r>
              <w:rPr>
                <w:rFonts w:hint="eastAsia" w:ascii="Times New Roman" w:hAnsi="Times New Roman" w:cs="Times New Roman"/>
                <w:sz w:val="24"/>
              </w:rPr>
              <w:t>较好</w:t>
            </w:r>
            <w:r>
              <w:rPr>
                <w:rFonts w:hint="eastAsia" w:ascii="Times New Roman" w:hAnsi="Times New Roman" w:eastAsia="宋体" w:cs="Times New Roman"/>
                <w:sz w:val="24"/>
              </w:rPr>
              <w:t>，具体水质详见</w:t>
            </w:r>
            <w:r>
              <w:rPr>
                <w:rFonts w:hint="eastAsia" w:cs="Times New Roman"/>
                <w:sz w:val="24"/>
              </w:rPr>
              <w:t>附件6。</w:t>
            </w:r>
            <w:r>
              <w:rPr>
                <w:rFonts w:hint="eastAsia" w:hAnsi="宋体"/>
                <w:sz w:val="24"/>
              </w:rPr>
              <w:t>本监测报告为建设前的送样检测，本项目建成后投入使用前，再由卫生部门介入监测，确认达标即可投入运行使用。</w:t>
            </w:r>
          </w:p>
          <w:p>
            <w:pPr>
              <w:spacing w:line="360" w:lineRule="auto"/>
              <w:ind w:firstLine="480" w:firstLineChars="200"/>
              <w:rPr>
                <w:rFonts w:ascii="宋体" w:hAnsi="宋体"/>
                <w:sz w:val="24"/>
              </w:rPr>
            </w:pPr>
            <w:r>
              <w:rPr>
                <w:rFonts w:hint="eastAsia" w:ascii="Times New Roman" w:hAnsi="Times New Roman" w:cs="Times New Roman"/>
                <w:sz w:val="24"/>
              </w:rPr>
              <w:t>监测因子包括：色度、浑浊度、臭和味、肉眼可见物、pH、铝、铁、锰、铜、锌、氯化物、硫酸盐、氯酸盐、亚氯酸盐、溶解性总固体、总硬度、耗氧量、挥发酚类、阴离子合成洗涤剂、砷、镉、铬、铅、汞、硒、氟化物、硝酸盐氮、三氯甲烷、四氯化碳、氰化物、氨氮、二氧化氯、细菌总数、总大肠菌群等34个指标进行了监测由监测数据得知，该各项指标符合《生活饮用水卫生标准》（GB5749-2006），达到了《地表水环境质量标准》（GB3838-2002）中Ⅱ类水域标准。</w:t>
            </w:r>
          </w:p>
          <w:p>
            <w:pPr>
              <w:spacing w:line="360" w:lineRule="auto"/>
              <w:ind w:firstLine="480" w:firstLineChars="200"/>
              <w:rPr>
                <w:rFonts w:hint="default" w:ascii="宋体" w:hAnsi="宋体" w:eastAsiaTheme="minorEastAsia"/>
                <w:sz w:val="24"/>
                <w:lang w:val="en-US" w:eastAsia="zh-CN"/>
              </w:rPr>
            </w:pPr>
            <w:r>
              <w:rPr>
                <w:rFonts w:ascii="宋体" w:hAnsi="宋体" w:cs="宋体"/>
                <w:kern w:val="0"/>
                <w:sz w:val="24"/>
              </w:rPr>
              <w:t>本工程供水工程项目各水源点选用的水源大部分为</w:t>
            </w:r>
            <w:r>
              <w:rPr>
                <w:rFonts w:hint="eastAsia" w:ascii="宋体" w:hAnsi="宋体" w:cs="宋体"/>
                <w:kern w:val="0"/>
                <w:sz w:val="24"/>
              </w:rPr>
              <w:t>泉水</w:t>
            </w:r>
            <w:r>
              <w:rPr>
                <w:rFonts w:ascii="宋体" w:hAnsi="宋体" w:cs="宋体"/>
                <w:kern w:val="0"/>
                <w:sz w:val="24"/>
              </w:rPr>
              <w:t>，根据现场实际踏勘情况，本工程所涉及水源水质较好，经简单的</w:t>
            </w:r>
            <w:r>
              <w:rPr>
                <w:rFonts w:ascii="宋体" w:hAnsi="宋体" w:cs="宋体"/>
                <w:b/>
                <w:kern w:val="0"/>
                <w:sz w:val="24"/>
              </w:rPr>
              <w:t>消毒</w:t>
            </w:r>
            <w:r>
              <w:rPr>
                <w:rFonts w:ascii="宋体" w:hAnsi="宋体" w:cs="宋体"/>
                <w:kern w:val="0"/>
                <w:sz w:val="24"/>
              </w:rPr>
              <w:t>处理后均能达到《生活饮用水卫生标准》（GB5749）的要求。</w:t>
            </w:r>
            <w:r>
              <w:rPr>
                <w:rFonts w:hint="eastAsia" w:ascii="宋体" w:hAnsi="宋体" w:cs="宋体"/>
                <w:kern w:val="0"/>
                <w:sz w:val="24"/>
              </w:rPr>
              <w:t>小部分水源为山区高处山溪水，</w:t>
            </w:r>
            <w:r>
              <w:rPr>
                <w:rFonts w:ascii="宋体" w:hAnsi="宋体" w:cs="宋体"/>
                <w:kern w:val="0"/>
                <w:sz w:val="24"/>
              </w:rPr>
              <w:t>根据现场实际踏勘情况，本工程所涉及</w:t>
            </w:r>
            <w:r>
              <w:rPr>
                <w:rFonts w:hint="eastAsia" w:ascii="宋体" w:hAnsi="宋体" w:cs="宋体"/>
                <w:kern w:val="0"/>
                <w:sz w:val="24"/>
              </w:rPr>
              <w:t>山溪水</w:t>
            </w:r>
            <w:r>
              <w:rPr>
                <w:rFonts w:ascii="宋体" w:hAnsi="宋体" w:cs="宋体"/>
                <w:kern w:val="0"/>
                <w:sz w:val="24"/>
              </w:rPr>
              <w:t>水质</w:t>
            </w:r>
            <w:r>
              <w:rPr>
                <w:rFonts w:hint="eastAsia" w:ascii="宋体" w:hAnsi="宋体" w:cs="宋体"/>
                <w:kern w:val="0"/>
                <w:sz w:val="24"/>
              </w:rPr>
              <w:t>也</w:t>
            </w:r>
            <w:r>
              <w:rPr>
                <w:rFonts w:ascii="宋体" w:hAnsi="宋体" w:cs="宋体"/>
                <w:kern w:val="0"/>
                <w:sz w:val="24"/>
              </w:rPr>
              <w:t>较好，经简单的</w:t>
            </w:r>
            <w:r>
              <w:rPr>
                <w:rFonts w:hint="eastAsia" w:ascii="宋体" w:hAnsi="宋体" w:cs="宋体"/>
                <w:b/>
                <w:kern w:val="0"/>
                <w:sz w:val="24"/>
              </w:rPr>
              <w:t>沉淀、</w:t>
            </w:r>
            <w:r>
              <w:rPr>
                <w:rFonts w:ascii="宋体" w:hAnsi="宋体" w:cs="宋体"/>
                <w:b/>
                <w:kern w:val="0"/>
                <w:sz w:val="24"/>
              </w:rPr>
              <w:t>过滤</w:t>
            </w:r>
            <w:r>
              <w:rPr>
                <w:rFonts w:hint="eastAsia" w:ascii="宋体" w:hAnsi="宋体" w:cs="宋体"/>
                <w:b/>
                <w:kern w:val="0"/>
                <w:sz w:val="24"/>
              </w:rPr>
              <w:t>、</w:t>
            </w:r>
            <w:r>
              <w:rPr>
                <w:rFonts w:ascii="宋体" w:hAnsi="宋体" w:cs="宋体"/>
                <w:b/>
                <w:kern w:val="0"/>
                <w:sz w:val="24"/>
              </w:rPr>
              <w:t>消毒</w:t>
            </w:r>
            <w:r>
              <w:rPr>
                <w:rFonts w:ascii="宋体" w:hAnsi="宋体" w:cs="宋体"/>
                <w:kern w:val="0"/>
                <w:sz w:val="24"/>
              </w:rPr>
              <w:t>处理后</w:t>
            </w:r>
            <w:r>
              <w:rPr>
                <w:rFonts w:hint="eastAsia" w:ascii="宋体" w:hAnsi="宋体" w:cs="宋体"/>
                <w:kern w:val="0"/>
                <w:sz w:val="24"/>
              </w:rPr>
              <w:t>也</w:t>
            </w:r>
            <w:r>
              <w:rPr>
                <w:rFonts w:ascii="宋体" w:hAnsi="宋体" w:cs="宋体"/>
                <w:kern w:val="0"/>
                <w:sz w:val="24"/>
              </w:rPr>
              <w:t>能达到《生活饮用水卫生标准》（GB5749）的要求。</w:t>
            </w:r>
            <w:r>
              <w:rPr>
                <w:rFonts w:hint="eastAsia" w:ascii="宋体" w:hAnsi="宋体" w:cs="宋体"/>
                <w:kern w:val="0"/>
                <w:sz w:val="24"/>
                <w:lang w:val="en-US" w:eastAsia="zh-CN"/>
              </w:rPr>
              <w:t>沉淀蓄水池的污泥泥沙定期清理后用于农村低洼地的填平，禁止进行地表水体。</w:t>
            </w:r>
          </w:p>
          <w:p>
            <w:pPr>
              <w:spacing w:line="360" w:lineRule="auto"/>
              <w:ind w:firstLine="480" w:firstLineChars="200"/>
              <w:rPr>
                <w:rFonts w:ascii="宋体" w:hAnsi="宋体"/>
                <w:sz w:val="24"/>
              </w:rPr>
            </w:pPr>
            <w:r>
              <w:rPr>
                <w:rFonts w:ascii="宋体" w:hAnsi="宋体"/>
                <w:sz w:val="24"/>
              </w:rPr>
              <w:t>根据规范，四川属</w:t>
            </w:r>
            <w:r>
              <w:rPr>
                <w:rFonts w:hint="eastAsia" w:ascii="宋体" w:hAnsi="宋体"/>
                <w:sz w:val="24"/>
              </w:rPr>
              <w:t>一</w:t>
            </w:r>
            <w:r>
              <w:rPr>
                <w:rFonts w:ascii="宋体" w:hAnsi="宋体"/>
                <w:sz w:val="24"/>
              </w:rPr>
              <w:t>类地区，按户内有水龙头，有洗涤池，其它卫生设施较少考虑，供水定额农村取</w:t>
            </w:r>
            <w:r>
              <w:rPr>
                <w:rFonts w:hint="eastAsia" w:ascii="宋体" w:hAnsi="宋体"/>
                <w:sz w:val="24"/>
              </w:rPr>
              <w:t>100</w:t>
            </w:r>
            <w:r>
              <w:rPr>
                <w:rFonts w:ascii="宋体" w:hAnsi="宋体"/>
                <w:sz w:val="24"/>
              </w:rPr>
              <w:t>L/人</w:t>
            </w:r>
            <w:r>
              <w:rPr>
                <w:rFonts w:hint="eastAsia" w:ascii="宋体" w:hAnsi="宋体"/>
                <w:sz w:val="24"/>
              </w:rPr>
              <w:t>·</w:t>
            </w:r>
            <w:r>
              <w:rPr>
                <w:rFonts w:ascii="宋体" w:hAnsi="宋体"/>
                <w:sz w:val="24"/>
              </w:rPr>
              <w:t>d。</w:t>
            </w:r>
            <w:r>
              <w:rPr>
                <w:rFonts w:hint="eastAsia" w:ascii="宋体" w:hAnsi="宋体"/>
                <w:sz w:val="24"/>
              </w:rPr>
              <w:t>本工程</w:t>
            </w:r>
            <w:r>
              <w:rPr>
                <w:rFonts w:ascii="宋体" w:hAnsi="宋体"/>
                <w:sz w:val="24"/>
              </w:rPr>
              <w:t>公共建筑用</w:t>
            </w:r>
            <w:r>
              <w:rPr>
                <w:rFonts w:hint="eastAsia" w:ascii="宋体" w:hAnsi="宋体"/>
                <w:sz w:val="24"/>
              </w:rPr>
              <w:t>水取0，</w:t>
            </w:r>
            <w:r>
              <w:rPr>
                <w:rFonts w:ascii="宋体" w:hAnsi="宋体"/>
                <w:sz w:val="24"/>
              </w:rPr>
              <w:t>管网漏失及未预见用水量</w:t>
            </w:r>
            <w:r>
              <w:rPr>
                <w:rFonts w:hint="eastAsia" w:ascii="宋体" w:hAnsi="宋体"/>
                <w:sz w:val="24"/>
              </w:rPr>
              <w:t>取20</w:t>
            </w:r>
            <w:r>
              <w:rPr>
                <w:rFonts w:ascii="宋体" w:hAnsi="宋体"/>
                <w:sz w:val="24"/>
              </w:rPr>
              <w:t>%</w:t>
            </w:r>
            <w:r>
              <w:rPr>
                <w:rFonts w:hint="eastAsia" w:ascii="宋体" w:hAnsi="宋体"/>
                <w:sz w:val="24"/>
              </w:rPr>
              <w:t>。</w:t>
            </w:r>
            <w:r>
              <w:rPr>
                <w:rFonts w:ascii="宋体" w:hAnsi="宋体"/>
                <w:sz w:val="24"/>
              </w:rPr>
              <w:t>经计算</w:t>
            </w:r>
            <w:r>
              <w:rPr>
                <w:rFonts w:hint="eastAsia" w:ascii="宋体" w:hAnsi="宋体"/>
                <w:sz w:val="24"/>
              </w:rPr>
              <w:t>本工程</w:t>
            </w:r>
            <w:r>
              <w:rPr>
                <w:rFonts w:ascii="宋体" w:hAnsi="宋体"/>
                <w:sz w:val="24"/>
              </w:rPr>
              <w:t>供水规模</w:t>
            </w:r>
            <w:r>
              <w:rPr>
                <w:rFonts w:hint="eastAsia" w:ascii="宋体" w:hAnsi="宋体"/>
                <w:sz w:val="24"/>
              </w:rPr>
              <w:t>104.4m³/d</w:t>
            </w:r>
            <w:r>
              <w:rPr>
                <w:rFonts w:ascii="宋体" w:hAnsi="宋体"/>
                <w:sz w:val="24"/>
              </w:rPr>
              <w:t>。</w:t>
            </w:r>
          </w:p>
          <w:p>
            <w:pPr>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5、水源保护</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工程建成后，供水单位应按照国家颁发的《饮用水水源保护区污染防治管理规定》的要求，结合实际情况，</w:t>
            </w:r>
            <w:r>
              <w:rPr>
                <w:rFonts w:hint="eastAsia" w:ascii="Times New Roman" w:hAnsi="Times New Roman" w:cs="Times New Roman"/>
                <w:sz w:val="24"/>
                <w:lang w:val="en-US" w:eastAsia="zh-CN"/>
              </w:rPr>
              <w:t>因本项目水源均在农村山区，采用的主要为山溪水和山泉水，周边无工业企业和污染类的项目，仅有居民放牧可能会对饮用水源造成影响。因此，本项目应</w:t>
            </w:r>
            <w:r>
              <w:rPr>
                <w:rFonts w:hint="eastAsia" w:ascii="Times New Roman" w:hAnsi="Times New Roman" w:cs="Times New Roman"/>
                <w:sz w:val="24"/>
              </w:rPr>
              <w:t>合理设置生活饮用水水源保护，并经常巡视，及时处理影响水源安全的问题。</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（1）水源保护</w:t>
            </w:r>
            <w:r>
              <w:rPr>
                <w:rFonts w:hint="eastAsia" w:ascii="Times New Roman" w:hAnsi="Times New Roman" w:cs="Times New Roman"/>
                <w:sz w:val="24"/>
                <w:lang w:val="en-US" w:eastAsia="zh-CN"/>
              </w:rPr>
              <w:t>建议</w:t>
            </w:r>
            <w:r>
              <w:rPr>
                <w:rFonts w:hint="eastAsia" w:ascii="Times New Roman" w:hAnsi="Times New Roman" w:cs="Times New Roman"/>
                <w:sz w:val="24"/>
              </w:rPr>
              <w:t>执行以下要求：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①宣传并严格贯彻执行《四川省饮用水水源保护条例》（四川省人民政府）、《四川省农村供水工程运行管理办法（试行）》（四川省水利厅）。</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②对水开发要有规划，以防乱采，破坏水源。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③加强水源管理工作，对水源进行长期的水质检测。</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（2）地表水饮用水源保护区划分为：</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建议划定一定区域的饮用水源保护区。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（3）在保护区内禁止从事下列活动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①任何单位和个人在饮用水水源保护区内禁止从事下列活动：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a、破坏水源涵养林及水源区周边保护区内植被；</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b、倾倒生活垃圾、粪便及其他废弃物；</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c、装载有毒有害物质、油类、粪便而无防渗、防溢、防漏设施的船舶和车辆通过保护区；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d、使用剧毒和高残留农药；</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e、使用炸药、毒药捕杀水生动物。</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②在保护区禁区内禁止从事下列活动：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a、建设有碍供水设施和保护饮用水水源的建筑物；</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b、设置排污口向水体排放污水，已设置的排污口必须限期拆除；</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c、在水域中放养禽畜、养殖、水上娱乐活动、非环保性水上作业。</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③在保护区内禁止从事下列活动：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a、向水域排放污水；</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b、新建、改建、扩建对水源有污染危害的建设项目；</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c、放牧和其它养殖；</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d、从事旅游和其他可能污染水源的活动；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e、集中堆放工业废渣、生活垃圾、粪便和其他废弃物；</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f、建立基地和掩埋动物尸体；</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g、不得新建、扩建严重污染水域的建设项目，改建和技术改造项目必须削减污染物排放量；</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h、已有的排污口必须削减污染物排放总量，保证保护区内水质符合地表水III类环境质量标准，并进一步达到地表水II类环境质量标准；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i、根据水质水量，严格控制网箱养殖规模。</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④在准保护区内，必须遵守下列规定：</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a、不得新建小型制浆造纸、印染、化工、制革、电镀、土焦及其他严重污染水源的项目。</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b、向水域排放污水，严格实行浓度和总量双控制。</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同时，松潘县安宏乡人民中与环保等有关部门密切配合，加强饮用水源监督管理，加强对饮用水源地排污口的监测，禁止向饮用水源投放污染物、肥水养鱼等污染水资源行为，并定期与不定期开展水质抽样检测化验，坚持做到水质未达国家生活饮用水标准不出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环保、水务、卫生等有关行政主管部门组织制订相关的水资源保护制度，并建立联系机制，依照各自的职责，相互配合，共同加强监督管理，搞好水源水质检测，发现有水源污染问题及时查明原因，并采取有效措施进行整治，对造成水源污染，水质变化的，应按照“谁破坏，谁负责；谁污染，谁治理”的制度予以处理；对蓄意破坏农村饮水工程的，按照国家的有关法律法规，坚决进行查处并依法追究其法律责任。</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开展植树造林活动，号召人们在水源地周边植树造林，涵养水份，净化水质，使青山更青，绿水更绿，达到环境保护与经济效益“双赢”。不定期的举办饮水安全问题讲座，向大家讲明污染水源实际上就是害自己，提高群众的自觉意识，争取在群众意识之中牢固树立起保护水源的意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次工程中，各工程取水口位置偏僻，人迹罕至，故不涉及常见的化工、废水等各种污染，常见的污染为牲畜用水污染，但其发生概率小，故本次工程设计上拟于取水口旁设立警示桩，警示桩采用0.2m×0.2m×1.2m高预制C20F150混凝土，埋深0.4m，顶部采用红白相间警示色。</w:t>
            </w:r>
          </w:p>
          <w:p>
            <w:pPr>
              <w:spacing w:line="360" w:lineRule="auto"/>
              <w:ind w:firstLine="480" w:firstLineChars="200"/>
              <w:rPr>
                <w:rFonts w:ascii="Times New Roman" w:hAnsi="Times New Roman" w:cs="Times New Roman"/>
                <w:sz w:val="24"/>
              </w:rPr>
            </w:pPr>
            <w:r>
              <w:rPr>
                <w:rFonts w:hint="eastAsia" w:ascii="Times New Roman" w:hAnsi="Times New Roman" w:cs="Times New Roman"/>
                <w:b/>
                <w:sz w:val="24"/>
              </w:rPr>
              <w:t>6、项目三线一单符合性</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根据环境保护部2016年10月27日下发的《关于以改善环境质量为核心加强环境影响评价管理的通知》(环评</w:t>
            </w:r>
            <w:r>
              <w:rPr>
                <w:rFonts w:hint="eastAsia" w:ascii="Times New Roman" w:hAnsi="Times New Roman" w:cs="Times New Roman"/>
                <w:sz w:val="24"/>
                <w:lang w:val="en-US" w:eastAsia="zh-CN"/>
              </w:rPr>
              <w:t>[</w:t>
            </w:r>
            <w:r>
              <w:rPr>
                <w:rFonts w:hint="eastAsia" w:ascii="Times New Roman" w:hAnsi="Times New Roman" w:cs="Times New Roman"/>
                <w:sz w:val="24"/>
              </w:rPr>
              <w:t>2016</w:t>
            </w:r>
            <w:r>
              <w:rPr>
                <w:rFonts w:hint="eastAsia" w:ascii="Times New Roman" w:hAnsi="Times New Roman" w:cs="Times New Roman"/>
                <w:sz w:val="24"/>
                <w:lang w:val="en-US" w:eastAsia="zh-CN"/>
              </w:rPr>
              <w:t>]</w:t>
            </w:r>
            <w:r>
              <w:rPr>
                <w:rFonts w:hint="eastAsia" w:ascii="Times New Roman" w:hAnsi="Times New Roman" w:cs="Times New Roman"/>
                <w:sz w:val="24"/>
              </w:rPr>
              <w:t>15</w:t>
            </w:r>
            <w:r>
              <w:rPr>
                <w:rFonts w:hint="eastAsia" w:ascii="Times New Roman" w:hAnsi="Times New Roman" w:cs="Times New Roman"/>
                <w:sz w:val="24"/>
                <w:lang w:val="en-US" w:eastAsia="zh-CN"/>
              </w:rPr>
              <w:t>0</w:t>
            </w:r>
            <w:r>
              <w:rPr>
                <w:rFonts w:hint="eastAsia" w:ascii="Times New Roman" w:hAnsi="Times New Roman" w:cs="Times New Roman"/>
                <w:sz w:val="24"/>
              </w:rPr>
              <w:t>号)要求。切实加强环境影响评价管理，落实“生态保护红线、环境质量底线、资源利用上线和环境准入负面清单”约束，建立项目环评审批与规划环评、现有项目环幢管理、区域环境质量联动机制，更好地发挥环评制度从源头防范环境污染和生态破坏的作用，加快推进改善环境质量。本项目的“三线一单，符合性分析如下：</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(1)生态保护红线</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本项目位于松潘县</w:t>
            </w:r>
            <w:r>
              <w:rPr>
                <w:rFonts w:hint="eastAsia" w:ascii="Times New Roman" w:hAnsi="Times New Roman" w:cs="Times New Roman"/>
                <w:color w:val="000000" w:themeColor="text1"/>
                <w:sz w:val="24"/>
              </w:rPr>
              <w:t>安宏乡肖包寺村、西宁关村、安宏村、烟囱村</w:t>
            </w:r>
            <w:r>
              <w:rPr>
                <w:rFonts w:hint="eastAsia" w:cs="Times New Roman"/>
                <w:sz w:val="24"/>
              </w:rPr>
              <w:t>，共5个项目点。</w:t>
            </w:r>
            <w:r>
              <w:rPr>
                <w:rFonts w:hint="eastAsia" w:ascii="Times New Roman" w:hAnsi="Times New Roman" w:cs="Times New Roman"/>
                <w:sz w:val="24"/>
              </w:rPr>
              <w:t>周边无自然保护区、饮用水源保护区等生态保护目标，</w:t>
            </w:r>
            <w:r>
              <w:rPr>
                <w:rFonts w:hint="eastAsia" w:ascii="Times New Roman" w:hAnsi="Times New Roman" w:cs="Times New Roman"/>
                <w:sz w:val="24"/>
                <w:lang w:val="en-US" w:eastAsia="zh-CN"/>
              </w:rPr>
              <w:t>根据松潘县自然资源局出具的《关于安宏乡饮水工程建设项目生态红线审查的复函》（松自然资函[2020]334号）（见附件7）可知，安宏乡饮水项目不在松潘县生态红线范围内，本项目</w:t>
            </w:r>
            <w:r>
              <w:rPr>
                <w:rFonts w:hint="eastAsia" w:ascii="Times New Roman" w:hAnsi="Times New Roman" w:cs="Times New Roman"/>
                <w:sz w:val="24"/>
              </w:rPr>
              <w:t>符合生态保护红线要求。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(2)环境质量底线</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环境质量现状监测数据，本项目附近的大气环境、地表水环境、声环境均能满足相应的质量标准要求，本项目产生的废气经采取密闭，除尘器等措施后，对环境影响较小；生活污水经预处理后定期清运用作农肥。不排放，不会对水环境产生影响；厂区对产噪设备采取隔声、减震等措施后对周边声环境的影响较小。</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(3)资源利用上线</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本项目营运过程中会消耗一定量的电源、水资源以及石子砂子资源，项目水电能源消耗量相对区域资源利用总量较少，项目饮水取自当地山泉水和山溪水，仅供当地村民引用， 不会破坏当地的水力形式，对当地的地表水和地下水流畅不会造成影响，因此项目符合资源利用上线的要求。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（4）环境准入负面清单</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本项目位于松潘县</w:t>
            </w:r>
            <w:r>
              <w:rPr>
                <w:rFonts w:hint="eastAsia" w:ascii="Times New Roman" w:hAnsi="Times New Roman" w:cs="Times New Roman"/>
                <w:color w:val="000000" w:themeColor="text1"/>
                <w:sz w:val="24"/>
              </w:rPr>
              <w:t>安宏乡肖包寺村、西宁关村、安宏村、烟囱村</w:t>
            </w:r>
            <w:r>
              <w:rPr>
                <w:rFonts w:hint="eastAsia" w:cs="Times New Roman"/>
                <w:sz w:val="24"/>
              </w:rPr>
              <w:t>，共5个项目点。</w:t>
            </w:r>
            <w:r>
              <w:rPr>
                <w:rFonts w:hint="eastAsia" w:ascii="Times New Roman" w:hAnsi="Times New Roman" w:cs="Times New Roman"/>
                <w:sz w:val="24"/>
              </w:rPr>
              <w:t>本项目不在该区域的环境负面清单范围内，符合相关规划。</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不属于中华人民共和国国土资源部《限制用地项目目录(2012年本)》中规定的限制用地项目类别。亦不属于《禁止用地项目目录（2012年本）》中规定的限制用地项目类别，可视为允许类项目。用地符合《四川省阿坝州松潘县土地利用总体规划（</w:t>
            </w:r>
            <w:r>
              <w:rPr>
                <w:rFonts w:ascii="Times New Roman" w:hAnsi="Times New Roman" w:cs="Times New Roman"/>
                <w:sz w:val="24"/>
              </w:rPr>
              <w:t>2006</w:t>
            </w:r>
            <w:r>
              <w:rPr>
                <w:rFonts w:hint="eastAsia" w:ascii="Times New Roman" w:hAnsi="Times New Roman" w:cs="Times New Roman"/>
                <w:sz w:val="24"/>
              </w:rPr>
              <w:t>-</w:t>
            </w:r>
            <w:r>
              <w:rPr>
                <w:rFonts w:ascii="Times New Roman" w:hAnsi="Times New Roman" w:cs="Times New Roman"/>
                <w:sz w:val="24"/>
              </w:rPr>
              <w:t>2020</w:t>
            </w:r>
            <w:r>
              <w:rPr>
                <w:rFonts w:hint="eastAsia" w:ascii="Times New Roman" w:hAnsi="Times New Roman" w:cs="Times New Roman"/>
                <w:sz w:val="24"/>
              </w:rPr>
              <w:t>）》，不占用基本农田。</w:t>
            </w:r>
          </w:p>
          <w:p>
            <w:pPr>
              <w:widowControl/>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综上，项目符合当地相关规划。</w:t>
            </w:r>
          </w:p>
          <w:p>
            <w:pPr>
              <w:spacing w:line="360" w:lineRule="auto"/>
              <w:rPr>
                <w:rFonts w:ascii="Times New Roman" w:hAnsi="Times New Roman" w:cs="Times New Roman"/>
                <w:b/>
                <w:color w:val="000000" w:themeColor="text1"/>
                <w:sz w:val="28"/>
                <w:szCs w:val="28"/>
              </w:rPr>
            </w:pPr>
            <w:r>
              <w:rPr>
                <w:rFonts w:hint="eastAsia" w:ascii="Times New Roman" w:hAnsi="Times New Roman" w:cs="Times New Roman"/>
                <w:b/>
                <w:color w:val="000000" w:themeColor="text1"/>
                <w:sz w:val="28"/>
                <w:szCs w:val="28"/>
              </w:rPr>
              <w:t>三、工程建设内容</w:t>
            </w:r>
          </w:p>
          <w:p>
            <w:pPr>
              <w:spacing w:line="360" w:lineRule="auto"/>
              <w:ind w:firstLine="480" w:firstLineChars="200"/>
              <w:rPr>
                <w:rFonts w:ascii="Times New Roman" w:hAnsi="Times New Roman" w:cs="Times New Roman"/>
                <w:b/>
                <w:snapToGrid w:val="0"/>
                <w:color w:val="000000" w:themeColor="text1"/>
                <w:kern w:val="0"/>
                <w:sz w:val="24"/>
              </w:rPr>
            </w:pPr>
            <w:r>
              <w:rPr>
                <w:rFonts w:ascii="Times New Roman" w:hAnsi="Times New Roman" w:cs="Times New Roman"/>
                <w:b/>
                <w:color w:val="000000" w:themeColor="text1"/>
                <w:sz w:val="24"/>
              </w:rPr>
              <w:t>1</w:t>
            </w:r>
            <w:r>
              <w:rPr>
                <w:rFonts w:hint="eastAsia" w:ascii="Times New Roman" w:hAnsi="Times New Roman" w:cs="Times New Roman"/>
                <w:b/>
                <w:color w:val="000000" w:themeColor="text1"/>
                <w:sz w:val="24"/>
              </w:rPr>
              <w:t>、</w:t>
            </w:r>
            <w:r>
              <w:rPr>
                <w:rFonts w:hint="eastAsia" w:ascii="Times New Roman" w:hAnsi="Times New Roman" w:cs="Times New Roman"/>
                <w:b/>
                <w:snapToGrid w:val="0"/>
                <w:color w:val="000000" w:themeColor="text1"/>
                <w:kern w:val="0"/>
                <w:sz w:val="24"/>
              </w:rPr>
              <w:t>项目名称、地点、建设性质</w:t>
            </w:r>
          </w:p>
          <w:p>
            <w:pPr>
              <w:spacing w:line="360" w:lineRule="auto"/>
              <w:ind w:firstLine="480" w:firstLineChars="200"/>
              <w:jc w:val="left"/>
              <w:rPr>
                <w:rFonts w:ascii="Times New Roman" w:hAnsi="Times New Roman" w:cs="Times New Roman"/>
                <w:snapToGrid w:val="0"/>
                <w:color w:val="000000" w:themeColor="text1"/>
                <w:kern w:val="0"/>
                <w:sz w:val="24"/>
              </w:rPr>
            </w:pPr>
            <w:r>
              <w:rPr>
                <w:rFonts w:hint="eastAsia" w:ascii="Times New Roman" w:hAnsi="Times New Roman" w:cs="Times New Roman"/>
                <w:snapToGrid w:val="0"/>
                <w:color w:val="000000" w:themeColor="text1"/>
                <w:kern w:val="0"/>
                <w:sz w:val="24"/>
              </w:rPr>
              <w:t>项目名称：松潘县安宏乡肖包寺村、西宁关村等安全饮水工程建设项目</w:t>
            </w:r>
          </w:p>
          <w:p>
            <w:pPr>
              <w:spacing w:line="360" w:lineRule="auto"/>
              <w:ind w:firstLine="480" w:firstLineChars="200"/>
              <w:jc w:val="left"/>
              <w:rPr>
                <w:rFonts w:ascii="Times New Roman" w:hAnsi="Times New Roman" w:cs="Times New Roman"/>
                <w:snapToGrid w:val="0"/>
                <w:color w:val="000000" w:themeColor="text1"/>
                <w:kern w:val="0"/>
                <w:sz w:val="24"/>
              </w:rPr>
            </w:pPr>
            <w:r>
              <w:rPr>
                <w:rFonts w:hint="eastAsia" w:ascii="Times New Roman" w:hAnsi="Times New Roman" w:cs="Times New Roman"/>
                <w:snapToGrid w:val="0"/>
                <w:color w:val="000000" w:themeColor="text1"/>
                <w:kern w:val="0"/>
                <w:sz w:val="24"/>
              </w:rPr>
              <w:t>建设单位：松潘县安宏乡人民政府</w:t>
            </w:r>
          </w:p>
          <w:p>
            <w:pPr>
              <w:spacing w:line="360" w:lineRule="auto"/>
              <w:ind w:firstLine="480" w:firstLineChars="200"/>
              <w:jc w:val="left"/>
              <w:rPr>
                <w:rFonts w:ascii="Times New Roman" w:hAnsi="Times New Roman" w:cs="Times New Roman"/>
                <w:snapToGrid w:val="0"/>
                <w:color w:val="000000" w:themeColor="text1"/>
                <w:kern w:val="0"/>
                <w:sz w:val="24"/>
              </w:rPr>
            </w:pPr>
            <w:r>
              <w:rPr>
                <w:rFonts w:hint="eastAsia" w:ascii="Times New Roman" w:hAnsi="Times New Roman" w:cs="Times New Roman"/>
                <w:snapToGrid w:val="0"/>
                <w:color w:val="000000" w:themeColor="text1"/>
                <w:kern w:val="0"/>
                <w:sz w:val="24"/>
              </w:rPr>
              <w:t>项目性质：新建</w:t>
            </w:r>
          </w:p>
          <w:p>
            <w:pPr>
              <w:spacing w:line="360" w:lineRule="auto"/>
              <w:ind w:firstLine="480" w:firstLineChars="200"/>
              <w:jc w:val="left"/>
              <w:rPr>
                <w:rFonts w:ascii="Times New Roman" w:hAnsi="Times New Roman" w:cs="Times New Roman"/>
                <w:snapToGrid w:val="0"/>
                <w:color w:val="000000" w:themeColor="text1"/>
                <w:kern w:val="0"/>
                <w:sz w:val="24"/>
              </w:rPr>
            </w:pPr>
            <w:r>
              <w:rPr>
                <w:rFonts w:hint="eastAsia" w:ascii="Times New Roman" w:hAnsi="Times New Roman" w:cs="Times New Roman"/>
                <w:snapToGrid w:val="0"/>
                <w:color w:val="000000" w:themeColor="text1"/>
                <w:kern w:val="0"/>
                <w:sz w:val="24"/>
              </w:rPr>
              <w:t>项目总投资：</w:t>
            </w:r>
            <w:r>
              <w:rPr>
                <w:sz w:val="24"/>
              </w:rPr>
              <w:t>工程</w:t>
            </w:r>
            <w:r>
              <w:rPr>
                <w:rFonts w:hint="eastAsia"/>
                <w:sz w:val="24"/>
              </w:rPr>
              <w:t>预算</w:t>
            </w:r>
            <w:r>
              <w:rPr>
                <w:sz w:val="24"/>
              </w:rPr>
              <w:t>总投资为</w:t>
            </w:r>
            <w:r>
              <w:rPr>
                <w:rFonts w:hint="eastAsia"/>
                <w:sz w:val="24"/>
              </w:rPr>
              <w:t>117</w:t>
            </w:r>
            <w:r>
              <w:rPr>
                <w:sz w:val="24"/>
              </w:rPr>
              <w:t>万元</w:t>
            </w:r>
            <w:r>
              <w:rPr>
                <w:rFonts w:hint="eastAsia"/>
                <w:sz w:val="24"/>
              </w:rPr>
              <w:t>。</w:t>
            </w:r>
          </w:p>
          <w:p>
            <w:pPr>
              <w:spacing w:line="360" w:lineRule="auto"/>
              <w:ind w:firstLine="480" w:firstLineChars="200"/>
              <w:jc w:val="left"/>
              <w:rPr>
                <w:rFonts w:ascii="Times New Roman" w:hAnsi="Times New Roman" w:cs="Times New Roman"/>
                <w:snapToGrid w:val="0"/>
                <w:color w:val="000000" w:themeColor="text1"/>
                <w:kern w:val="0"/>
                <w:sz w:val="24"/>
              </w:rPr>
            </w:pPr>
            <w:r>
              <w:rPr>
                <w:rFonts w:hint="eastAsia" w:ascii="Times New Roman" w:hAnsi="Times New Roman" w:cs="Times New Roman"/>
                <w:snapToGrid w:val="0"/>
                <w:color w:val="000000" w:themeColor="text1"/>
                <w:kern w:val="0"/>
                <w:sz w:val="24"/>
              </w:rPr>
              <w:t>建设地点：</w:t>
            </w:r>
            <w:r>
              <w:rPr>
                <w:rFonts w:hint="eastAsia" w:ascii="Times New Roman" w:hAnsi="Times New Roman" w:cs="Times New Roman"/>
                <w:sz w:val="24"/>
              </w:rPr>
              <w:t>松潘县</w:t>
            </w:r>
            <w:r>
              <w:rPr>
                <w:rFonts w:hint="eastAsia" w:ascii="Times New Roman" w:hAnsi="Times New Roman" w:cs="Times New Roman"/>
                <w:color w:val="000000" w:themeColor="text1"/>
                <w:sz w:val="24"/>
              </w:rPr>
              <w:t>安宏乡肖包寺村、西宁关村、安宏村、烟囱村</w:t>
            </w:r>
            <w:r>
              <w:rPr>
                <w:rFonts w:hint="eastAsia" w:cs="Times New Roman"/>
                <w:sz w:val="24"/>
              </w:rPr>
              <w:t>，共5个项目点。</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Times New Roman" w:hAnsi="Times New Roman" w:cs="Times New Roman"/>
                <w:b/>
                <w:snapToGrid w:val="0"/>
                <w:color w:val="000000" w:themeColor="text1"/>
                <w:kern w:val="0"/>
                <w:sz w:val="24"/>
              </w:rPr>
              <w:t>2、项目建设内容及主要环境问题</w:t>
            </w:r>
          </w:p>
          <w:p>
            <w:pPr>
              <w:spacing w:line="360" w:lineRule="auto"/>
              <w:ind w:firstLine="480" w:firstLineChars="200"/>
              <w:rPr>
                <w:rFonts w:ascii="Times New Roman" w:hAnsi="Times New Roman" w:cs="Times New Roman"/>
                <w:color w:val="000000"/>
                <w:sz w:val="24"/>
              </w:rPr>
            </w:pPr>
            <w:r>
              <w:rPr>
                <w:rFonts w:hint="eastAsia" w:ascii="Times New Roman" w:hAnsi="Times New Roman" w:cs="Times New Roman"/>
                <w:snapToGrid w:val="0"/>
                <w:color w:val="000000" w:themeColor="text1"/>
                <w:kern w:val="0"/>
                <w:sz w:val="24"/>
              </w:rPr>
              <w:t>建设内容及规模：</w:t>
            </w:r>
            <w:r>
              <w:rPr>
                <w:rFonts w:hint="eastAsia"/>
                <w:sz w:val="24"/>
              </w:rPr>
              <w:t>肖包寺村安全饮水项目，新建管道长5000米，蓄水池1个（100立方米），沉淀池1个；肖包寺村饮水工程建设项目，新建引泉池1个，沉淀池1个，消毒池1个，蓄水池1个（100立方米），饮水管道4公里；西宁关村老村安全饮水项目，新建引泉池1个，蓄水池1个（100立方米），沉淀池1个，饮水管线长3公里及安装管道；烟囱村饮水项目，给水管道全长850m，蓄水池2个（3*3*2米）、阀门井2个；安宏村饮水工程，给水管道全长1500m，蓄水池（20立方米）、阀门井2个。共计修建取水口5处（其中引泉池2座），新建蓄水池5座，配置PE100级1.6MpaPE管共14350m。</w:t>
            </w:r>
          </w:p>
          <w:p>
            <w:pPr>
              <w:spacing w:line="360" w:lineRule="auto"/>
              <w:ind w:firstLine="480" w:firstLineChars="200"/>
              <w:jc w:val="left"/>
              <w:rPr>
                <w:rFonts w:ascii="Times New Roman" w:hAnsi="Times New Roman" w:cs="Times New Roman"/>
                <w:snapToGrid w:val="0"/>
                <w:color w:val="000000" w:themeColor="text1"/>
                <w:kern w:val="0"/>
                <w:sz w:val="24"/>
              </w:rPr>
            </w:pPr>
            <w:r>
              <w:rPr>
                <w:rFonts w:hint="eastAsia" w:ascii="Times New Roman" w:hAnsi="Times New Roman" w:cs="Times New Roman"/>
                <w:snapToGrid w:val="0"/>
                <w:color w:val="000000" w:themeColor="text1"/>
                <w:kern w:val="0"/>
                <w:sz w:val="24"/>
              </w:rPr>
              <w:t>本项目建设内容及主要环境问题见表1-6。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表1-6  项目组成及主要环境问题表</w:t>
            </w:r>
          </w:p>
          <w:tbl>
            <w:tblPr>
              <w:tblStyle w:val="51"/>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5526"/>
              <w:gridCol w:w="1136"/>
              <w:gridCol w:w="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68" w:hRule="atLeast"/>
              </w:trPr>
              <w:tc>
                <w:tcPr>
                  <w:tcW w:w="1418" w:type="dxa"/>
                  <w:gridSpan w:val="2"/>
                  <w:vMerge w:val="restart"/>
                  <w:tcBorders>
                    <w:tl2br w:val="nil"/>
                    <w:tr2bl w:val="nil"/>
                  </w:tcBorders>
                  <w:vAlign w:val="center"/>
                </w:tcPr>
                <w:p>
                  <w:pPr>
                    <w:jc w:val="center"/>
                    <w:rPr>
                      <w:rFonts w:cs="Times New Roman"/>
                      <w:spacing w:val="4"/>
                      <w:szCs w:val="21"/>
                    </w:rPr>
                  </w:pPr>
                  <w:r>
                    <w:rPr>
                      <w:rFonts w:hint="eastAsia" w:ascii="Times New Roman" w:hAnsi="Times New Roman" w:cs="Times New Roman"/>
                      <w:spacing w:val="4"/>
                      <w:szCs w:val="21"/>
                    </w:rPr>
                    <w:t>名称</w:t>
                  </w:r>
                </w:p>
              </w:tc>
              <w:tc>
                <w:tcPr>
                  <w:tcW w:w="5526" w:type="dxa"/>
                  <w:vMerge w:val="restart"/>
                  <w:tcBorders>
                    <w:tl2br w:val="nil"/>
                    <w:tr2bl w:val="nil"/>
                  </w:tcBorders>
                  <w:vAlign w:val="center"/>
                </w:tcPr>
                <w:p>
                  <w:pPr>
                    <w:jc w:val="center"/>
                    <w:rPr>
                      <w:rFonts w:cs="Times New Roman"/>
                      <w:spacing w:val="4"/>
                      <w:szCs w:val="21"/>
                    </w:rPr>
                  </w:pPr>
                  <w:r>
                    <w:rPr>
                      <w:rFonts w:ascii="Times New Roman" w:hAnsi="Times New Roman" w:eastAsia="宋体" w:cs="Times New Roman"/>
                      <w:spacing w:val="4"/>
                      <w:szCs w:val="21"/>
                    </w:rPr>
                    <w:t>建设内容及规模</w:t>
                  </w:r>
                </w:p>
              </w:tc>
              <w:tc>
                <w:tcPr>
                  <w:tcW w:w="2128" w:type="dxa"/>
                  <w:gridSpan w:val="2"/>
                  <w:tcBorders>
                    <w:tl2br w:val="nil"/>
                    <w:tr2bl w:val="nil"/>
                  </w:tcBorders>
                  <w:vAlign w:val="center"/>
                </w:tcPr>
                <w:p>
                  <w:pPr>
                    <w:jc w:val="center"/>
                    <w:rPr>
                      <w:rFonts w:cs="Times New Roman"/>
                      <w:spacing w:val="4"/>
                      <w:szCs w:val="21"/>
                    </w:rPr>
                  </w:pPr>
                  <w:r>
                    <w:rPr>
                      <w:rFonts w:ascii="Times New Roman" w:hAnsi="Times New Roman" w:eastAsia="宋体" w:cs="Times New Roman"/>
                      <w:spacing w:val="4"/>
                      <w:szCs w:val="21"/>
                    </w:rPr>
                    <w:t>产生的环境问题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1" w:hRule="atLeast"/>
              </w:trPr>
              <w:tc>
                <w:tcPr>
                  <w:tcW w:w="1418" w:type="dxa"/>
                  <w:gridSpan w:val="2"/>
                  <w:vMerge w:val="continue"/>
                  <w:tcBorders>
                    <w:tl2br w:val="nil"/>
                    <w:tr2bl w:val="nil"/>
                  </w:tcBorders>
                  <w:vAlign w:val="center"/>
                </w:tcPr>
                <w:p>
                  <w:pPr>
                    <w:jc w:val="center"/>
                    <w:rPr>
                      <w:rFonts w:cs="Times New Roman"/>
                      <w:spacing w:val="4"/>
                      <w:szCs w:val="21"/>
                    </w:rPr>
                  </w:pPr>
                </w:p>
              </w:tc>
              <w:tc>
                <w:tcPr>
                  <w:tcW w:w="5526" w:type="dxa"/>
                  <w:vMerge w:val="continue"/>
                  <w:tcBorders>
                    <w:tl2br w:val="nil"/>
                    <w:tr2bl w:val="nil"/>
                  </w:tcBorders>
                  <w:vAlign w:val="center"/>
                </w:tcPr>
                <w:p>
                  <w:pPr>
                    <w:jc w:val="center"/>
                    <w:rPr>
                      <w:rFonts w:cs="Times New Roman"/>
                      <w:spacing w:val="4"/>
                      <w:szCs w:val="21"/>
                    </w:rPr>
                  </w:pPr>
                </w:p>
              </w:tc>
              <w:tc>
                <w:tcPr>
                  <w:tcW w:w="1136" w:type="dxa"/>
                  <w:tcBorders>
                    <w:tl2br w:val="nil"/>
                    <w:tr2bl w:val="nil"/>
                  </w:tcBorders>
                  <w:vAlign w:val="center"/>
                </w:tcPr>
                <w:p>
                  <w:pPr>
                    <w:jc w:val="center"/>
                    <w:rPr>
                      <w:rFonts w:cs="Times New Roman"/>
                      <w:spacing w:val="4"/>
                      <w:szCs w:val="21"/>
                    </w:rPr>
                  </w:pPr>
                  <w:r>
                    <w:rPr>
                      <w:rFonts w:ascii="Times New Roman" w:hAnsi="Times New Roman" w:eastAsia="宋体" w:cs="Times New Roman"/>
                      <w:spacing w:val="4"/>
                      <w:szCs w:val="21"/>
                    </w:rPr>
                    <w:t>施工期</w:t>
                  </w:r>
                </w:p>
              </w:tc>
              <w:tc>
                <w:tcPr>
                  <w:tcW w:w="992" w:type="dxa"/>
                  <w:tcBorders>
                    <w:tl2br w:val="nil"/>
                    <w:tr2bl w:val="nil"/>
                  </w:tcBorders>
                  <w:vAlign w:val="center"/>
                </w:tcPr>
                <w:p>
                  <w:pPr>
                    <w:jc w:val="center"/>
                    <w:rPr>
                      <w:rFonts w:cs="Times New Roman"/>
                      <w:spacing w:val="4"/>
                      <w:szCs w:val="21"/>
                    </w:rPr>
                  </w:pPr>
                  <w:r>
                    <w:rPr>
                      <w:rFonts w:ascii="Times New Roman" w:hAnsi="Times New Roman" w:eastAsia="宋体" w:cs="Times New Roman"/>
                      <w:spacing w:val="4"/>
                      <w:szCs w:val="21"/>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709" w:type="dxa"/>
                  <w:vMerge w:val="restart"/>
                  <w:tcBorders>
                    <w:tl2br w:val="nil"/>
                    <w:tr2bl w:val="nil"/>
                  </w:tcBorders>
                  <w:vAlign w:val="center"/>
                </w:tcPr>
                <w:p>
                  <w:pPr>
                    <w:jc w:val="center"/>
                  </w:pPr>
                  <w:r>
                    <w:rPr>
                      <w:rFonts w:hint="eastAsia"/>
                      <w:kern w:val="0"/>
                    </w:rPr>
                    <w:t>主体</w:t>
                  </w:r>
                </w:p>
                <w:p>
                  <w:pPr>
                    <w:jc w:val="center"/>
                  </w:pPr>
                  <w:r>
                    <w:rPr>
                      <w:rFonts w:hint="eastAsia"/>
                      <w:kern w:val="0"/>
                    </w:rPr>
                    <w:t>工程</w:t>
                  </w:r>
                </w:p>
              </w:tc>
              <w:tc>
                <w:tcPr>
                  <w:tcW w:w="709" w:type="dxa"/>
                  <w:tcBorders>
                    <w:tl2br w:val="nil"/>
                    <w:tr2bl w:val="nil"/>
                  </w:tcBorders>
                  <w:vAlign w:val="center"/>
                </w:tcPr>
                <w:p>
                  <w:pPr>
                    <w:jc w:val="center"/>
                    <w:rPr>
                      <w:szCs w:val="21"/>
                    </w:rPr>
                  </w:pPr>
                  <w:r>
                    <w:rPr>
                      <w:rFonts w:hint="eastAsia"/>
                      <w:kern w:val="0"/>
                      <w:szCs w:val="21"/>
                    </w:rPr>
                    <w:t>取水</w:t>
                  </w:r>
                </w:p>
                <w:p>
                  <w:pPr>
                    <w:jc w:val="center"/>
                    <w:rPr>
                      <w:rFonts w:cs="Times New Roman"/>
                      <w:szCs w:val="21"/>
                    </w:rPr>
                  </w:pPr>
                  <w:r>
                    <w:rPr>
                      <w:rFonts w:hint="eastAsia"/>
                      <w:kern w:val="0"/>
                      <w:szCs w:val="21"/>
                    </w:rPr>
                    <w:t>工程</w:t>
                  </w:r>
                </w:p>
              </w:tc>
              <w:tc>
                <w:tcPr>
                  <w:tcW w:w="5526" w:type="dxa"/>
                  <w:tcBorders>
                    <w:tl2br w:val="nil"/>
                    <w:tr2bl w:val="nil"/>
                  </w:tcBorders>
                  <w:vAlign w:val="center"/>
                </w:tcPr>
                <w:p>
                  <w:pPr>
                    <w:rPr>
                      <w:szCs w:val="21"/>
                    </w:rPr>
                  </w:pPr>
                  <w:r>
                    <w:rPr>
                      <w:rFonts w:hint="eastAsia"/>
                      <w:szCs w:val="21"/>
                    </w:rPr>
                    <w:t>共计修建取水口5处（其中引泉池2座）。为肖包寺村饮水工程建设项目，和西宁关村老村安全饮水项目，分别新建1个引泉池</w:t>
                  </w:r>
                </w:p>
              </w:tc>
              <w:tc>
                <w:tcPr>
                  <w:tcW w:w="1136" w:type="dxa"/>
                  <w:vMerge w:val="restart"/>
                  <w:tcBorders>
                    <w:tl2br w:val="nil"/>
                    <w:tr2bl w:val="nil"/>
                  </w:tcBorders>
                  <w:vAlign w:val="center"/>
                </w:tcPr>
                <w:p>
                  <w:pPr>
                    <w:jc w:val="center"/>
                    <w:rPr>
                      <w:szCs w:val="21"/>
                    </w:rPr>
                  </w:pPr>
                  <w:r>
                    <w:rPr>
                      <w:szCs w:val="21"/>
                    </w:rPr>
                    <w:t>施工扬尘</w:t>
                  </w:r>
                </w:p>
                <w:p>
                  <w:pPr>
                    <w:jc w:val="center"/>
                    <w:rPr>
                      <w:szCs w:val="21"/>
                    </w:rPr>
                  </w:pPr>
                  <w:r>
                    <w:rPr>
                      <w:szCs w:val="21"/>
                    </w:rPr>
                    <w:t>施工噪声</w:t>
                  </w:r>
                </w:p>
                <w:p>
                  <w:pPr>
                    <w:pStyle w:val="19"/>
                    <w:jc w:val="center"/>
                  </w:pPr>
                  <w:r>
                    <w:rPr>
                      <w:sz w:val="21"/>
                      <w:szCs w:val="21"/>
                    </w:rPr>
                    <w:t>施工弃土</w:t>
                  </w:r>
                </w:p>
                <w:p>
                  <w:pPr>
                    <w:jc w:val="center"/>
                    <w:rPr>
                      <w:szCs w:val="21"/>
                    </w:rPr>
                  </w:pPr>
                  <w:r>
                    <w:rPr>
                      <w:szCs w:val="21"/>
                    </w:rPr>
                    <w:t>施工弃碴</w:t>
                  </w:r>
                </w:p>
                <w:p>
                  <w:pPr>
                    <w:pStyle w:val="19"/>
                    <w:jc w:val="center"/>
                  </w:pPr>
                  <w:r>
                    <w:rPr>
                      <w:sz w:val="21"/>
                      <w:szCs w:val="21"/>
                    </w:rPr>
                    <w:t>生活垃圾</w:t>
                  </w:r>
                </w:p>
                <w:p>
                  <w:pPr>
                    <w:jc w:val="center"/>
                    <w:rPr>
                      <w:szCs w:val="21"/>
                    </w:rPr>
                  </w:pPr>
                  <w:r>
                    <w:rPr>
                      <w:szCs w:val="21"/>
                    </w:rPr>
                    <w:t>生活污水</w:t>
                  </w:r>
                </w:p>
                <w:p>
                  <w:pPr>
                    <w:pStyle w:val="19"/>
                    <w:jc w:val="center"/>
                  </w:pPr>
                  <w:r>
                    <w:rPr>
                      <w:rFonts w:hint="eastAsia" w:ascii="Times New Roman" w:hAnsi="Times New Roman" w:cs="Times New Roman"/>
                      <w:sz w:val="21"/>
                      <w:szCs w:val="21"/>
                    </w:rPr>
                    <w:t>生态破坏</w:t>
                  </w:r>
                </w:p>
              </w:tc>
              <w:tc>
                <w:tcPr>
                  <w:tcW w:w="992" w:type="dxa"/>
                  <w:vMerge w:val="restart"/>
                  <w:tcBorders>
                    <w:tl2br w:val="nil"/>
                    <w:tr2bl w:val="nil"/>
                  </w:tcBorders>
                  <w:vAlign w:val="center"/>
                </w:tcPr>
                <w:p>
                  <w:pPr>
                    <w:jc w:val="center"/>
                    <w:rPr>
                      <w:rFonts w:cs="Times New Roman"/>
                      <w:spacing w:val="4"/>
                      <w:szCs w:val="21"/>
                    </w:rPr>
                  </w:pPr>
                  <w:r>
                    <w:rPr>
                      <w:rFonts w:hint="eastAsia" w:cs="Times New Roman"/>
                      <w:spacing w:val="4"/>
                      <w:szCs w:val="21"/>
                    </w:rPr>
                    <w:t>沉砂池</w:t>
                  </w:r>
                  <w:r>
                    <w:rPr>
                      <w:rFonts w:hint="eastAsia" w:ascii="Times New Roman" w:hAnsi="Times New Roman" w:cs="Times New Roman"/>
                      <w:spacing w:val="4"/>
                      <w:szCs w:val="21"/>
                    </w:rPr>
                    <w:t>泥沙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jc w:val="center"/>
                  </w:pPr>
                  <w:r>
                    <w:rPr>
                      <w:rFonts w:hint="eastAsia"/>
                      <w:kern w:val="0"/>
                    </w:rPr>
                    <w:t>输水</w:t>
                  </w:r>
                </w:p>
                <w:p>
                  <w:pPr>
                    <w:jc w:val="center"/>
                    <w:rPr>
                      <w:rFonts w:cs="Times New Roman"/>
                      <w:szCs w:val="21"/>
                    </w:rPr>
                  </w:pPr>
                  <w:r>
                    <w:rPr>
                      <w:rFonts w:hint="eastAsia"/>
                      <w:kern w:val="0"/>
                    </w:rPr>
                    <w:t>工程</w:t>
                  </w:r>
                </w:p>
              </w:tc>
              <w:tc>
                <w:tcPr>
                  <w:tcW w:w="5526" w:type="dxa"/>
                  <w:tcBorders>
                    <w:tl2br w:val="nil"/>
                    <w:tr2bl w:val="nil"/>
                  </w:tcBorders>
                  <w:vAlign w:val="center"/>
                </w:tcPr>
                <w:p>
                  <w:r>
                    <w:rPr>
                      <w:rFonts w:hint="eastAsia"/>
                      <w:szCs w:val="21"/>
                    </w:rPr>
                    <w:t>100级PE管道（1.6Mpa）共计14350m。肖包寺村安全饮水项目，新建管道长5000米；肖包寺村饮水工程建设项目，饮水管道4公里；西宁关村老村安全饮水项目，饮水管线长3公里及安装管道；烟囱村饮水项目，给水管道全长850m，安宏村饮水工程，给水管道全长1500m</w:t>
                  </w:r>
                </w:p>
              </w:tc>
              <w:tc>
                <w:tcPr>
                  <w:tcW w:w="1136" w:type="dxa"/>
                  <w:vMerge w:val="continue"/>
                  <w:tcBorders>
                    <w:tl2br w:val="nil"/>
                    <w:tr2bl w:val="nil"/>
                  </w:tcBorders>
                  <w:vAlign w:val="center"/>
                </w:tcPr>
                <w:p>
                  <w:pPr>
                    <w:jc w:val="center"/>
                    <w:rPr>
                      <w:rFonts w:cs="Times New Roman"/>
                      <w:szCs w:val="21"/>
                    </w:rPr>
                  </w:pPr>
                </w:p>
              </w:tc>
              <w:tc>
                <w:tcPr>
                  <w:tcW w:w="992" w:type="dxa"/>
                  <w:vMerge w:val="continue"/>
                  <w:tcBorders>
                    <w:tl2br w:val="nil"/>
                    <w:tr2bl w:val="nil"/>
                  </w:tcBorders>
                  <w:vAlign w:val="center"/>
                </w:tcPr>
                <w:p>
                  <w:pPr>
                    <w:jc w:val="center"/>
                    <w:rPr>
                      <w:rFonts w:cs="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jc w:val="center"/>
                  </w:pPr>
                  <w:r>
                    <w:rPr>
                      <w:rFonts w:hint="eastAsia"/>
                      <w:kern w:val="0"/>
                    </w:rPr>
                    <w:t>蓄水</w:t>
                  </w:r>
                </w:p>
                <w:p>
                  <w:pPr>
                    <w:jc w:val="center"/>
                    <w:rPr>
                      <w:rFonts w:cs="Times New Roman"/>
                      <w:szCs w:val="21"/>
                    </w:rPr>
                  </w:pPr>
                  <w:r>
                    <w:rPr>
                      <w:rFonts w:hint="eastAsia"/>
                      <w:kern w:val="0"/>
                    </w:rPr>
                    <w:t>工程</w:t>
                  </w:r>
                </w:p>
              </w:tc>
              <w:tc>
                <w:tcPr>
                  <w:tcW w:w="5526" w:type="dxa"/>
                  <w:tcBorders>
                    <w:tl2br w:val="nil"/>
                    <w:tr2bl w:val="nil"/>
                  </w:tcBorders>
                  <w:vAlign w:val="center"/>
                </w:tcPr>
                <w:p>
                  <w:r>
                    <w:rPr>
                      <w:rFonts w:hint="eastAsia"/>
                    </w:rPr>
                    <w:t>新建蓄水池共计5座：</w:t>
                  </w:r>
                  <w:r>
                    <w:rPr>
                      <w:rFonts w:hint="eastAsia"/>
                      <w:szCs w:val="21"/>
                    </w:rPr>
                    <w:t>肖包寺村安全饮水项目，新建蓄水池1个（100立方米）；肖包寺村饮水工程建设项目，新建蓄水池1个（100立方米）；西宁关村老村安全饮水项目，新建蓄水池1个（100立方米）；烟囱村饮水项目，新建蓄水池2个（3*3*2米），安宏村饮水工程，新建蓄水池1个（20立方米）</w:t>
                  </w:r>
                </w:p>
              </w:tc>
              <w:tc>
                <w:tcPr>
                  <w:tcW w:w="1136" w:type="dxa"/>
                  <w:vMerge w:val="continue"/>
                  <w:tcBorders>
                    <w:tl2br w:val="nil"/>
                    <w:tr2bl w:val="nil"/>
                  </w:tcBorders>
                  <w:vAlign w:val="center"/>
                </w:tcPr>
                <w:p>
                  <w:pPr>
                    <w:jc w:val="center"/>
                    <w:rPr>
                      <w:rFonts w:cs="Times New Roman"/>
                      <w:szCs w:val="21"/>
                    </w:rPr>
                  </w:pPr>
                </w:p>
              </w:tc>
              <w:tc>
                <w:tcPr>
                  <w:tcW w:w="992" w:type="dxa"/>
                  <w:vMerge w:val="continue"/>
                  <w:tcBorders>
                    <w:tl2br w:val="nil"/>
                    <w:tr2bl w:val="nil"/>
                  </w:tcBorders>
                  <w:vAlign w:val="center"/>
                </w:tcPr>
                <w:p>
                  <w:pPr>
                    <w:jc w:val="center"/>
                    <w:rPr>
                      <w:rFonts w:cs="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jc w:val="center"/>
                    <w:rPr>
                      <w:kern w:val="0"/>
                    </w:rPr>
                  </w:pPr>
                  <w:r>
                    <w:rPr>
                      <w:rFonts w:hint="eastAsia"/>
                      <w:kern w:val="0"/>
                    </w:rPr>
                    <w:t>净水工程</w:t>
                  </w:r>
                </w:p>
              </w:tc>
              <w:tc>
                <w:tcPr>
                  <w:tcW w:w="5526" w:type="dxa"/>
                  <w:tcBorders>
                    <w:tl2br w:val="nil"/>
                    <w:tr2bl w:val="nil"/>
                  </w:tcBorders>
                  <w:vAlign w:val="center"/>
                </w:tcPr>
                <w:p>
                  <w:r>
                    <w:rPr>
                      <w:rFonts w:hint="eastAsia"/>
                    </w:rPr>
                    <w:t>肖包寺村饮水工程建设项目，新建沉淀池1个，消毒池1个；西宁关村老村安全饮水项目，新建沉淀池1个，配套建设相关的阀门井</w:t>
                  </w:r>
                </w:p>
              </w:tc>
              <w:tc>
                <w:tcPr>
                  <w:tcW w:w="1136" w:type="dxa"/>
                  <w:vMerge w:val="continue"/>
                  <w:tcBorders>
                    <w:tl2br w:val="nil"/>
                    <w:tr2bl w:val="nil"/>
                  </w:tcBorders>
                  <w:vAlign w:val="center"/>
                </w:tcPr>
                <w:p>
                  <w:pPr>
                    <w:jc w:val="center"/>
                    <w:rPr>
                      <w:rFonts w:cs="Times New Roman"/>
                      <w:szCs w:val="21"/>
                    </w:rPr>
                  </w:pPr>
                </w:p>
              </w:tc>
              <w:tc>
                <w:tcPr>
                  <w:tcW w:w="992" w:type="dxa"/>
                  <w:vMerge w:val="continue"/>
                  <w:tcBorders>
                    <w:tl2br w:val="nil"/>
                    <w:tr2bl w:val="nil"/>
                  </w:tcBorders>
                  <w:vAlign w:val="center"/>
                </w:tcPr>
                <w:p>
                  <w:pPr>
                    <w:jc w:val="center"/>
                    <w:rPr>
                      <w:rFonts w:cs="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restart"/>
                  <w:tcBorders>
                    <w:tl2br w:val="nil"/>
                    <w:tr2bl w:val="nil"/>
                  </w:tcBorders>
                  <w:vAlign w:val="center"/>
                </w:tcPr>
                <w:p>
                  <w:pPr>
                    <w:jc w:val="center"/>
                  </w:pPr>
                  <w:r>
                    <w:rPr>
                      <w:rFonts w:hint="eastAsia"/>
                      <w:kern w:val="0"/>
                    </w:rPr>
                    <w:t>辅助</w:t>
                  </w:r>
                </w:p>
                <w:p>
                  <w:pPr>
                    <w:jc w:val="center"/>
                  </w:pPr>
                  <w:r>
                    <w:rPr>
                      <w:rFonts w:hint="eastAsia"/>
                      <w:kern w:val="0"/>
                    </w:rPr>
                    <w:t>工程/临时工程</w:t>
                  </w:r>
                </w:p>
              </w:tc>
              <w:tc>
                <w:tcPr>
                  <w:tcW w:w="709" w:type="dxa"/>
                  <w:tcBorders>
                    <w:tl2br w:val="nil"/>
                    <w:tr2bl w:val="nil"/>
                  </w:tcBorders>
                  <w:vAlign w:val="center"/>
                </w:tcPr>
                <w:p>
                  <w:pPr>
                    <w:jc w:val="center"/>
                  </w:pPr>
                  <w:r>
                    <w:rPr>
                      <w:rFonts w:hint="eastAsia"/>
                      <w:kern w:val="0"/>
                    </w:rPr>
                    <w:t>施工</w:t>
                  </w:r>
                </w:p>
                <w:p>
                  <w:pPr>
                    <w:jc w:val="center"/>
                  </w:pPr>
                  <w:r>
                    <w:rPr>
                      <w:rFonts w:hint="eastAsia"/>
                      <w:kern w:val="0"/>
                    </w:rPr>
                    <w:t>便道</w:t>
                  </w:r>
                </w:p>
              </w:tc>
              <w:tc>
                <w:tcPr>
                  <w:tcW w:w="5526" w:type="dxa"/>
                  <w:tcBorders>
                    <w:tl2br w:val="nil"/>
                    <w:tr2bl w:val="nil"/>
                  </w:tcBorders>
                  <w:vAlign w:val="center"/>
                </w:tcPr>
                <w:p>
                  <w:r>
                    <w:rPr>
                      <w:rFonts w:hint="eastAsia"/>
                      <w:kern w:val="0"/>
                    </w:rPr>
                    <w:t>场内交通运输以现有道路为主，部分工程区地形较陡，需人工进行二次搬运</w:t>
                  </w:r>
                </w:p>
              </w:tc>
              <w:tc>
                <w:tcPr>
                  <w:tcW w:w="1136" w:type="dxa"/>
                  <w:vMerge w:val="continue"/>
                  <w:tcBorders>
                    <w:tl2br w:val="nil"/>
                    <w:tr2bl w:val="nil"/>
                  </w:tcBorders>
                  <w:vAlign w:val="center"/>
                </w:tcPr>
                <w:p>
                  <w:pPr>
                    <w:jc w:val="center"/>
                    <w:rPr>
                      <w:rFonts w:cs="Times New Roman"/>
                      <w:szCs w:val="21"/>
                    </w:rPr>
                  </w:pPr>
                </w:p>
              </w:tc>
              <w:tc>
                <w:tcPr>
                  <w:tcW w:w="992" w:type="dxa"/>
                  <w:vMerge w:val="continue"/>
                  <w:tcBorders>
                    <w:tl2br w:val="nil"/>
                    <w:tr2bl w:val="nil"/>
                  </w:tcBorders>
                  <w:vAlign w:val="center"/>
                </w:tcPr>
                <w:p>
                  <w:pPr>
                    <w:jc w:val="center"/>
                    <w:rPr>
                      <w:rFonts w:cs="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jc w:val="center"/>
                  </w:pPr>
                  <w:r>
                    <w:rPr>
                      <w:rFonts w:hint="eastAsia"/>
                      <w:kern w:val="0"/>
                    </w:rPr>
                    <w:t>材料</w:t>
                  </w:r>
                </w:p>
                <w:p>
                  <w:pPr>
                    <w:jc w:val="center"/>
                  </w:pPr>
                  <w:r>
                    <w:rPr>
                      <w:rFonts w:hint="eastAsia"/>
                      <w:kern w:val="0"/>
                    </w:rPr>
                    <w:t>堆场</w:t>
                  </w:r>
                </w:p>
              </w:tc>
              <w:tc>
                <w:tcPr>
                  <w:tcW w:w="5526" w:type="dxa"/>
                  <w:tcBorders>
                    <w:tl2br w:val="nil"/>
                    <w:tr2bl w:val="nil"/>
                  </w:tcBorders>
                  <w:vAlign w:val="center"/>
                </w:tcPr>
                <w:p>
                  <w:r>
                    <w:rPr>
                      <w:rFonts w:hint="eastAsia"/>
                      <w:kern w:val="0"/>
                    </w:rPr>
                    <w:t>项目点较分散，分别在各取水点外设置一临时堆场50m</w:t>
                  </w:r>
                  <w:r>
                    <w:rPr>
                      <w:rFonts w:hint="eastAsia"/>
                      <w:kern w:val="0"/>
                      <w:vertAlign w:val="superscript"/>
                    </w:rPr>
                    <w:t>2</w:t>
                  </w:r>
                </w:p>
              </w:tc>
              <w:tc>
                <w:tcPr>
                  <w:tcW w:w="1136" w:type="dxa"/>
                  <w:vMerge w:val="continue"/>
                  <w:tcBorders>
                    <w:tl2br w:val="nil"/>
                    <w:tr2bl w:val="nil"/>
                  </w:tcBorders>
                  <w:vAlign w:val="center"/>
                </w:tcPr>
                <w:p>
                  <w:pPr>
                    <w:jc w:val="center"/>
                    <w:rPr>
                      <w:rFonts w:cs="Times New Roman"/>
                      <w:szCs w:val="21"/>
                    </w:rPr>
                  </w:pPr>
                </w:p>
              </w:tc>
              <w:tc>
                <w:tcPr>
                  <w:tcW w:w="992" w:type="dxa"/>
                  <w:vMerge w:val="continue"/>
                  <w:tcBorders>
                    <w:tl2br w:val="nil"/>
                    <w:tr2bl w:val="nil"/>
                  </w:tcBorders>
                  <w:vAlign w:val="center"/>
                </w:tcPr>
                <w:p>
                  <w:pPr>
                    <w:jc w:val="center"/>
                    <w:rPr>
                      <w:rFonts w:cs="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restart"/>
                  <w:tcBorders>
                    <w:tl2br w:val="nil"/>
                    <w:tr2bl w:val="nil"/>
                  </w:tcBorders>
                  <w:vAlign w:val="center"/>
                </w:tcPr>
                <w:p>
                  <w:pPr>
                    <w:jc w:val="center"/>
                  </w:pPr>
                  <w:r>
                    <w:rPr>
                      <w:rFonts w:hint="eastAsia"/>
                      <w:kern w:val="0"/>
                    </w:rPr>
                    <w:t>公用</w:t>
                  </w:r>
                </w:p>
                <w:p>
                  <w:pPr>
                    <w:jc w:val="center"/>
                  </w:pPr>
                  <w:r>
                    <w:rPr>
                      <w:rFonts w:hint="eastAsia"/>
                      <w:kern w:val="0"/>
                    </w:rPr>
                    <w:t>工程</w:t>
                  </w:r>
                </w:p>
              </w:tc>
              <w:tc>
                <w:tcPr>
                  <w:tcW w:w="709" w:type="dxa"/>
                  <w:tcBorders>
                    <w:tl2br w:val="nil"/>
                    <w:tr2bl w:val="nil"/>
                  </w:tcBorders>
                  <w:vAlign w:val="center"/>
                </w:tcPr>
                <w:p>
                  <w:pPr>
                    <w:jc w:val="center"/>
                  </w:pPr>
                  <w:r>
                    <w:rPr>
                      <w:rFonts w:hint="eastAsia"/>
                      <w:kern w:val="0"/>
                    </w:rPr>
                    <w:t>供电</w:t>
                  </w:r>
                </w:p>
              </w:tc>
              <w:tc>
                <w:tcPr>
                  <w:tcW w:w="5526" w:type="dxa"/>
                  <w:tcBorders>
                    <w:tl2br w:val="nil"/>
                    <w:tr2bl w:val="nil"/>
                  </w:tcBorders>
                  <w:vAlign w:val="center"/>
                </w:tcPr>
                <w:p>
                  <w:r>
                    <w:rPr>
                      <w:rFonts w:hint="eastAsia"/>
                      <w:kern w:val="0"/>
                    </w:rPr>
                    <w:t>工程规模较小，工程区不考虑使用民用电，采用柴油发电设备自发供电以满足施工需求</w:t>
                  </w:r>
                </w:p>
              </w:tc>
              <w:tc>
                <w:tcPr>
                  <w:tcW w:w="1136" w:type="dxa"/>
                  <w:vMerge w:val="restart"/>
                  <w:tcBorders>
                    <w:tl2br w:val="nil"/>
                    <w:tr2bl w:val="nil"/>
                  </w:tcBorders>
                  <w:vAlign w:val="center"/>
                </w:tcPr>
                <w:p>
                  <w:pPr>
                    <w:jc w:val="center"/>
                    <w:rPr>
                      <w:rFonts w:cs="Times New Roman"/>
                      <w:szCs w:val="21"/>
                    </w:rPr>
                  </w:pPr>
                  <w:r>
                    <w:rPr>
                      <w:rFonts w:hint="eastAsia" w:cs="Times New Roman"/>
                      <w:szCs w:val="21"/>
                    </w:rPr>
                    <w:t>/</w:t>
                  </w:r>
                </w:p>
              </w:tc>
              <w:tc>
                <w:tcPr>
                  <w:tcW w:w="992" w:type="dxa"/>
                  <w:vMerge w:val="restart"/>
                  <w:tcBorders>
                    <w:tl2br w:val="nil"/>
                    <w:tr2bl w:val="nil"/>
                  </w:tcBorders>
                  <w:vAlign w:val="center"/>
                </w:tcPr>
                <w:p>
                  <w:pPr>
                    <w:jc w:val="center"/>
                    <w:rPr>
                      <w:rFonts w:cs="Times New Roman"/>
                      <w:spacing w:val="4"/>
                      <w:szCs w:val="21"/>
                    </w:rPr>
                  </w:pPr>
                  <w:r>
                    <w:rPr>
                      <w:rFonts w:hint="eastAsia" w:cs="Times New Roman"/>
                      <w:spacing w:val="4"/>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jc w:val="center"/>
                  </w:pPr>
                  <w:r>
                    <w:rPr>
                      <w:rFonts w:hint="eastAsia"/>
                      <w:kern w:val="0"/>
                    </w:rPr>
                    <w:t>供水</w:t>
                  </w:r>
                </w:p>
              </w:tc>
              <w:tc>
                <w:tcPr>
                  <w:tcW w:w="5526" w:type="dxa"/>
                  <w:tcBorders>
                    <w:tl2br w:val="nil"/>
                    <w:tr2bl w:val="nil"/>
                  </w:tcBorders>
                  <w:vAlign w:val="center"/>
                </w:tcPr>
                <w:p>
                  <w:r>
                    <w:rPr>
                      <w:rFonts w:hint="eastAsia"/>
                      <w:kern w:val="0"/>
                    </w:rPr>
                    <w:t>项目区用水主要为混凝土、砂浆拌和用水、养护用水及生活用水等；生产用水可从附近的河流中抽取，生活用水可由村镇供水管网提供</w:t>
                  </w:r>
                </w:p>
              </w:tc>
              <w:tc>
                <w:tcPr>
                  <w:tcW w:w="1136" w:type="dxa"/>
                  <w:vMerge w:val="continue"/>
                  <w:tcBorders>
                    <w:tl2br w:val="nil"/>
                    <w:tr2bl w:val="nil"/>
                  </w:tcBorders>
                  <w:vAlign w:val="center"/>
                </w:tcPr>
                <w:p>
                  <w:pPr>
                    <w:jc w:val="center"/>
                    <w:rPr>
                      <w:rFonts w:cs="Times New Roman"/>
                      <w:szCs w:val="21"/>
                      <w:highlight w:val="yellow"/>
                    </w:rPr>
                  </w:pPr>
                </w:p>
              </w:tc>
              <w:tc>
                <w:tcPr>
                  <w:tcW w:w="992" w:type="dxa"/>
                  <w:vMerge w:val="continue"/>
                  <w:tcBorders>
                    <w:tl2br w:val="nil"/>
                    <w:tr2bl w:val="nil"/>
                  </w:tcBorders>
                  <w:vAlign w:val="center"/>
                </w:tcPr>
                <w:p>
                  <w:pPr>
                    <w:jc w:val="center"/>
                    <w:rPr>
                      <w:rFonts w:cs="Times New Roman"/>
                      <w:spacing w:val="4"/>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jc w:val="center"/>
                  </w:pPr>
                  <w:r>
                    <w:rPr>
                      <w:rFonts w:hint="eastAsia"/>
                      <w:kern w:val="0"/>
                    </w:rPr>
                    <w:t>施工</w:t>
                  </w:r>
                </w:p>
                <w:p>
                  <w:pPr>
                    <w:jc w:val="center"/>
                  </w:pPr>
                  <w:r>
                    <w:rPr>
                      <w:rFonts w:hint="eastAsia"/>
                      <w:kern w:val="0"/>
                    </w:rPr>
                    <w:t>营地</w:t>
                  </w:r>
                </w:p>
              </w:tc>
              <w:tc>
                <w:tcPr>
                  <w:tcW w:w="5526" w:type="dxa"/>
                  <w:tcBorders>
                    <w:tl2br w:val="nil"/>
                    <w:tr2bl w:val="nil"/>
                  </w:tcBorders>
                  <w:vAlign w:val="center"/>
                </w:tcPr>
                <w:p>
                  <w:r>
                    <w:rPr>
                      <w:rFonts w:hint="eastAsia"/>
                      <w:kern w:val="0"/>
                    </w:rPr>
                    <w:t>本项目场地不设施工营地</w:t>
                  </w:r>
                </w:p>
              </w:tc>
              <w:tc>
                <w:tcPr>
                  <w:tcW w:w="1136" w:type="dxa"/>
                  <w:vMerge w:val="continue"/>
                  <w:tcBorders>
                    <w:tl2br w:val="nil"/>
                    <w:tr2bl w:val="nil"/>
                  </w:tcBorders>
                  <w:vAlign w:val="center"/>
                </w:tcPr>
                <w:p>
                  <w:pPr>
                    <w:jc w:val="center"/>
                    <w:rPr>
                      <w:rFonts w:cs="Times New Roman"/>
                      <w:szCs w:val="21"/>
                      <w:highlight w:val="yellow"/>
                    </w:rPr>
                  </w:pPr>
                </w:p>
              </w:tc>
              <w:tc>
                <w:tcPr>
                  <w:tcW w:w="992" w:type="dxa"/>
                  <w:vMerge w:val="continue"/>
                  <w:tcBorders>
                    <w:tl2br w:val="nil"/>
                    <w:tr2bl w:val="nil"/>
                  </w:tcBorders>
                  <w:vAlign w:val="center"/>
                </w:tcPr>
                <w:p>
                  <w:pPr>
                    <w:jc w:val="center"/>
                    <w:rPr>
                      <w:rFonts w:cs="Times New Roman"/>
                      <w:spacing w:val="4"/>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restart"/>
                  <w:tcBorders>
                    <w:tl2br w:val="nil"/>
                    <w:tr2bl w:val="nil"/>
                  </w:tcBorders>
                  <w:vAlign w:val="center"/>
                </w:tcPr>
                <w:p>
                  <w:pPr>
                    <w:jc w:val="center"/>
                  </w:pPr>
                  <w:r>
                    <w:rPr>
                      <w:rFonts w:hint="eastAsia"/>
                    </w:rPr>
                    <w:t>环保工程</w:t>
                  </w:r>
                </w:p>
              </w:tc>
              <w:tc>
                <w:tcPr>
                  <w:tcW w:w="709" w:type="dxa"/>
                  <w:tcBorders>
                    <w:tl2br w:val="nil"/>
                    <w:tr2bl w:val="nil"/>
                  </w:tcBorders>
                  <w:vAlign w:val="center"/>
                </w:tcPr>
                <w:p>
                  <w:pPr>
                    <w:pStyle w:val="311"/>
                    <w:rPr>
                      <w:rFonts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废水治理</w:t>
                  </w:r>
                </w:p>
              </w:tc>
              <w:tc>
                <w:tcPr>
                  <w:tcW w:w="5526" w:type="dxa"/>
                  <w:tcBorders>
                    <w:tl2br w:val="nil"/>
                    <w:tr2bl w:val="nil"/>
                  </w:tcBorders>
                  <w:vAlign w:val="center"/>
                </w:tcPr>
                <w:p>
                  <w:pPr>
                    <w:pStyle w:val="311"/>
                    <w:rPr>
                      <w:rFonts w:asciiTheme="minorEastAsia" w:hAnsiTheme="minorEastAsia" w:cstheme="minorEastAsia"/>
                      <w:spacing w:val="-5"/>
                      <w:sz w:val="21"/>
                      <w:szCs w:val="21"/>
                      <w:lang w:eastAsia="zh-CN"/>
                    </w:rPr>
                  </w:pPr>
                  <w:r>
                    <w:rPr>
                      <w:rFonts w:hint="eastAsia" w:asciiTheme="minorEastAsia" w:hAnsiTheme="minorEastAsia" w:cstheme="minorEastAsia"/>
                      <w:spacing w:val="-5"/>
                      <w:sz w:val="21"/>
                      <w:szCs w:val="21"/>
                      <w:lang w:eastAsia="zh-CN"/>
                    </w:rPr>
                    <w:t>施工现场用小型搅拌机，施工废水主要为设备清洗废水；采用沉淀池沉淀后回用于混凝土搅拌，不外排。生活污水依托村民化粪池处理后用作农肥</w:t>
                  </w:r>
                  <w:r>
                    <w:rPr>
                      <w:rStyle w:val="61"/>
                      <w:rFonts w:hint="eastAsia"/>
                      <w:kern w:val="2"/>
                      <w:lang w:eastAsia="zh-CN"/>
                    </w:rPr>
                    <w:t>，管道冲洗、试压废水收集用于蓄水池养护用水，最后清洗水用于灌溉周边农田，不直接外排至地表水</w:t>
                  </w:r>
                </w:p>
              </w:tc>
              <w:tc>
                <w:tcPr>
                  <w:tcW w:w="1136" w:type="dxa"/>
                  <w:tcBorders>
                    <w:tl2br w:val="nil"/>
                    <w:tr2bl w:val="nil"/>
                  </w:tcBorders>
                  <w:vAlign w:val="center"/>
                </w:tcPr>
                <w:p>
                  <w:pPr>
                    <w:jc w:val="center"/>
                    <w:rPr>
                      <w:rFonts w:cs="Times New Roman"/>
                      <w:szCs w:val="21"/>
                    </w:rPr>
                  </w:pPr>
                  <w:r>
                    <w:rPr>
                      <w:rFonts w:hint="eastAsia" w:cs="Times New Roman"/>
                      <w:szCs w:val="21"/>
                    </w:rPr>
                    <w:t>生活污水</w:t>
                  </w:r>
                </w:p>
              </w:tc>
              <w:tc>
                <w:tcPr>
                  <w:tcW w:w="992" w:type="dxa"/>
                  <w:vMerge w:val="continue"/>
                  <w:tcBorders>
                    <w:tl2br w:val="nil"/>
                    <w:tr2bl w:val="nil"/>
                  </w:tcBorders>
                  <w:vAlign w:val="center"/>
                </w:tcPr>
                <w:p>
                  <w:pPr>
                    <w:jc w:val="center"/>
                    <w:rPr>
                      <w:rFonts w:cs="Times New Roman"/>
                      <w:color w:val="1C0ECE"/>
                      <w:spacing w:val="4"/>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796"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pStyle w:val="311"/>
                    <w:rPr>
                      <w:rFonts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废气治理</w:t>
                  </w:r>
                </w:p>
              </w:tc>
              <w:tc>
                <w:tcPr>
                  <w:tcW w:w="5526" w:type="dxa"/>
                  <w:tcBorders>
                    <w:tl2br w:val="nil"/>
                    <w:tr2bl w:val="nil"/>
                  </w:tcBorders>
                  <w:vAlign w:val="center"/>
                </w:tcPr>
                <w:p>
                  <w:pPr>
                    <w:pStyle w:val="311"/>
                    <w:rPr>
                      <w:rFonts w:eastAsia="宋体" w:asciiTheme="minorEastAsia" w:hAnsiTheme="minorEastAsia" w:cstheme="minorEastAsia"/>
                      <w:spacing w:val="-5"/>
                      <w:sz w:val="21"/>
                      <w:szCs w:val="21"/>
                      <w:lang w:eastAsia="zh-CN"/>
                    </w:rPr>
                  </w:pPr>
                  <w:r>
                    <w:rPr>
                      <w:rFonts w:hint="eastAsia" w:asciiTheme="minorEastAsia" w:hAnsiTheme="minorEastAsia" w:cstheme="minorEastAsia"/>
                      <w:spacing w:val="-5"/>
                      <w:sz w:val="21"/>
                      <w:szCs w:val="21"/>
                      <w:lang w:eastAsia="zh-CN"/>
                    </w:rPr>
                    <w:t>施工扬尘和机械燃油废气，施工场地周边无居民，</w:t>
                  </w:r>
                  <w:r>
                    <w:rPr>
                      <w:rFonts w:ascii="Times New Roman" w:hAnsi="Times New Roman" w:eastAsia="宋体" w:cs="Times New Roman"/>
                      <w:szCs w:val="21"/>
                      <w:lang w:eastAsia="zh-CN"/>
                    </w:rPr>
                    <w:t>合理布置运输车辆行驶路线</w:t>
                  </w:r>
                  <w:r>
                    <w:rPr>
                      <w:rFonts w:hint="eastAsia" w:ascii="Times New Roman" w:hAnsi="Times New Roman" w:eastAsia="宋体" w:cs="Times New Roman"/>
                      <w:szCs w:val="21"/>
                      <w:lang w:eastAsia="zh-CN"/>
                    </w:rPr>
                    <w:t>，</w:t>
                  </w:r>
                  <w:r>
                    <w:rPr>
                      <w:rFonts w:hint="eastAsia" w:asciiTheme="minorEastAsia" w:hAnsiTheme="minorEastAsia" w:cstheme="minorEastAsia"/>
                      <w:spacing w:val="-5"/>
                      <w:sz w:val="21"/>
                      <w:szCs w:val="21"/>
                      <w:lang w:eastAsia="zh-CN"/>
                    </w:rPr>
                    <w:t>运输车辆采用篷布遮盖运输。施工点分散，燃油废气影响量小，无组织排放，对环境影响较小</w:t>
                  </w:r>
                </w:p>
              </w:tc>
              <w:tc>
                <w:tcPr>
                  <w:tcW w:w="1136" w:type="dxa"/>
                  <w:tcBorders>
                    <w:tl2br w:val="nil"/>
                    <w:tr2bl w:val="nil"/>
                  </w:tcBorders>
                  <w:vAlign w:val="center"/>
                </w:tcPr>
                <w:p>
                  <w:pPr>
                    <w:jc w:val="center"/>
                    <w:rPr>
                      <w:rFonts w:cs="Times New Roman"/>
                      <w:szCs w:val="21"/>
                    </w:rPr>
                  </w:pPr>
                  <w:r>
                    <w:rPr>
                      <w:rFonts w:hint="eastAsia" w:cs="Times New Roman"/>
                      <w:szCs w:val="21"/>
                    </w:rPr>
                    <w:t>/</w:t>
                  </w:r>
                </w:p>
              </w:tc>
              <w:tc>
                <w:tcPr>
                  <w:tcW w:w="992" w:type="dxa"/>
                  <w:vMerge w:val="continue"/>
                  <w:tcBorders>
                    <w:tl2br w:val="nil"/>
                    <w:tr2bl w:val="nil"/>
                  </w:tcBorders>
                  <w:vAlign w:val="center"/>
                </w:tcPr>
                <w:p>
                  <w:pPr>
                    <w:jc w:val="center"/>
                    <w:rPr>
                      <w:rFonts w:cs="Times New Roman"/>
                      <w:color w:val="1C0ECE"/>
                      <w:spacing w:val="4"/>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pStyle w:val="311"/>
                    <w:rPr>
                      <w:rFonts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噪声治理</w:t>
                  </w:r>
                </w:p>
              </w:tc>
              <w:tc>
                <w:tcPr>
                  <w:tcW w:w="5526" w:type="dxa"/>
                  <w:tcBorders>
                    <w:tl2br w:val="nil"/>
                    <w:tr2bl w:val="nil"/>
                  </w:tcBorders>
                  <w:vAlign w:val="center"/>
                </w:tcPr>
                <w:p>
                  <w:pPr>
                    <w:pStyle w:val="311"/>
                    <w:rPr>
                      <w:rFonts w:asciiTheme="minorEastAsia" w:hAnsiTheme="minorEastAsia" w:cstheme="minorEastAsia"/>
                      <w:spacing w:val="-5"/>
                      <w:sz w:val="21"/>
                      <w:szCs w:val="21"/>
                      <w:lang w:eastAsia="zh-CN"/>
                    </w:rPr>
                  </w:pPr>
                  <w:r>
                    <w:rPr>
                      <w:rFonts w:hint="eastAsia" w:asciiTheme="minorEastAsia" w:hAnsiTheme="minorEastAsia" w:cstheme="minorEastAsia"/>
                      <w:spacing w:val="-5"/>
                      <w:sz w:val="21"/>
                      <w:szCs w:val="21"/>
                      <w:lang w:eastAsia="zh-CN"/>
                    </w:rPr>
                    <w:t>施工现场周边无居民，施工人员工作和生活尽量做到不扰民。</w:t>
                  </w:r>
                </w:p>
              </w:tc>
              <w:tc>
                <w:tcPr>
                  <w:tcW w:w="1136" w:type="dxa"/>
                  <w:tcBorders>
                    <w:tl2br w:val="nil"/>
                    <w:tr2bl w:val="nil"/>
                  </w:tcBorders>
                  <w:vAlign w:val="center"/>
                </w:tcPr>
                <w:p>
                  <w:pPr>
                    <w:jc w:val="center"/>
                    <w:rPr>
                      <w:rFonts w:cs="Times New Roman"/>
                      <w:szCs w:val="21"/>
                    </w:rPr>
                  </w:pPr>
                  <w:r>
                    <w:rPr>
                      <w:rFonts w:hint="eastAsia" w:cs="Times New Roman"/>
                      <w:szCs w:val="21"/>
                    </w:rPr>
                    <w:t>噪声</w:t>
                  </w:r>
                </w:p>
              </w:tc>
              <w:tc>
                <w:tcPr>
                  <w:tcW w:w="992" w:type="dxa"/>
                  <w:vMerge w:val="continue"/>
                  <w:tcBorders>
                    <w:tl2br w:val="nil"/>
                    <w:tr2bl w:val="nil"/>
                  </w:tcBorders>
                  <w:vAlign w:val="center"/>
                </w:tcPr>
                <w:p>
                  <w:pPr>
                    <w:jc w:val="center"/>
                    <w:rPr>
                      <w:rFonts w:cs="Times New Roman"/>
                      <w:color w:val="1C0ECE"/>
                      <w:spacing w:val="4"/>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pStyle w:val="311"/>
                    <w:rPr>
                      <w:rFonts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固废治理</w:t>
                  </w:r>
                </w:p>
              </w:tc>
              <w:tc>
                <w:tcPr>
                  <w:tcW w:w="5526" w:type="dxa"/>
                  <w:tcBorders>
                    <w:tl2br w:val="nil"/>
                    <w:tr2bl w:val="nil"/>
                  </w:tcBorders>
                  <w:vAlign w:val="center"/>
                </w:tcPr>
                <w:p>
                  <w:pPr>
                    <w:pStyle w:val="311"/>
                    <w:rPr>
                      <w:rFonts w:asciiTheme="minorEastAsia" w:hAnsiTheme="minorEastAsia" w:cstheme="minorEastAsia"/>
                      <w:spacing w:val="-5"/>
                      <w:sz w:val="21"/>
                      <w:szCs w:val="21"/>
                      <w:lang w:eastAsia="zh-CN"/>
                    </w:rPr>
                  </w:pPr>
                  <w:r>
                    <w:rPr>
                      <w:rFonts w:ascii="Times New Roman" w:hAnsi="Times New Roman" w:eastAsia="宋体" w:cs="Times New Roman"/>
                      <w:sz w:val="21"/>
                      <w:szCs w:val="21"/>
                      <w:lang w:eastAsia="zh-CN"/>
                    </w:rPr>
                    <w:t>施工人员生活垃圾：由附近居民区垃圾收集点收集，外运至城市垃圾处理场</w:t>
                  </w:r>
                  <w:r>
                    <w:rPr>
                      <w:rFonts w:hint="eastAsia" w:asciiTheme="minorEastAsia" w:hAnsiTheme="minorEastAsia" w:cstheme="minorEastAsia"/>
                      <w:spacing w:val="-5"/>
                      <w:sz w:val="21"/>
                      <w:szCs w:val="21"/>
                      <w:lang w:eastAsia="zh-CN"/>
                    </w:rPr>
                    <w:t>。施工弃土用于填充低洼地带，禁止将弃土丢弃入河</w:t>
                  </w:r>
                </w:p>
              </w:tc>
              <w:tc>
                <w:tcPr>
                  <w:tcW w:w="1136" w:type="dxa"/>
                  <w:tcBorders>
                    <w:tl2br w:val="nil"/>
                    <w:tr2bl w:val="nil"/>
                  </w:tcBorders>
                  <w:vAlign w:val="center"/>
                </w:tcPr>
                <w:p>
                  <w:pPr>
                    <w:jc w:val="center"/>
                    <w:rPr>
                      <w:rFonts w:cs="Times New Roman"/>
                      <w:szCs w:val="21"/>
                    </w:rPr>
                  </w:pPr>
                  <w:r>
                    <w:rPr>
                      <w:rFonts w:hint="eastAsia" w:cs="Times New Roman"/>
                      <w:szCs w:val="21"/>
                    </w:rPr>
                    <w:t>废渣</w:t>
                  </w:r>
                </w:p>
              </w:tc>
              <w:tc>
                <w:tcPr>
                  <w:tcW w:w="992" w:type="dxa"/>
                  <w:vMerge w:val="continue"/>
                  <w:tcBorders>
                    <w:tl2br w:val="nil"/>
                    <w:tr2bl w:val="nil"/>
                  </w:tcBorders>
                  <w:vAlign w:val="center"/>
                </w:tcPr>
                <w:p>
                  <w:pPr>
                    <w:jc w:val="center"/>
                    <w:rPr>
                      <w:rFonts w:cs="Times New Roman"/>
                      <w:color w:val="1C0ECE"/>
                      <w:spacing w:val="4"/>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796" w:hRule="atLeast"/>
              </w:trPr>
              <w:tc>
                <w:tcPr>
                  <w:tcW w:w="709" w:type="dxa"/>
                  <w:vMerge w:val="continue"/>
                  <w:tcBorders>
                    <w:tl2br w:val="nil"/>
                    <w:tr2bl w:val="nil"/>
                  </w:tcBorders>
                  <w:vAlign w:val="center"/>
                </w:tcPr>
                <w:p>
                  <w:pPr>
                    <w:jc w:val="center"/>
                  </w:pPr>
                </w:p>
              </w:tc>
              <w:tc>
                <w:tcPr>
                  <w:tcW w:w="709" w:type="dxa"/>
                  <w:tcBorders>
                    <w:tl2br w:val="nil"/>
                    <w:tr2bl w:val="nil"/>
                  </w:tcBorders>
                  <w:vAlign w:val="center"/>
                </w:tcPr>
                <w:p>
                  <w:pPr>
                    <w:pStyle w:val="311"/>
                    <w:rPr>
                      <w:rFonts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生态措施</w:t>
                  </w:r>
                </w:p>
              </w:tc>
              <w:tc>
                <w:tcPr>
                  <w:tcW w:w="5526" w:type="dxa"/>
                  <w:tcBorders>
                    <w:tl2br w:val="nil"/>
                    <w:tr2bl w:val="nil"/>
                  </w:tcBorders>
                  <w:vAlign w:val="center"/>
                </w:tcPr>
                <w:p>
                  <w:pPr>
                    <w:pStyle w:val="311"/>
                    <w:rPr>
                      <w:rFonts w:asciiTheme="minorEastAsia" w:hAnsiTheme="minorEastAsia" w:cstheme="minorEastAsia"/>
                      <w:spacing w:val="-5"/>
                      <w:sz w:val="21"/>
                      <w:szCs w:val="21"/>
                      <w:lang w:eastAsia="zh-CN"/>
                    </w:rPr>
                  </w:pPr>
                  <w:r>
                    <w:rPr>
                      <w:rFonts w:hint="eastAsia" w:ascii="Times New Roman" w:hAnsi="Times New Roman" w:eastAsia="宋体"/>
                      <w:kern w:val="2"/>
                      <w:sz w:val="21"/>
                      <w:szCs w:val="21"/>
                      <w:lang w:eastAsia="zh-CN"/>
                    </w:rPr>
                    <w:t>严格施工管理，禁止施工材料乱堆、乱放。施工场地必须首先完成场地的工程排水措施才能进行场地平整，以减少扰动地表因降雨带来的水土流失</w:t>
                  </w:r>
                  <w:r>
                    <w:rPr>
                      <w:rFonts w:hint="eastAsia" w:eastAsia="宋体"/>
                      <w:kern w:val="2"/>
                      <w:sz w:val="21"/>
                      <w:szCs w:val="21"/>
                      <w:lang w:eastAsia="zh-CN"/>
                    </w:rPr>
                    <w:t>；</w:t>
                  </w:r>
                  <w:r>
                    <w:rPr>
                      <w:rFonts w:hint="eastAsia" w:ascii="Times New Roman" w:hAnsi="Times New Roman" w:eastAsia="宋体"/>
                      <w:kern w:val="2"/>
                      <w:sz w:val="21"/>
                      <w:szCs w:val="21"/>
                      <w:lang w:eastAsia="zh-CN"/>
                    </w:rPr>
                    <w:t>对</w:t>
                  </w:r>
                  <w:r>
                    <w:rPr>
                      <w:rFonts w:hint="eastAsia" w:eastAsia="宋体"/>
                      <w:kern w:val="2"/>
                      <w:sz w:val="21"/>
                      <w:szCs w:val="21"/>
                      <w:lang w:eastAsia="zh-CN"/>
                    </w:rPr>
                    <w:t>施工场地、施工便道、临时渣场等</w:t>
                  </w:r>
                  <w:r>
                    <w:rPr>
                      <w:rFonts w:hint="eastAsia" w:ascii="Times New Roman" w:hAnsi="Times New Roman" w:eastAsia="宋体"/>
                      <w:kern w:val="2"/>
                      <w:sz w:val="21"/>
                      <w:szCs w:val="21"/>
                      <w:lang w:eastAsia="zh-CN"/>
                    </w:rPr>
                    <w:t>施工临时占地进行生态恢复</w:t>
                  </w:r>
                </w:p>
              </w:tc>
              <w:tc>
                <w:tcPr>
                  <w:tcW w:w="1136" w:type="dxa"/>
                  <w:tcBorders>
                    <w:tl2br w:val="nil"/>
                    <w:tr2bl w:val="nil"/>
                  </w:tcBorders>
                  <w:vAlign w:val="center"/>
                </w:tcPr>
                <w:p>
                  <w:pPr>
                    <w:jc w:val="center"/>
                    <w:rPr>
                      <w:rFonts w:cs="Times New Roman"/>
                      <w:szCs w:val="21"/>
                    </w:rPr>
                  </w:pPr>
                  <w:r>
                    <w:rPr>
                      <w:rFonts w:hint="eastAsia" w:cs="Times New Roman"/>
                      <w:szCs w:val="21"/>
                    </w:rPr>
                    <w:t>/</w:t>
                  </w:r>
                </w:p>
              </w:tc>
              <w:tc>
                <w:tcPr>
                  <w:tcW w:w="992" w:type="dxa"/>
                  <w:vMerge w:val="continue"/>
                  <w:tcBorders>
                    <w:tl2br w:val="nil"/>
                    <w:tr2bl w:val="nil"/>
                  </w:tcBorders>
                  <w:vAlign w:val="center"/>
                </w:tcPr>
                <w:p>
                  <w:pPr>
                    <w:jc w:val="center"/>
                    <w:rPr>
                      <w:rFonts w:cs="Times New Roman"/>
                      <w:color w:val="1C0ECE"/>
                      <w:spacing w:val="4"/>
                      <w:szCs w:val="21"/>
                      <w:highlight w:val="yellow"/>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表1-7  项目工程组成一览表</w:t>
            </w:r>
          </w:p>
          <w:tbl>
            <w:tblPr>
              <w:tblStyle w:val="52"/>
              <w:tblW w:w="909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810"/>
              <w:gridCol w:w="705"/>
              <w:gridCol w:w="3690"/>
              <w:gridCol w:w="930"/>
              <w:gridCol w:w="705"/>
              <w:gridCol w:w="11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序号</w:t>
                  </w:r>
                </w:p>
              </w:tc>
              <w:tc>
                <w:tcPr>
                  <w:tcW w:w="708"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乡镇名称</w:t>
                  </w:r>
                </w:p>
              </w:tc>
              <w:tc>
                <w:tcPr>
                  <w:tcW w:w="810"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实施地点</w:t>
                  </w:r>
                </w:p>
              </w:tc>
              <w:tc>
                <w:tcPr>
                  <w:tcW w:w="705"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水源类型</w:t>
                  </w:r>
                </w:p>
              </w:tc>
              <w:tc>
                <w:tcPr>
                  <w:tcW w:w="3690"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工程内容</w:t>
                  </w:r>
                </w:p>
              </w:tc>
              <w:tc>
                <w:tcPr>
                  <w:tcW w:w="930"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备注</w:t>
                  </w:r>
                </w:p>
              </w:tc>
              <w:tc>
                <w:tcPr>
                  <w:tcW w:w="705"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受益人口</w:t>
                  </w:r>
                </w:p>
              </w:tc>
              <w:tc>
                <w:tcPr>
                  <w:tcW w:w="1125" w:type="dxa"/>
                  <w:tcBorders>
                    <w:tl2br w:val="nil"/>
                    <w:tr2bl w:val="nil"/>
                  </w:tcBorders>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供水规模(m</w:t>
                  </w:r>
                  <w:r>
                    <w:rPr>
                      <w:rFonts w:hint="eastAsia" w:ascii="宋体" w:hAnsi="宋体" w:cs="宋体"/>
                      <w:b/>
                      <w:color w:val="000000"/>
                      <w:kern w:val="0"/>
                      <w:szCs w:val="21"/>
                      <w:vertAlign w:val="superscript"/>
                    </w:rPr>
                    <w:t>3</w:t>
                  </w:r>
                  <w:r>
                    <w:rPr>
                      <w:rFonts w:hint="eastAsia" w:ascii="宋体" w:hAnsi="宋体" w:cs="宋体"/>
                      <w:b/>
                      <w:color w:val="000000"/>
                      <w:kern w:val="0"/>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1</w:t>
                  </w:r>
                </w:p>
              </w:tc>
              <w:tc>
                <w:tcPr>
                  <w:tcW w:w="708" w:type="dxa"/>
                  <w:vMerge w:val="restart"/>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安宏乡</w:t>
                  </w:r>
                </w:p>
              </w:tc>
              <w:tc>
                <w:tcPr>
                  <w:tcW w:w="81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肖包寺村1</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山溪水</w:t>
                  </w:r>
                </w:p>
              </w:tc>
              <w:tc>
                <w:tcPr>
                  <w:tcW w:w="3690" w:type="dxa"/>
                  <w:tcBorders>
                    <w:tl2br w:val="nil"/>
                    <w:tr2bl w:val="nil"/>
                  </w:tcBorders>
                  <w:vAlign w:val="center"/>
                </w:tcPr>
                <w:p>
                  <w:pPr>
                    <w:rPr>
                      <w:rFonts w:ascii="宋体" w:hAnsi="宋体" w:cs="宋体"/>
                      <w:color w:val="000000"/>
                      <w:szCs w:val="21"/>
                    </w:rPr>
                  </w:pPr>
                  <w:r>
                    <w:rPr>
                      <w:rFonts w:hint="eastAsia"/>
                      <w:szCs w:val="21"/>
                    </w:rPr>
                    <w:t>新建管道长5000米，蓄水池1个（100立方米），沉淀池1个</w:t>
                  </w:r>
                </w:p>
              </w:tc>
              <w:tc>
                <w:tcPr>
                  <w:tcW w:w="93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新建水源点</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400</w:t>
                  </w:r>
                </w:p>
              </w:tc>
              <w:tc>
                <w:tcPr>
                  <w:tcW w:w="1125" w:type="dxa"/>
                  <w:tcBorders>
                    <w:tl2br w:val="nil"/>
                    <w:tr2bl w:val="nil"/>
                  </w:tcBorders>
                  <w:vAlign w:val="center"/>
                </w:tcPr>
                <w:p>
                  <w:pPr>
                    <w:widowControl/>
                    <w:jc w:val="center"/>
                    <w:textAlignment w:val="center"/>
                    <w:rPr>
                      <w:rFonts w:ascii="宋体" w:hAnsi="宋体" w:cs="宋体"/>
                      <w:color w:val="000000"/>
                      <w:sz w:val="22"/>
                      <w:szCs w:val="22"/>
                    </w:rPr>
                  </w:pPr>
                  <w:r>
                    <w:rPr>
                      <w:rFonts w:hint="eastAsia" w:ascii="宋体" w:hAnsi="宋体" w:cs="宋体"/>
                      <w:kern w:val="0"/>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w:t>
                  </w:r>
                </w:p>
              </w:tc>
              <w:tc>
                <w:tcPr>
                  <w:tcW w:w="708" w:type="dxa"/>
                  <w:vMerge w:val="continue"/>
                  <w:tcBorders>
                    <w:tl2br w:val="nil"/>
                    <w:tr2bl w:val="nil"/>
                  </w:tcBorders>
                  <w:vAlign w:val="center"/>
                </w:tcPr>
                <w:p>
                  <w:pPr>
                    <w:widowControl/>
                    <w:jc w:val="center"/>
                    <w:textAlignment w:val="center"/>
                    <w:rPr>
                      <w:rFonts w:ascii="宋体" w:hAnsi="宋体" w:cs="宋体"/>
                      <w:color w:val="000000"/>
                      <w:szCs w:val="21"/>
                    </w:rPr>
                  </w:pPr>
                </w:p>
              </w:tc>
              <w:tc>
                <w:tcPr>
                  <w:tcW w:w="81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肖包寺村2</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山泉水</w:t>
                  </w:r>
                </w:p>
              </w:tc>
              <w:tc>
                <w:tcPr>
                  <w:tcW w:w="3690" w:type="dxa"/>
                  <w:tcBorders>
                    <w:tl2br w:val="nil"/>
                    <w:tr2bl w:val="nil"/>
                  </w:tcBorders>
                  <w:vAlign w:val="center"/>
                </w:tcPr>
                <w:p>
                  <w:pPr>
                    <w:rPr>
                      <w:rFonts w:ascii="宋体" w:hAnsi="宋体" w:cs="宋体"/>
                      <w:color w:val="000000"/>
                      <w:szCs w:val="21"/>
                    </w:rPr>
                  </w:pPr>
                  <w:r>
                    <w:rPr>
                      <w:rFonts w:hint="eastAsia"/>
                      <w:szCs w:val="21"/>
                    </w:rPr>
                    <w:t>新建引泉池1个，沉淀池1个，消毒池1个，蓄水池1个（100立方米），饮水管道4公里</w:t>
                  </w:r>
                </w:p>
              </w:tc>
              <w:tc>
                <w:tcPr>
                  <w:tcW w:w="93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新建水源点</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400</w:t>
                  </w:r>
                </w:p>
              </w:tc>
              <w:tc>
                <w:tcPr>
                  <w:tcW w:w="1125" w:type="dxa"/>
                  <w:tcBorders>
                    <w:tl2br w:val="nil"/>
                    <w:tr2bl w:val="nil"/>
                  </w:tcBorders>
                  <w:vAlign w:val="center"/>
                </w:tcPr>
                <w:p>
                  <w:pPr>
                    <w:widowControl/>
                    <w:jc w:val="center"/>
                    <w:textAlignment w:val="center"/>
                    <w:rPr>
                      <w:rFonts w:ascii="宋体" w:hAnsi="宋体" w:cs="宋体"/>
                      <w:color w:val="000000"/>
                      <w:sz w:val="22"/>
                      <w:szCs w:val="22"/>
                    </w:rPr>
                  </w:pPr>
                  <w:r>
                    <w:rPr>
                      <w:rFonts w:hint="eastAsia" w:ascii="宋体" w:hAnsi="宋体" w:cs="宋体"/>
                      <w:kern w:val="0"/>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3</w:t>
                  </w:r>
                </w:p>
              </w:tc>
              <w:tc>
                <w:tcPr>
                  <w:tcW w:w="708" w:type="dxa"/>
                  <w:vMerge w:val="continue"/>
                  <w:tcBorders>
                    <w:tl2br w:val="nil"/>
                    <w:tr2bl w:val="nil"/>
                  </w:tcBorders>
                  <w:vAlign w:val="center"/>
                </w:tcPr>
                <w:p>
                  <w:pPr>
                    <w:widowControl/>
                    <w:jc w:val="center"/>
                    <w:textAlignment w:val="center"/>
                    <w:rPr>
                      <w:rFonts w:ascii="宋体" w:hAnsi="宋体" w:cs="宋体"/>
                      <w:color w:val="000000"/>
                      <w:szCs w:val="21"/>
                    </w:rPr>
                  </w:pPr>
                </w:p>
              </w:tc>
              <w:tc>
                <w:tcPr>
                  <w:tcW w:w="81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西宁关村老村</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山泉水</w:t>
                  </w:r>
                </w:p>
              </w:tc>
              <w:tc>
                <w:tcPr>
                  <w:tcW w:w="3690" w:type="dxa"/>
                  <w:tcBorders>
                    <w:tl2br w:val="nil"/>
                    <w:tr2bl w:val="nil"/>
                  </w:tcBorders>
                  <w:vAlign w:val="center"/>
                </w:tcPr>
                <w:p>
                  <w:pPr>
                    <w:rPr>
                      <w:rFonts w:ascii="宋体" w:hAnsi="宋体" w:cs="宋体"/>
                      <w:color w:val="000000"/>
                      <w:szCs w:val="21"/>
                    </w:rPr>
                  </w:pPr>
                  <w:r>
                    <w:rPr>
                      <w:rFonts w:hint="eastAsia"/>
                      <w:szCs w:val="21"/>
                    </w:rPr>
                    <w:t>新建引泉池1个，蓄水池1个（100立方米），沉淀池1个，饮水管线长3公里及安装管道</w:t>
                  </w:r>
                </w:p>
              </w:tc>
              <w:tc>
                <w:tcPr>
                  <w:tcW w:w="93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新建水源点</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100</w:t>
                  </w:r>
                </w:p>
              </w:tc>
              <w:tc>
                <w:tcPr>
                  <w:tcW w:w="1125" w:type="dxa"/>
                  <w:tcBorders>
                    <w:tl2br w:val="nil"/>
                    <w:tr2bl w:val="nil"/>
                  </w:tcBorders>
                  <w:vAlign w:val="center"/>
                </w:tcPr>
                <w:p>
                  <w:pPr>
                    <w:widowControl/>
                    <w:jc w:val="center"/>
                    <w:textAlignment w:val="center"/>
                    <w:rPr>
                      <w:rFonts w:ascii="宋体" w:hAnsi="宋体" w:cs="宋体"/>
                      <w:color w:val="000000"/>
                      <w:sz w:val="22"/>
                      <w:szCs w:val="22"/>
                    </w:rPr>
                  </w:pPr>
                  <w:r>
                    <w:rPr>
                      <w:rFonts w:hint="eastAsia" w:ascii="宋体" w:hAnsi="宋体" w:cs="宋体"/>
                      <w:kern w:val="0"/>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w:t>
                  </w:r>
                </w:p>
              </w:tc>
              <w:tc>
                <w:tcPr>
                  <w:tcW w:w="708" w:type="dxa"/>
                  <w:vMerge w:val="continue"/>
                  <w:tcBorders>
                    <w:tl2br w:val="nil"/>
                    <w:tr2bl w:val="nil"/>
                  </w:tcBorders>
                  <w:vAlign w:val="center"/>
                </w:tcPr>
                <w:p>
                  <w:pPr>
                    <w:widowControl/>
                    <w:jc w:val="center"/>
                    <w:textAlignment w:val="center"/>
                    <w:rPr>
                      <w:rFonts w:ascii="宋体" w:hAnsi="宋体" w:cs="宋体"/>
                      <w:color w:val="000000"/>
                      <w:szCs w:val="21"/>
                    </w:rPr>
                  </w:pPr>
                </w:p>
              </w:tc>
              <w:tc>
                <w:tcPr>
                  <w:tcW w:w="81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烟囱村</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山溪水</w:t>
                  </w:r>
                </w:p>
              </w:tc>
              <w:tc>
                <w:tcPr>
                  <w:tcW w:w="3690" w:type="dxa"/>
                  <w:tcBorders>
                    <w:tl2br w:val="nil"/>
                    <w:tr2bl w:val="nil"/>
                  </w:tcBorders>
                  <w:vAlign w:val="center"/>
                </w:tcPr>
                <w:p>
                  <w:pPr>
                    <w:widowControl/>
                    <w:jc w:val="center"/>
                    <w:textAlignment w:val="center"/>
                    <w:rPr>
                      <w:rFonts w:ascii="宋体" w:hAnsi="宋体" w:cs="宋体"/>
                      <w:color w:val="000000"/>
                      <w:szCs w:val="21"/>
                    </w:rPr>
                  </w:pPr>
                  <w:r>
                    <w:rPr>
                      <w:szCs w:val="21"/>
                    </w:rPr>
                    <w:t>给水管道全长850m，</w:t>
                  </w:r>
                  <w:r>
                    <w:rPr>
                      <w:rFonts w:hint="eastAsia"/>
                      <w:szCs w:val="21"/>
                    </w:rPr>
                    <w:t>蓄水池2个（3*3*2米）、阀门井2个</w:t>
                  </w:r>
                </w:p>
              </w:tc>
              <w:tc>
                <w:tcPr>
                  <w:tcW w:w="93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新建水源点</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50</w:t>
                  </w:r>
                </w:p>
              </w:tc>
              <w:tc>
                <w:tcPr>
                  <w:tcW w:w="1125" w:type="dxa"/>
                  <w:tcBorders>
                    <w:tl2br w:val="nil"/>
                    <w:tr2bl w:val="nil"/>
                  </w:tcBorders>
                  <w:vAlign w:val="center"/>
                </w:tcPr>
                <w:p>
                  <w:pPr>
                    <w:widowControl/>
                    <w:jc w:val="center"/>
                    <w:textAlignment w:val="center"/>
                    <w:rPr>
                      <w:rFonts w:ascii="宋体" w:hAnsi="宋体" w:cs="宋体"/>
                      <w:color w:val="000000"/>
                      <w:sz w:val="22"/>
                      <w:szCs w:val="22"/>
                    </w:rPr>
                  </w:pPr>
                  <w:r>
                    <w:rPr>
                      <w:rFonts w:hint="eastAsia" w:ascii="宋体" w:hAnsi="宋体" w:cs="宋体"/>
                      <w:kern w:val="0"/>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w:t>
                  </w:r>
                </w:p>
              </w:tc>
              <w:tc>
                <w:tcPr>
                  <w:tcW w:w="708" w:type="dxa"/>
                  <w:vMerge w:val="continue"/>
                  <w:tcBorders>
                    <w:tl2br w:val="nil"/>
                    <w:tr2bl w:val="nil"/>
                  </w:tcBorders>
                  <w:vAlign w:val="center"/>
                </w:tcPr>
                <w:p>
                  <w:pPr>
                    <w:widowControl/>
                    <w:jc w:val="center"/>
                    <w:textAlignment w:val="center"/>
                    <w:rPr>
                      <w:rFonts w:ascii="宋体" w:hAnsi="宋体" w:cs="宋体"/>
                      <w:color w:val="000000"/>
                      <w:szCs w:val="21"/>
                    </w:rPr>
                  </w:pPr>
                </w:p>
              </w:tc>
              <w:tc>
                <w:tcPr>
                  <w:tcW w:w="81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安宏村</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山溪水</w:t>
                  </w:r>
                </w:p>
              </w:tc>
              <w:tc>
                <w:tcPr>
                  <w:tcW w:w="3690" w:type="dxa"/>
                  <w:tcBorders>
                    <w:tl2br w:val="nil"/>
                    <w:tr2bl w:val="nil"/>
                  </w:tcBorders>
                  <w:vAlign w:val="center"/>
                </w:tcPr>
                <w:p>
                  <w:pPr>
                    <w:rPr>
                      <w:rFonts w:ascii="宋体" w:hAnsi="宋体" w:cs="宋体"/>
                      <w:color w:val="000000"/>
                      <w:szCs w:val="21"/>
                    </w:rPr>
                  </w:pPr>
                  <w:r>
                    <w:rPr>
                      <w:rFonts w:hint="eastAsia"/>
                      <w:szCs w:val="21"/>
                    </w:rPr>
                    <w:t>给水管道全长1500m，蓄水池（20立方米）、阀门井2个</w:t>
                  </w:r>
                </w:p>
              </w:tc>
              <w:tc>
                <w:tcPr>
                  <w:tcW w:w="930"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新建水源点</w:t>
                  </w:r>
                </w:p>
              </w:tc>
              <w:tc>
                <w:tcPr>
                  <w:tcW w:w="705" w:type="dxa"/>
                  <w:tcBorders>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20</w:t>
                  </w:r>
                </w:p>
              </w:tc>
              <w:tc>
                <w:tcPr>
                  <w:tcW w:w="1125" w:type="dxa"/>
                  <w:tcBorders>
                    <w:tl2br w:val="nil"/>
                    <w:tr2bl w:val="nil"/>
                  </w:tcBorders>
                  <w:vAlign w:val="center"/>
                </w:tcPr>
                <w:p>
                  <w:pPr>
                    <w:widowControl/>
                    <w:jc w:val="center"/>
                    <w:textAlignment w:val="center"/>
                    <w:rPr>
                      <w:rFonts w:ascii="宋体" w:hAnsi="宋体" w:cs="宋体"/>
                      <w:color w:val="000000"/>
                      <w:sz w:val="22"/>
                      <w:szCs w:val="22"/>
                    </w:rPr>
                  </w:pPr>
                  <w:r>
                    <w:rPr>
                      <w:rFonts w:hint="eastAsia" w:ascii="宋体" w:hAnsi="宋体" w:cs="宋体"/>
                      <w:kern w:val="0"/>
                    </w:rPr>
                    <w:t>2.4</w:t>
                  </w:r>
                </w:p>
              </w:tc>
            </w:tr>
          </w:tbl>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Times New Roman" w:hAnsi="Times New Roman" w:cs="Times New Roman"/>
                <w:b/>
                <w:snapToGrid w:val="0"/>
                <w:color w:val="000000" w:themeColor="text1"/>
                <w:kern w:val="0"/>
                <w:sz w:val="24"/>
              </w:rPr>
              <w:t>3、主要设备</w:t>
            </w:r>
          </w:p>
          <w:p>
            <w:pPr>
              <w:spacing w:line="360" w:lineRule="auto"/>
              <w:ind w:firstLine="480" w:firstLineChars="200"/>
              <w:rPr>
                <w:rFonts w:cs="Times New Roman"/>
                <w:color w:val="000000"/>
                <w:sz w:val="24"/>
              </w:rPr>
            </w:pPr>
            <w:r>
              <w:rPr>
                <w:rFonts w:ascii="Times New Roman" w:hAnsi="Times New Roman" w:eastAsia="宋体" w:cs="Times New Roman"/>
                <w:color w:val="000000"/>
                <w:sz w:val="24"/>
              </w:rPr>
              <w:t>该项目主要设备为施工</w:t>
            </w:r>
            <w:r>
              <w:rPr>
                <w:rFonts w:hint="eastAsia" w:ascii="Times New Roman" w:hAnsi="Times New Roman" w:cs="Times New Roman"/>
                <w:color w:val="000000"/>
                <w:sz w:val="24"/>
              </w:rPr>
              <w:t>期</w:t>
            </w:r>
            <w:r>
              <w:rPr>
                <w:rFonts w:ascii="Times New Roman" w:hAnsi="Times New Roman" w:eastAsia="宋体" w:cs="Times New Roman"/>
                <w:color w:val="000000"/>
                <w:sz w:val="24"/>
              </w:rPr>
              <w:t>使用的常见机械设备。项目所使用的机械设备见表1-</w:t>
            </w:r>
            <w:r>
              <w:rPr>
                <w:rFonts w:hint="eastAsia" w:ascii="Times New Roman" w:hAnsi="Times New Roman" w:eastAsia="宋体" w:cs="Times New Roman"/>
                <w:color w:val="000000"/>
                <w:sz w:val="24"/>
              </w:rPr>
              <w:t>8</w:t>
            </w:r>
            <w:r>
              <w:rPr>
                <w:rFonts w:ascii="Times New Roman" w:hAnsi="Times New Roman"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表1-8 设备清单一览表</w:t>
            </w:r>
          </w:p>
          <w:tbl>
            <w:tblPr>
              <w:tblStyle w:val="51"/>
              <w:tblW w:w="9072" w:type="dxa"/>
              <w:tblInd w:w="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1"/>
              <w:gridCol w:w="4080"/>
              <w:gridCol w:w="1762"/>
              <w:gridCol w:w="14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761" w:type="dxa"/>
                  <w:tcBorders>
                    <w:tl2br w:val="nil"/>
                    <w:tr2bl w:val="nil"/>
                  </w:tcBorders>
                  <w:shd w:val="clear" w:color="auto" w:fill="auto"/>
                  <w:vAlign w:val="center"/>
                </w:tcPr>
                <w:p>
                  <w:pPr>
                    <w:jc w:val="center"/>
                    <w:rPr>
                      <w:rFonts w:cs="Times New Roman"/>
                      <w:color w:val="000000"/>
                      <w:szCs w:val="21"/>
                    </w:rPr>
                  </w:pPr>
                  <w:r>
                    <w:rPr>
                      <w:rFonts w:ascii="Times New Roman" w:hAnsi="Times New Roman" w:eastAsia="宋体" w:cs="Times New Roman"/>
                      <w:color w:val="000000"/>
                      <w:szCs w:val="21"/>
                    </w:rPr>
                    <w:t>序号</w:t>
                  </w:r>
                </w:p>
              </w:tc>
              <w:tc>
                <w:tcPr>
                  <w:tcW w:w="4080" w:type="dxa"/>
                  <w:tcBorders>
                    <w:tl2br w:val="nil"/>
                    <w:tr2bl w:val="nil"/>
                  </w:tcBorders>
                  <w:shd w:val="clear" w:color="auto" w:fill="auto"/>
                  <w:vAlign w:val="center"/>
                </w:tcPr>
                <w:p>
                  <w:pPr>
                    <w:jc w:val="center"/>
                    <w:rPr>
                      <w:rFonts w:cs="Times New Roman"/>
                      <w:color w:val="000000"/>
                      <w:szCs w:val="21"/>
                    </w:rPr>
                  </w:pPr>
                  <w:r>
                    <w:rPr>
                      <w:rFonts w:ascii="Times New Roman" w:hAnsi="Times New Roman" w:eastAsia="宋体" w:cs="Times New Roman"/>
                      <w:color w:val="000000"/>
                      <w:szCs w:val="21"/>
                    </w:rPr>
                    <w:t>设备名称</w:t>
                  </w:r>
                </w:p>
              </w:tc>
              <w:tc>
                <w:tcPr>
                  <w:tcW w:w="1762" w:type="dxa"/>
                  <w:tcBorders>
                    <w:tl2br w:val="nil"/>
                    <w:tr2bl w:val="nil"/>
                  </w:tcBorders>
                  <w:shd w:val="clear" w:color="auto" w:fill="auto"/>
                  <w:vAlign w:val="center"/>
                </w:tcPr>
                <w:p>
                  <w:pPr>
                    <w:jc w:val="center"/>
                    <w:rPr>
                      <w:rFonts w:cs="Times New Roman"/>
                      <w:color w:val="000000"/>
                      <w:szCs w:val="21"/>
                    </w:rPr>
                  </w:pPr>
                  <w:r>
                    <w:rPr>
                      <w:rFonts w:hint="eastAsia" w:ascii="Times New Roman" w:hAnsi="Times New Roman" w:cs="Times New Roman"/>
                      <w:color w:val="000000"/>
                      <w:szCs w:val="21"/>
                    </w:rPr>
                    <w:t>单位</w:t>
                  </w:r>
                </w:p>
              </w:tc>
              <w:tc>
                <w:tcPr>
                  <w:tcW w:w="1469" w:type="dxa"/>
                  <w:tcBorders>
                    <w:tl2br w:val="nil"/>
                    <w:tr2bl w:val="nil"/>
                  </w:tcBorders>
                  <w:shd w:val="clear" w:color="auto" w:fill="auto"/>
                  <w:vAlign w:val="center"/>
                </w:tcPr>
                <w:p>
                  <w:pPr>
                    <w:jc w:val="center"/>
                    <w:rPr>
                      <w:rFonts w:cs="Times New Roman"/>
                      <w:color w:val="000000"/>
                      <w:szCs w:val="21"/>
                    </w:rPr>
                  </w:pPr>
                  <w:r>
                    <w:rPr>
                      <w:rFonts w:ascii="Times New Roman" w:hAnsi="Times New Roman" w:eastAsia="宋体" w:cs="Times New Roman"/>
                      <w:color w:val="000000"/>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1761"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1</w:t>
                  </w:r>
                </w:p>
              </w:tc>
              <w:tc>
                <w:tcPr>
                  <w:tcW w:w="4080"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水泵</w:t>
                  </w:r>
                </w:p>
              </w:tc>
              <w:tc>
                <w:tcPr>
                  <w:tcW w:w="1762" w:type="dxa"/>
                  <w:tcBorders>
                    <w:tl2br w:val="nil"/>
                    <w:tr2bl w:val="nil"/>
                  </w:tcBorders>
                  <w:shd w:val="clear" w:color="auto" w:fill="auto"/>
                  <w:vAlign w:val="center"/>
                </w:tcPr>
                <w:p>
                  <w:pPr>
                    <w:jc w:val="center"/>
                    <w:rPr>
                      <w:rFonts w:cs="Times New Roman"/>
                      <w:color w:val="000000"/>
                      <w:szCs w:val="21"/>
                    </w:rPr>
                  </w:pPr>
                  <w:r>
                    <w:rPr>
                      <w:rFonts w:hint="eastAsia" w:ascii="Times New Roman" w:hAnsi="Times New Roman" w:cs="Times New Roman"/>
                      <w:color w:val="000000"/>
                      <w:szCs w:val="21"/>
                    </w:rPr>
                    <w:t>台</w:t>
                  </w:r>
                </w:p>
              </w:tc>
              <w:tc>
                <w:tcPr>
                  <w:tcW w:w="1469"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61"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2</w:t>
                  </w:r>
                </w:p>
              </w:tc>
              <w:tc>
                <w:tcPr>
                  <w:tcW w:w="4080"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振动棒</w:t>
                  </w:r>
                </w:p>
              </w:tc>
              <w:tc>
                <w:tcPr>
                  <w:tcW w:w="1762"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台</w:t>
                  </w:r>
                </w:p>
              </w:tc>
              <w:tc>
                <w:tcPr>
                  <w:tcW w:w="1469"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61"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3</w:t>
                  </w:r>
                </w:p>
              </w:tc>
              <w:tc>
                <w:tcPr>
                  <w:tcW w:w="4080"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装载机</w:t>
                  </w:r>
                </w:p>
              </w:tc>
              <w:tc>
                <w:tcPr>
                  <w:tcW w:w="1762"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辆</w:t>
                  </w:r>
                </w:p>
              </w:tc>
              <w:tc>
                <w:tcPr>
                  <w:tcW w:w="1469"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61"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4</w:t>
                  </w:r>
                </w:p>
              </w:tc>
              <w:tc>
                <w:tcPr>
                  <w:tcW w:w="4080"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自卸汽车</w:t>
                  </w:r>
                </w:p>
              </w:tc>
              <w:tc>
                <w:tcPr>
                  <w:tcW w:w="1762"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辆</w:t>
                  </w:r>
                </w:p>
              </w:tc>
              <w:tc>
                <w:tcPr>
                  <w:tcW w:w="1469" w:type="dxa"/>
                  <w:tcBorders>
                    <w:tl2br w:val="nil"/>
                    <w:tr2bl w:val="nil"/>
                  </w:tcBorders>
                  <w:shd w:val="clear" w:color="auto" w:fill="auto"/>
                  <w:vAlign w:val="center"/>
                </w:tcPr>
                <w:p>
                  <w:pPr>
                    <w:jc w:val="center"/>
                    <w:rPr>
                      <w:rFonts w:cs="Times New Roman"/>
                      <w:color w:val="000000"/>
                      <w:szCs w:val="21"/>
                    </w:rPr>
                  </w:pPr>
                  <w:r>
                    <w:rPr>
                      <w:rFonts w:hint="eastAsia" w:cs="Times New Roman"/>
                      <w:color w:val="000000"/>
                      <w:szCs w:val="21"/>
                    </w:rPr>
                    <w:t>5</w:t>
                  </w:r>
                </w:p>
              </w:tc>
            </w:tr>
          </w:tbl>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Times New Roman" w:hAnsi="Times New Roman" w:cs="Times New Roman"/>
                <w:b/>
                <w:snapToGrid w:val="0"/>
                <w:color w:val="000000" w:themeColor="text1"/>
                <w:kern w:val="0"/>
                <w:sz w:val="24"/>
              </w:rPr>
              <w:t>4、原辅材料及能耗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表1-9  项目原辅材料及能耗表</w:t>
            </w:r>
          </w:p>
          <w:tbl>
            <w:tblPr>
              <w:tblStyle w:val="5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599"/>
              <w:gridCol w:w="1811"/>
              <w:gridCol w:w="1811"/>
              <w:gridCol w:w="1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rFonts w:cs="Times New Roman"/>
                      <w:b/>
                      <w:color w:val="000000"/>
                      <w:szCs w:val="21"/>
                    </w:rPr>
                  </w:pPr>
                  <w:r>
                    <w:rPr>
                      <w:rFonts w:ascii="Times New Roman" w:hAnsi="Times New Roman" w:eastAsia="宋体" w:cs="Times New Roman"/>
                      <w:b/>
                      <w:color w:val="000000"/>
                      <w:szCs w:val="21"/>
                    </w:rPr>
                    <w:t>名称</w:t>
                  </w:r>
                </w:p>
              </w:tc>
              <w:tc>
                <w:tcPr>
                  <w:tcW w:w="1599" w:type="dxa"/>
                  <w:tcBorders>
                    <w:tl2br w:val="nil"/>
                    <w:tr2bl w:val="nil"/>
                  </w:tcBorders>
                  <w:vAlign w:val="center"/>
                </w:tcPr>
                <w:p>
                  <w:pPr>
                    <w:jc w:val="center"/>
                    <w:rPr>
                      <w:rFonts w:cs="Times New Roman"/>
                      <w:b/>
                      <w:color w:val="000000"/>
                      <w:szCs w:val="21"/>
                    </w:rPr>
                  </w:pPr>
                  <w:r>
                    <w:rPr>
                      <w:rFonts w:ascii="Times New Roman" w:hAnsi="Times New Roman" w:eastAsia="宋体" w:cs="Times New Roman"/>
                      <w:b/>
                      <w:color w:val="000000"/>
                      <w:szCs w:val="21"/>
                    </w:rPr>
                    <w:t>用量</w:t>
                  </w:r>
                </w:p>
              </w:tc>
              <w:tc>
                <w:tcPr>
                  <w:tcW w:w="1811" w:type="dxa"/>
                  <w:tcBorders>
                    <w:tl2br w:val="nil"/>
                    <w:tr2bl w:val="nil"/>
                  </w:tcBorders>
                  <w:vAlign w:val="center"/>
                </w:tcPr>
                <w:p>
                  <w:pPr>
                    <w:jc w:val="center"/>
                    <w:rPr>
                      <w:rFonts w:cs="Times New Roman"/>
                      <w:b/>
                      <w:color w:val="000000"/>
                      <w:szCs w:val="21"/>
                    </w:rPr>
                  </w:pPr>
                  <w:r>
                    <w:rPr>
                      <w:rFonts w:ascii="Times New Roman" w:hAnsi="Times New Roman" w:eastAsia="宋体" w:cs="Times New Roman"/>
                      <w:b/>
                      <w:color w:val="000000"/>
                      <w:szCs w:val="21"/>
                    </w:rPr>
                    <w:t>单位</w:t>
                  </w:r>
                </w:p>
              </w:tc>
              <w:tc>
                <w:tcPr>
                  <w:tcW w:w="1811" w:type="dxa"/>
                  <w:tcBorders>
                    <w:tl2br w:val="nil"/>
                    <w:tr2bl w:val="nil"/>
                  </w:tcBorders>
                  <w:vAlign w:val="center"/>
                </w:tcPr>
                <w:p>
                  <w:pPr>
                    <w:jc w:val="center"/>
                    <w:rPr>
                      <w:rFonts w:cs="Times New Roman"/>
                      <w:b/>
                      <w:color w:val="000000"/>
                      <w:szCs w:val="21"/>
                    </w:rPr>
                  </w:pPr>
                  <w:r>
                    <w:rPr>
                      <w:rFonts w:ascii="Times New Roman" w:hAnsi="Times New Roman" w:eastAsia="宋体" w:cs="Times New Roman"/>
                      <w:b/>
                      <w:color w:val="000000"/>
                      <w:szCs w:val="21"/>
                    </w:rPr>
                    <w:t>涉及工程</w:t>
                  </w:r>
                </w:p>
              </w:tc>
              <w:tc>
                <w:tcPr>
                  <w:tcW w:w="1811" w:type="dxa"/>
                  <w:tcBorders>
                    <w:tl2br w:val="nil"/>
                    <w:tr2bl w:val="nil"/>
                  </w:tcBorders>
                  <w:vAlign w:val="center"/>
                </w:tcPr>
                <w:p>
                  <w:pPr>
                    <w:jc w:val="center"/>
                    <w:rPr>
                      <w:rFonts w:cs="Times New Roman"/>
                      <w:b/>
                      <w:color w:val="000000"/>
                      <w:szCs w:val="21"/>
                    </w:rPr>
                  </w:pPr>
                  <w:r>
                    <w:rPr>
                      <w:rFonts w:ascii="Times New Roman" w:hAnsi="Times New Roman" w:eastAsia="宋体"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rFonts w:cs="Times New Roman"/>
                      <w:color w:val="000000"/>
                      <w:szCs w:val="21"/>
                    </w:rPr>
                  </w:pPr>
                  <w:r>
                    <w:rPr>
                      <w:rFonts w:hint="eastAsia"/>
                      <w:szCs w:val="21"/>
                    </w:rPr>
                    <w:t>砼</w:t>
                  </w:r>
                </w:p>
              </w:tc>
              <w:tc>
                <w:tcPr>
                  <w:tcW w:w="1599" w:type="dxa"/>
                  <w:tcBorders>
                    <w:tl2br w:val="nil"/>
                    <w:tr2bl w:val="nil"/>
                  </w:tcBorders>
                  <w:vAlign w:val="center"/>
                </w:tcPr>
                <w:p>
                  <w:pPr>
                    <w:jc w:val="center"/>
                    <w:rPr>
                      <w:rFonts w:cs="Times New Roman"/>
                      <w:szCs w:val="21"/>
                    </w:rPr>
                  </w:pPr>
                  <w:r>
                    <w:rPr>
                      <w:rFonts w:hint="eastAsia"/>
                      <w:szCs w:val="21"/>
                    </w:rPr>
                    <w:t>165</w:t>
                  </w:r>
                </w:p>
              </w:tc>
              <w:tc>
                <w:tcPr>
                  <w:tcW w:w="1811" w:type="dxa"/>
                  <w:tcBorders>
                    <w:tl2br w:val="nil"/>
                    <w:tr2bl w:val="nil"/>
                  </w:tcBorders>
                  <w:vAlign w:val="center"/>
                </w:tcPr>
                <w:p>
                  <w:pPr>
                    <w:jc w:val="center"/>
                    <w:rPr>
                      <w:rFonts w:cs="Times New Roman"/>
                      <w:color w:val="000000"/>
                      <w:szCs w:val="21"/>
                    </w:rPr>
                  </w:pPr>
                  <w:r>
                    <w:rPr>
                      <w:rFonts w:hint="eastAsia"/>
                      <w:szCs w:val="21"/>
                    </w:rPr>
                    <w:t>m³</w:t>
                  </w:r>
                </w:p>
              </w:tc>
              <w:tc>
                <w:tcPr>
                  <w:tcW w:w="1811" w:type="dxa"/>
                  <w:tcBorders>
                    <w:tl2br w:val="nil"/>
                    <w:tr2bl w:val="nil"/>
                  </w:tcBorders>
                  <w:vAlign w:val="center"/>
                </w:tcPr>
                <w:p>
                  <w:pPr>
                    <w:jc w:val="center"/>
                    <w:rPr>
                      <w:rFonts w:cs="Times New Roman"/>
                      <w:color w:val="000000"/>
                      <w:szCs w:val="21"/>
                    </w:rPr>
                  </w:pPr>
                  <w:r>
                    <w:rPr>
                      <w:rFonts w:hint="eastAsia"/>
                      <w:szCs w:val="21"/>
                    </w:rPr>
                    <w:t>砼浇筑</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szCs w:val="21"/>
                    </w:rPr>
                  </w:pPr>
                  <w:r>
                    <w:rPr>
                      <w:rFonts w:hint="eastAsia"/>
                      <w:szCs w:val="21"/>
                    </w:rPr>
                    <w:t>石块</w:t>
                  </w:r>
                </w:p>
              </w:tc>
              <w:tc>
                <w:tcPr>
                  <w:tcW w:w="1599" w:type="dxa"/>
                  <w:tcBorders>
                    <w:tl2br w:val="nil"/>
                    <w:tr2bl w:val="nil"/>
                  </w:tcBorders>
                  <w:vAlign w:val="center"/>
                </w:tcPr>
                <w:p>
                  <w:pPr>
                    <w:jc w:val="center"/>
                    <w:rPr>
                      <w:szCs w:val="21"/>
                    </w:rPr>
                  </w:pPr>
                  <w:r>
                    <w:rPr>
                      <w:rFonts w:hint="eastAsia"/>
                      <w:szCs w:val="21"/>
                    </w:rPr>
                    <w:t>48</w:t>
                  </w:r>
                </w:p>
              </w:tc>
              <w:tc>
                <w:tcPr>
                  <w:tcW w:w="1811" w:type="dxa"/>
                  <w:tcBorders>
                    <w:tl2br w:val="nil"/>
                    <w:tr2bl w:val="nil"/>
                  </w:tcBorders>
                  <w:vAlign w:val="center"/>
                </w:tcPr>
                <w:p>
                  <w:pPr>
                    <w:jc w:val="center"/>
                    <w:rPr>
                      <w:szCs w:val="21"/>
                    </w:rPr>
                  </w:pPr>
                  <w:r>
                    <w:rPr>
                      <w:rFonts w:hint="eastAsia"/>
                      <w:szCs w:val="21"/>
                    </w:rPr>
                    <w:t>m³</w:t>
                  </w:r>
                </w:p>
              </w:tc>
              <w:tc>
                <w:tcPr>
                  <w:tcW w:w="1811" w:type="dxa"/>
                  <w:tcBorders>
                    <w:tl2br w:val="nil"/>
                    <w:tr2bl w:val="nil"/>
                  </w:tcBorders>
                  <w:vAlign w:val="center"/>
                </w:tcPr>
                <w:p>
                  <w:pPr>
                    <w:jc w:val="center"/>
                    <w:rPr>
                      <w:szCs w:val="21"/>
                    </w:rPr>
                  </w:pPr>
                  <w:r>
                    <w:rPr>
                      <w:rFonts w:hint="eastAsia"/>
                      <w:szCs w:val="21"/>
                    </w:rPr>
                    <w:t>砌石工程</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szCs w:val="21"/>
                    </w:rPr>
                  </w:pPr>
                  <w:r>
                    <w:rPr>
                      <w:rFonts w:hint="eastAsia"/>
                      <w:kern w:val="0"/>
                      <w:szCs w:val="21"/>
                    </w:rPr>
                    <w:t>Φ</w:t>
                  </w:r>
                  <w:r>
                    <w:rPr>
                      <w:kern w:val="0"/>
                      <w:szCs w:val="21"/>
                    </w:rPr>
                    <w:t>63</w:t>
                  </w:r>
                  <w:r>
                    <w:rPr>
                      <w:rFonts w:hint="eastAsia"/>
                      <w:kern w:val="0"/>
                      <w:szCs w:val="21"/>
                    </w:rPr>
                    <w:t>管</w:t>
                  </w:r>
                </w:p>
              </w:tc>
              <w:tc>
                <w:tcPr>
                  <w:tcW w:w="1599" w:type="dxa"/>
                  <w:tcBorders>
                    <w:tl2br w:val="nil"/>
                    <w:tr2bl w:val="nil"/>
                  </w:tcBorders>
                  <w:vAlign w:val="center"/>
                </w:tcPr>
                <w:p>
                  <w:pPr>
                    <w:jc w:val="center"/>
                    <w:rPr>
                      <w:szCs w:val="21"/>
                    </w:rPr>
                  </w:pPr>
                  <w:r>
                    <w:rPr>
                      <w:rFonts w:hint="eastAsia"/>
                      <w:kern w:val="0"/>
                      <w:szCs w:val="21"/>
                    </w:rPr>
                    <w:t>12</w:t>
                  </w:r>
                </w:p>
              </w:tc>
              <w:tc>
                <w:tcPr>
                  <w:tcW w:w="1811" w:type="dxa"/>
                  <w:tcBorders>
                    <w:tl2br w:val="nil"/>
                    <w:tr2bl w:val="nil"/>
                  </w:tcBorders>
                  <w:vAlign w:val="center"/>
                </w:tcPr>
                <w:p>
                  <w:pPr>
                    <w:jc w:val="center"/>
                    <w:rPr>
                      <w:szCs w:val="21"/>
                    </w:rPr>
                  </w:pPr>
                  <w:r>
                    <w:rPr>
                      <w:kern w:val="0"/>
                      <w:szCs w:val="21"/>
                    </w:rPr>
                    <w:t>km</w:t>
                  </w:r>
                </w:p>
              </w:tc>
              <w:tc>
                <w:tcPr>
                  <w:tcW w:w="1811"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管线工程</w:t>
                  </w:r>
                </w:p>
              </w:tc>
              <w:tc>
                <w:tcPr>
                  <w:tcW w:w="1811"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kern w:val="0"/>
                      <w:szCs w:val="21"/>
                    </w:rPr>
                  </w:pPr>
                  <w:r>
                    <w:rPr>
                      <w:rFonts w:hint="eastAsia"/>
                      <w:kern w:val="0"/>
                      <w:szCs w:val="21"/>
                    </w:rPr>
                    <w:t>Φ50管</w:t>
                  </w:r>
                </w:p>
              </w:tc>
              <w:tc>
                <w:tcPr>
                  <w:tcW w:w="1599" w:type="dxa"/>
                  <w:tcBorders>
                    <w:tl2br w:val="nil"/>
                    <w:tr2bl w:val="nil"/>
                  </w:tcBorders>
                  <w:vAlign w:val="center"/>
                </w:tcPr>
                <w:p>
                  <w:pPr>
                    <w:jc w:val="center"/>
                    <w:rPr>
                      <w:kern w:val="0"/>
                      <w:szCs w:val="21"/>
                    </w:rPr>
                  </w:pPr>
                  <w:r>
                    <w:rPr>
                      <w:rFonts w:hint="eastAsia"/>
                      <w:kern w:val="0"/>
                      <w:szCs w:val="21"/>
                    </w:rPr>
                    <w:t>2.35</w:t>
                  </w:r>
                </w:p>
              </w:tc>
              <w:tc>
                <w:tcPr>
                  <w:tcW w:w="1811" w:type="dxa"/>
                  <w:tcBorders>
                    <w:tl2br w:val="nil"/>
                    <w:tr2bl w:val="nil"/>
                  </w:tcBorders>
                  <w:vAlign w:val="center"/>
                </w:tcPr>
                <w:p>
                  <w:pPr>
                    <w:jc w:val="center"/>
                    <w:rPr>
                      <w:kern w:val="0"/>
                      <w:szCs w:val="21"/>
                    </w:rPr>
                  </w:pPr>
                  <w:r>
                    <w:rPr>
                      <w:rFonts w:hint="eastAsia"/>
                      <w:kern w:val="0"/>
                      <w:szCs w:val="21"/>
                    </w:rPr>
                    <w:t>Km</w:t>
                  </w:r>
                </w:p>
              </w:tc>
              <w:tc>
                <w:tcPr>
                  <w:tcW w:w="1811"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管线工程</w:t>
                  </w:r>
                </w:p>
              </w:tc>
              <w:tc>
                <w:tcPr>
                  <w:tcW w:w="1811"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rFonts w:cs="Times New Roman"/>
                      <w:color w:val="000000"/>
                      <w:szCs w:val="21"/>
                    </w:rPr>
                  </w:pPr>
                  <w:r>
                    <w:rPr>
                      <w:szCs w:val="21"/>
                    </w:rPr>
                    <w:t>柴油</w:t>
                  </w:r>
                </w:p>
              </w:tc>
              <w:tc>
                <w:tcPr>
                  <w:tcW w:w="1599" w:type="dxa"/>
                  <w:tcBorders>
                    <w:tl2br w:val="nil"/>
                    <w:tr2bl w:val="nil"/>
                  </w:tcBorders>
                  <w:vAlign w:val="center"/>
                </w:tcPr>
                <w:p>
                  <w:pPr>
                    <w:jc w:val="center"/>
                    <w:rPr>
                      <w:rFonts w:cs="Times New Roman"/>
                      <w:szCs w:val="21"/>
                    </w:rPr>
                  </w:pPr>
                  <w:r>
                    <w:rPr>
                      <w:rFonts w:hint="eastAsia"/>
                      <w:szCs w:val="21"/>
                    </w:rPr>
                    <w:t>0.7</w:t>
                  </w:r>
                </w:p>
              </w:tc>
              <w:tc>
                <w:tcPr>
                  <w:tcW w:w="1811" w:type="dxa"/>
                  <w:tcBorders>
                    <w:tl2br w:val="nil"/>
                    <w:tr2bl w:val="nil"/>
                  </w:tcBorders>
                  <w:vAlign w:val="center"/>
                </w:tcPr>
                <w:p>
                  <w:pPr>
                    <w:jc w:val="center"/>
                    <w:rPr>
                      <w:rFonts w:cs="Times New Roman"/>
                      <w:color w:val="000000"/>
                      <w:szCs w:val="21"/>
                    </w:rPr>
                  </w:pPr>
                  <w:r>
                    <w:rPr>
                      <w:szCs w:val="21"/>
                    </w:rPr>
                    <w:t>t</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发电</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rFonts w:cs="Times New Roman"/>
                      <w:color w:val="000000"/>
                      <w:szCs w:val="21"/>
                    </w:rPr>
                  </w:pPr>
                  <w:r>
                    <w:rPr>
                      <w:szCs w:val="21"/>
                    </w:rPr>
                    <w:t>汽油</w:t>
                  </w:r>
                </w:p>
              </w:tc>
              <w:tc>
                <w:tcPr>
                  <w:tcW w:w="1599" w:type="dxa"/>
                  <w:tcBorders>
                    <w:tl2br w:val="nil"/>
                    <w:tr2bl w:val="nil"/>
                  </w:tcBorders>
                  <w:vAlign w:val="center"/>
                </w:tcPr>
                <w:p>
                  <w:pPr>
                    <w:jc w:val="center"/>
                    <w:rPr>
                      <w:rFonts w:cs="Times New Roman"/>
                      <w:szCs w:val="21"/>
                    </w:rPr>
                  </w:pPr>
                  <w:r>
                    <w:rPr>
                      <w:rFonts w:hint="eastAsia"/>
                      <w:szCs w:val="21"/>
                    </w:rPr>
                    <w:t>0.4</w:t>
                  </w:r>
                </w:p>
              </w:tc>
              <w:tc>
                <w:tcPr>
                  <w:tcW w:w="1811" w:type="dxa"/>
                  <w:tcBorders>
                    <w:tl2br w:val="nil"/>
                    <w:tr2bl w:val="nil"/>
                  </w:tcBorders>
                  <w:vAlign w:val="center"/>
                </w:tcPr>
                <w:p>
                  <w:pPr>
                    <w:jc w:val="center"/>
                    <w:rPr>
                      <w:rFonts w:cs="Times New Roman"/>
                      <w:color w:val="000000"/>
                      <w:szCs w:val="21"/>
                    </w:rPr>
                  </w:pPr>
                  <w:r>
                    <w:rPr>
                      <w:szCs w:val="21"/>
                    </w:rPr>
                    <w:t>t</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运输</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szCs w:val="21"/>
                    </w:rPr>
                  </w:pPr>
                  <w:r>
                    <w:rPr>
                      <w:rFonts w:hint="eastAsia"/>
                      <w:szCs w:val="21"/>
                    </w:rPr>
                    <w:t>电</w:t>
                  </w:r>
                </w:p>
              </w:tc>
              <w:tc>
                <w:tcPr>
                  <w:tcW w:w="1599" w:type="dxa"/>
                  <w:tcBorders>
                    <w:tl2br w:val="nil"/>
                    <w:tr2bl w:val="nil"/>
                  </w:tcBorders>
                  <w:vAlign w:val="center"/>
                </w:tcPr>
                <w:p>
                  <w:pPr>
                    <w:jc w:val="center"/>
                    <w:rPr>
                      <w:b/>
                      <w:bCs/>
                      <w:szCs w:val="21"/>
                    </w:rPr>
                  </w:pPr>
                  <w:r>
                    <w:rPr>
                      <w:rFonts w:hint="eastAsia"/>
                      <w:szCs w:val="21"/>
                    </w:rPr>
                    <w:t>2395.81</w:t>
                  </w:r>
                </w:p>
              </w:tc>
              <w:tc>
                <w:tcPr>
                  <w:tcW w:w="1811" w:type="dxa"/>
                  <w:tcBorders>
                    <w:tl2br w:val="nil"/>
                    <w:tr2bl w:val="nil"/>
                  </w:tcBorders>
                  <w:vAlign w:val="center"/>
                </w:tcPr>
                <w:p>
                  <w:pPr>
                    <w:jc w:val="center"/>
                    <w:rPr>
                      <w:szCs w:val="21"/>
                    </w:rPr>
                  </w:pPr>
                  <w:r>
                    <w:rPr>
                      <w:szCs w:val="21"/>
                    </w:rPr>
                    <w:t>kW.h</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柴油发电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szCs w:val="21"/>
                    </w:rPr>
                  </w:pPr>
                  <w:r>
                    <w:rPr>
                      <w:rFonts w:hint="eastAsia"/>
                      <w:szCs w:val="21"/>
                    </w:rPr>
                    <w:t>水</w:t>
                  </w:r>
                </w:p>
              </w:tc>
              <w:tc>
                <w:tcPr>
                  <w:tcW w:w="1599" w:type="dxa"/>
                  <w:tcBorders>
                    <w:tl2br w:val="nil"/>
                    <w:tr2bl w:val="nil"/>
                  </w:tcBorders>
                  <w:vAlign w:val="center"/>
                </w:tcPr>
                <w:p>
                  <w:pPr>
                    <w:jc w:val="center"/>
                    <w:rPr>
                      <w:szCs w:val="21"/>
                    </w:rPr>
                  </w:pPr>
                  <w:r>
                    <w:rPr>
                      <w:rFonts w:hint="eastAsia"/>
                      <w:szCs w:val="21"/>
                    </w:rPr>
                    <w:t>3.42</w:t>
                  </w:r>
                </w:p>
              </w:tc>
              <w:tc>
                <w:tcPr>
                  <w:tcW w:w="1811" w:type="dxa"/>
                  <w:tcBorders>
                    <w:tl2br w:val="nil"/>
                    <w:tr2bl w:val="nil"/>
                  </w:tcBorders>
                  <w:vAlign w:val="center"/>
                </w:tcPr>
                <w:p>
                  <w:pPr>
                    <w:jc w:val="center"/>
                    <w:rPr>
                      <w:szCs w:val="21"/>
                    </w:rPr>
                  </w:pPr>
                  <w:r>
                    <w:rPr>
                      <w:rFonts w:hint="eastAsia"/>
                      <w:szCs w:val="21"/>
                    </w:rPr>
                    <w:t>万m</w:t>
                  </w:r>
                  <w:r>
                    <w:rPr>
                      <w:rFonts w:hint="eastAsia"/>
                      <w:szCs w:val="21"/>
                      <w:vertAlign w:val="superscript"/>
                    </w:rPr>
                    <w:t>3</w:t>
                  </w:r>
                  <w:r>
                    <w:rPr>
                      <w:rFonts w:hint="eastAsia"/>
                      <w:szCs w:val="21"/>
                    </w:rPr>
                    <w:t>/a</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取水</w:t>
                  </w:r>
                </w:p>
              </w:tc>
              <w:tc>
                <w:tcPr>
                  <w:tcW w:w="1811" w:type="dxa"/>
                  <w:tcBorders>
                    <w:tl2br w:val="nil"/>
                    <w:tr2bl w:val="nil"/>
                  </w:tcBorders>
                  <w:vAlign w:val="center"/>
                </w:tcPr>
                <w:p>
                  <w:pPr>
                    <w:jc w:val="center"/>
                    <w:rPr>
                      <w:rFonts w:cs="Times New Roman"/>
                      <w:color w:val="000000"/>
                      <w:szCs w:val="21"/>
                    </w:rPr>
                  </w:pPr>
                  <w:r>
                    <w:rPr>
                      <w:rFonts w:hint="eastAsia" w:cs="Times New Roman"/>
                      <w:color w:val="000000"/>
                      <w:szCs w:val="21"/>
                    </w:rPr>
                    <w:t>山溪水、山泉水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23" w:type="dxa"/>
                  <w:tcBorders>
                    <w:tl2br w:val="nil"/>
                    <w:tr2bl w:val="nil"/>
                  </w:tcBorders>
                  <w:vAlign w:val="center"/>
                </w:tcPr>
                <w:p>
                  <w:pPr>
                    <w:jc w:val="center"/>
                    <w:rPr>
                      <w:szCs w:val="21"/>
                    </w:rPr>
                  </w:pPr>
                  <w:r>
                    <w:rPr>
                      <w:rFonts w:hint="eastAsia"/>
                      <w:szCs w:val="21"/>
                    </w:rPr>
                    <w:t>消毒剂（二氧化氯）</w:t>
                  </w:r>
                </w:p>
              </w:tc>
              <w:tc>
                <w:tcPr>
                  <w:tcW w:w="1599" w:type="dxa"/>
                  <w:tcBorders>
                    <w:tl2br w:val="nil"/>
                    <w:tr2bl w:val="nil"/>
                  </w:tcBorders>
                  <w:vAlign w:val="center"/>
                </w:tcPr>
                <w:p>
                  <w:pPr>
                    <w:jc w:val="center"/>
                    <w:rPr>
                      <w:szCs w:val="21"/>
                    </w:rPr>
                  </w:pPr>
                  <w:r>
                    <w:rPr>
                      <w:rFonts w:hint="eastAsia"/>
                      <w:szCs w:val="21"/>
                    </w:rPr>
                    <w:t>0.01</w:t>
                  </w:r>
                </w:p>
              </w:tc>
              <w:tc>
                <w:tcPr>
                  <w:tcW w:w="1811" w:type="dxa"/>
                  <w:tcBorders>
                    <w:tl2br w:val="nil"/>
                    <w:tr2bl w:val="nil"/>
                  </w:tcBorders>
                  <w:vAlign w:val="center"/>
                </w:tcPr>
                <w:p>
                  <w:pPr>
                    <w:jc w:val="center"/>
                    <w:rPr>
                      <w:szCs w:val="21"/>
                    </w:rPr>
                  </w:pPr>
                  <w:r>
                    <w:rPr>
                      <w:rFonts w:hint="eastAsia"/>
                      <w:szCs w:val="21"/>
                    </w:rPr>
                    <w:t>t</w:t>
                  </w:r>
                </w:p>
              </w:tc>
              <w:tc>
                <w:tcPr>
                  <w:tcW w:w="1811" w:type="dxa"/>
                  <w:tcBorders>
                    <w:tl2br w:val="nil"/>
                    <w:tr2bl w:val="nil"/>
                  </w:tcBorders>
                  <w:vAlign w:val="center"/>
                </w:tcPr>
                <w:p>
                  <w:pPr>
                    <w:jc w:val="center"/>
                    <w:rPr>
                      <w:rFonts w:cs="Times New Roman"/>
                      <w:szCs w:val="21"/>
                    </w:rPr>
                  </w:pPr>
                  <w:r>
                    <w:rPr>
                      <w:rFonts w:hint="eastAsia" w:cs="Times New Roman"/>
                      <w:szCs w:val="21"/>
                    </w:rPr>
                    <w:t>/</w:t>
                  </w:r>
                </w:p>
              </w:tc>
              <w:tc>
                <w:tcPr>
                  <w:tcW w:w="1811" w:type="dxa"/>
                  <w:tcBorders>
                    <w:tl2br w:val="nil"/>
                    <w:tr2bl w:val="nil"/>
                  </w:tcBorders>
                  <w:vAlign w:val="center"/>
                </w:tcPr>
                <w:p>
                  <w:pPr>
                    <w:jc w:val="center"/>
                    <w:rPr>
                      <w:rFonts w:cs="Times New Roman"/>
                      <w:szCs w:val="21"/>
                    </w:rPr>
                  </w:pPr>
                  <w:r>
                    <w:rPr>
                      <w:rFonts w:hint="eastAsia" w:cs="Times New Roman"/>
                      <w:szCs w:val="21"/>
                    </w:rPr>
                    <w:t>外购</w:t>
                  </w:r>
                </w:p>
              </w:tc>
            </w:tr>
          </w:tbl>
          <w:p>
            <w:pPr>
              <w:spacing w:line="360" w:lineRule="auto"/>
              <w:rPr>
                <w:rFonts w:asciiTheme="minorEastAsia" w:hAnsiTheme="minorEastAsia"/>
                <w:sz w:val="24"/>
              </w:rPr>
            </w:pPr>
            <w:r>
              <w:rPr>
                <w:rFonts w:hint="eastAsia" w:ascii="Times New Roman" w:hAnsi="Times New Roman" w:cs="Times New Roman"/>
                <w:b/>
                <w:snapToGrid w:val="0"/>
                <w:color w:val="000000" w:themeColor="text1"/>
                <w:kern w:val="0"/>
                <w:sz w:val="28"/>
                <w:szCs w:val="28"/>
              </w:rPr>
              <w:t>五、工程布置及结构设计</w:t>
            </w:r>
          </w:p>
          <w:p>
            <w:pPr>
              <w:spacing w:line="360" w:lineRule="auto"/>
              <w:ind w:firstLine="480" w:firstLineChars="200"/>
              <w:rPr>
                <w:rFonts w:asciiTheme="minorEastAsia" w:hAnsiTheme="minorEastAsia"/>
                <w:b/>
                <w:sz w:val="24"/>
              </w:rPr>
            </w:pPr>
            <w:r>
              <w:rPr>
                <w:rFonts w:hint="eastAsia" w:asciiTheme="minorEastAsia" w:hAnsiTheme="minorEastAsia"/>
                <w:b/>
                <w:sz w:val="24"/>
              </w:rPr>
              <w:t>1、供水方案</w:t>
            </w:r>
          </w:p>
          <w:p>
            <w:pPr>
              <w:numPr>
                <w:ilvl w:val="0"/>
                <w:numId w:val="1"/>
              </w:numPr>
              <w:spacing w:line="360" w:lineRule="auto"/>
              <w:ind w:firstLine="480" w:firstLineChars="200"/>
              <w:jc w:val="left"/>
              <w:rPr>
                <w:rFonts w:hAnsi="宋体"/>
                <w:color w:val="000000"/>
                <w:sz w:val="24"/>
              </w:rPr>
            </w:pPr>
            <w:r>
              <w:rPr>
                <w:rFonts w:hint="eastAsia" w:hAnsi="宋体"/>
                <w:color w:val="000000"/>
                <w:sz w:val="24"/>
              </w:rPr>
              <w:t>泉水自流供水</w:t>
            </w:r>
          </w:p>
          <w:p>
            <w:pPr>
              <w:spacing w:line="360" w:lineRule="auto"/>
              <w:ind w:firstLine="480" w:firstLineChars="200"/>
              <w:jc w:val="left"/>
              <w:rPr>
                <w:color w:val="000000"/>
                <w:sz w:val="24"/>
              </w:rPr>
            </w:pPr>
            <w:r>
              <w:rPr>
                <w:color w:val="000000"/>
                <w:sz w:val="24"/>
              </w:rPr>
              <w:t>该工程</w:t>
            </w:r>
            <w:bookmarkStart w:id="0" w:name="OLE_LINK63"/>
            <w:r>
              <w:rPr>
                <w:rFonts w:hint="eastAsia"/>
                <w:color w:val="000000"/>
                <w:sz w:val="24"/>
              </w:rPr>
              <w:t>新建引泉池</w:t>
            </w:r>
            <w:r>
              <w:rPr>
                <w:color w:val="000000"/>
                <w:sz w:val="24"/>
              </w:rPr>
              <w:t>，</w:t>
            </w:r>
            <w:r>
              <w:rPr>
                <w:rFonts w:hint="eastAsia"/>
                <w:color w:val="000000"/>
                <w:sz w:val="24"/>
              </w:rPr>
              <w:t>水流经过引泉池通过管道进入蓄水池，再由蓄水池通过管网供给村民</w:t>
            </w:r>
            <w:bookmarkEnd w:id="0"/>
            <w:r>
              <w:rPr>
                <w:rFonts w:hint="eastAsia"/>
                <w:color w:val="000000"/>
                <w:sz w:val="24"/>
              </w:rPr>
              <w:t>。</w:t>
            </w:r>
          </w:p>
          <w:p>
            <w:pPr>
              <w:spacing w:line="360" w:lineRule="auto"/>
              <w:ind w:firstLine="480" w:firstLineChars="200"/>
              <w:jc w:val="left"/>
              <w:rPr>
                <w:rFonts w:hAnsi="宋体"/>
                <w:color w:val="000000"/>
                <w:sz w:val="24"/>
              </w:rPr>
            </w:pPr>
            <w:r>
              <w:rPr>
                <w:color w:val="000000"/>
                <w:sz w:val="24"/>
              </w:rPr>
              <w:t>其工艺流程如下：</w:t>
            </w:r>
          </w:p>
          <w:p>
            <w:pPr>
              <w:spacing w:line="360" w:lineRule="auto"/>
              <w:ind w:firstLine="480" w:firstLineChars="200"/>
              <w:jc w:val="left"/>
              <w:rPr>
                <w:color w:val="000000"/>
                <w:sz w:val="28"/>
                <w:szCs w:val="28"/>
              </w:rPr>
            </w:pPr>
            <w:r>
              <w:rPr>
                <w:rFonts w:hint="eastAsia"/>
                <w:color w:val="000000"/>
                <w:sz w:val="24"/>
              </w:rPr>
              <w:t>引泉池</w:t>
            </w:r>
            <w:r>
              <w:rPr>
                <w:color w:val="000000"/>
                <w:sz w:val="24"/>
              </w:rPr>
              <w:t>→</w:t>
            </w:r>
            <w:bookmarkStart w:id="1" w:name="OLE_LINK72"/>
            <w:r>
              <w:rPr>
                <w:rFonts w:hint="eastAsia"/>
                <w:color w:val="000000"/>
                <w:sz w:val="24"/>
              </w:rPr>
              <w:t>蓄水池（人工投入消毒剂）</w:t>
            </w:r>
            <w:r>
              <w:rPr>
                <w:color w:val="000000"/>
                <w:sz w:val="24"/>
              </w:rPr>
              <w:t>→</w:t>
            </w:r>
            <w:bookmarkEnd w:id="1"/>
            <w:r>
              <w:rPr>
                <w:color w:val="000000"/>
                <w:sz w:val="24"/>
              </w:rPr>
              <w:t xml:space="preserve">管网→用户 </w:t>
            </w:r>
            <w:r>
              <w:rPr>
                <w:color w:val="000000"/>
                <w:sz w:val="28"/>
                <w:szCs w:val="28"/>
              </w:rPr>
              <w:t xml:space="preserve"> </w:t>
            </w:r>
          </w:p>
          <w:p>
            <w:pPr>
              <w:numPr>
                <w:ilvl w:val="0"/>
                <w:numId w:val="1"/>
              </w:numPr>
              <w:spacing w:line="360" w:lineRule="auto"/>
              <w:ind w:firstLine="480" w:firstLineChars="200"/>
              <w:jc w:val="left"/>
              <w:rPr>
                <w:rFonts w:hAnsi="宋体"/>
                <w:color w:val="000000"/>
                <w:sz w:val="24"/>
              </w:rPr>
            </w:pPr>
            <w:r>
              <w:rPr>
                <w:rFonts w:hint="eastAsia" w:hAnsi="宋体"/>
                <w:color w:val="000000"/>
                <w:sz w:val="24"/>
              </w:rPr>
              <w:t>山溪水自流供水</w:t>
            </w:r>
          </w:p>
          <w:p>
            <w:pPr>
              <w:spacing w:line="360" w:lineRule="auto"/>
              <w:ind w:firstLine="480" w:firstLineChars="200"/>
              <w:jc w:val="left"/>
              <w:rPr>
                <w:color w:val="000000"/>
                <w:sz w:val="24"/>
              </w:rPr>
            </w:pPr>
            <w:r>
              <w:rPr>
                <w:color w:val="000000"/>
                <w:sz w:val="24"/>
              </w:rPr>
              <w:t>该工程</w:t>
            </w:r>
            <w:r>
              <w:rPr>
                <w:rFonts w:hint="eastAsia"/>
                <w:color w:val="000000"/>
                <w:sz w:val="24"/>
              </w:rPr>
              <w:t>新建取水口</w:t>
            </w:r>
            <w:r>
              <w:rPr>
                <w:color w:val="000000"/>
                <w:sz w:val="24"/>
              </w:rPr>
              <w:t>，</w:t>
            </w:r>
            <w:r>
              <w:rPr>
                <w:rFonts w:hint="eastAsia"/>
                <w:color w:val="000000"/>
                <w:sz w:val="24"/>
              </w:rPr>
              <w:t>水流经过取水口通过管道进入沉淀池、过滤池进行简单的沉淀，再由管道流入蓄水池，最后由蓄水池通过管网供给村民。</w:t>
            </w:r>
          </w:p>
          <w:p>
            <w:pPr>
              <w:spacing w:line="360" w:lineRule="auto"/>
              <w:ind w:firstLine="480" w:firstLineChars="200"/>
              <w:jc w:val="left"/>
              <w:rPr>
                <w:rFonts w:hAnsi="宋体"/>
                <w:color w:val="000000"/>
                <w:sz w:val="24"/>
              </w:rPr>
            </w:pPr>
            <w:r>
              <w:rPr>
                <w:color w:val="000000"/>
                <w:sz w:val="24"/>
              </w:rPr>
              <w:t>其工艺流程如下：</w:t>
            </w:r>
          </w:p>
          <w:p>
            <w:pPr>
              <w:spacing w:line="360" w:lineRule="auto"/>
              <w:ind w:firstLine="480" w:firstLineChars="200"/>
              <w:rPr>
                <w:color w:val="000000"/>
                <w:sz w:val="24"/>
              </w:rPr>
            </w:pPr>
            <w:r>
              <w:rPr>
                <w:rFonts w:hint="eastAsia"/>
                <w:color w:val="000000"/>
                <w:sz w:val="24"/>
              </w:rPr>
              <w:t>取水低坝</w:t>
            </w:r>
            <w:r>
              <w:rPr>
                <w:color w:val="000000"/>
                <w:sz w:val="24"/>
              </w:rPr>
              <w:t>→</w:t>
            </w:r>
            <w:r>
              <w:rPr>
                <w:rFonts w:hint="eastAsia"/>
                <w:color w:val="000000"/>
                <w:sz w:val="24"/>
              </w:rPr>
              <w:t>沉淀池、过滤池</w:t>
            </w:r>
            <w:r>
              <w:rPr>
                <w:color w:val="000000"/>
                <w:sz w:val="24"/>
              </w:rPr>
              <w:t>→</w:t>
            </w:r>
            <w:r>
              <w:rPr>
                <w:rFonts w:hint="eastAsia"/>
                <w:color w:val="000000"/>
                <w:sz w:val="24"/>
              </w:rPr>
              <w:t>蓄水池（人工投入消毒剂）</w:t>
            </w:r>
            <w:r>
              <w:rPr>
                <w:color w:val="000000"/>
                <w:sz w:val="24"/>
              </w:rPr>
              <w:t>→管网→用户</w:t>
            </w:r>
          </w:p>
          <w:p>
            <w:pPr>
              <w:spacing w:line="360" w:lineRule="auto"/>
              <w:ind w:firstLine="480" w:firstLineChars="200"/>
              <w:rPr>
                <w:rFonts w:hint="eastAsia"/>
                <w:color w:val="000000"/>
                <w:sz w:val="24"/>
              </w:rPr>
            </w:pPr>
            <w:r>
              <w:rPr>
                <w:rFonts w:hint="eastAsia"/>
                <w:color w:val="000000"/>
                <w:sz w:val="24"/>
              </w:rPr>
              <w:t>本项目工程量不包括入户管网。</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pPr>
            <w:r>
              <w:rPr>
                <w:rFonts w:hint="eastAsia" w:asciiTheme="minorEastAsia" w:hAnsiTheme="minorEastAsia" w:eastAsiaTheme="minorEastAsia" w:cstheme="minorEastAsia"/>
                <w:kern w:val="0"/>
                <w:sz w:val="24"/>
              </w:rPr>
              <w:t>本工程供水工程项目各水源点选用的水源大部分为泉水，根据现场实际踏勘情况，本工程所涉及水源水质较好，经简单的</w:t>
            </w:r>
            <w:r>
              <w:rPr>
                <w:rFonts w:hint="eastAsia" w:asciiTheme="minorEastAsia" w:hAnsiTheme="minorEastAsia" w:eastAsiaTheme="minorEastAsia" w:cstheme="minorEastAsia"/>
                <w:b/>
                <w:kern w:val="0"/>
                <w:sz w:val="24"/>
              </w:rPr>
              <w:t>消毒</w:t>
            </w:r>
            <w:r>
              <w:rPr>
                <w:rFonts w:hint="eastAsia" w:asciiTheme="minorEastAsia" w:hAnsiTheme="minorEastAsia" w:eastAsiaTheme="minorEastAsia" w:cstheme="minorEastAsia"/>
                <w:kern w:val="0"/>
                <w:sz w:val="24"/>
              </w:rPr>
              <w:t>处理后均能达到《生活饮用水卫生标准》（GB5749）的要求。小部分水源为山区高处山溪水，根据现场实际踏勘情况，本工程所涉及山溪水水质也较好，经简单的</w:t>
            </w:r>
            <w:r>
              <w:rPr>
                <w:rFonts w:hint="eastAsia" w:asciiTheme="minorEastAsia" w:hAnsiTheme="minorEastAsia" w:eastAsiaTheme="minorEastAsia" w:cstheme="minorEastAsia"/>
                <w:b/>
                <w:kern w:val="0"/>
                <w:sz w:val="24"/>
              </w:rPr>
              <w:t>沉淀、过滤、消毒</w:t>
            </w:r>
            <w:r>
              <w:rPr>
                <w:rFonts w:hint="eastAsia" w:asciiTheme="minorEastAsia" w:hAnsiTheme="minorEastAsia" w:eastAsiaTheme="minorEastAsia" w:cstheme="minorEastAsia"/>
                <w:kern w:val="0"/>
                <w:sz w:val="24"/>
              </w:rPr>
              <w:t>处理后也能达到《生活饮用水卫生标准》（GB5749）的要求。</w:t>
            </w:r>
          </w:p>
          <w:p>
            <w:pPr>
              <w:spacing w:line="360" w:lineRule="auto"/>
              <w:ind w:firstLine="480" w:firstLineChars="200"/>
              <w:rPr>
                <w:rFonts w:asciiTheme="minorEastAsia" w:hAnsiTheme="minorEastAsia"/>
                <w:b/>
                <w:sz w:val="24"/>
              </w:rPr>
            </w:pPr>
            <w:r>
              <w:rPr>
                <w:rFonts w:hint="eastAsia" w:asciiTheme="minorEastAsia" w:hAnsiTheme="minorEastAsia"/>
                <w:b/>
                <w:sz w:val="24"/>
              </w:rPr>
              <w:t>2、水源及取水工程</w:t>
            </w:r>
          </w:p>
          <w:p>
            <w:pPr>
              <w:numPr>
                <w:ilvl w:val="0"/>
                <w:numId w:val="2"/>
              </w:numPr>
              <w:spacing w:line="360" w:lineRule="auto"/>
              <w:ind w:firstLine="480" w:firstLineChars="200"/>
              <w:rPr>
                <w:sz w:val="24"/>
              </w:rPr>
            </w:pPr>
            <w:r>
              <w:rPr>
                <w:rFonts w:hint="eastAsia"/>
                <w:sz w:val="24"/>
              </w:rPr>
              <w:t>新建或重建取水口、引泉池</w:t>
            </w:r>
          </w:p>
          <w:p>
            <w:pPr>
              <w:spacing w:line="360" w:lineRule="auto"/>
              <w:ind w:firstLine="480" w:firstLineChars="200"/>
              <w:rPr>
                <w:rFonts w:eastAsia="宋体"/>
                <w:sz w:val="24"/>
              </w:rPr>
            </w:pPr>
            <w:r>
              <w:rPr>
                <w:rFonts w:hint="eastAsia"/>
                <w:sz w:val="24"/>
              </w:rPr>
              <w:t>取水口为钢筋混凝土结构，长1.6m，宽1.6m，深2.0m；</w:t>
            </w:r>
          </w:p>
          <w:p>
            <w:pPr>
              <w:spacing w:line="360" w:lineRule="auto"/>
              <w:ind w:firstLine="480" w:firstLineChars="200"/>
              <w:rPr>
                <w:sz w:val="24"/>
                <w:highlight w:val="yellow"/>
              </w:rPr>
            </w:pPr>
            <w:r>
              <w:rPr>
                <w:rFonts w:hint="eastAsia"/>
                <w:sz w:val="24"/>
              </w:rPr>
              <w:t>引泉池为钢筋混凝土结构，长2.6m，宽2.7m，深1.7m。</w:t>
            </w:r>
          </w:p>
          <w:p>
            <w:pPr>
              <w:spacing w:line="360" w:lineRule="auto"/>
              <w:ind w:firstLine="480" w:firstLineChars="200"/>
              <w:rPr>
                <w:rFonts w:asciiTheme="minorEastAsia" w:hAnsiTheme="minorEastAsia"/>
                <w:b/>
                <w:sz w:val="24"/>
              </w:rPr>
            </w:pPr>
            <w:r>
              <w:rPr>
                <w:rFonts w:hint="eastAsia" w:asciiTheme="minorEastAsia" w:hAnsiTheme="minorEastAsia"/>
                <w:b/>
                <w:sz w:val="24"/>
              </w:rPr>
              <w:t>3、输水线路及管材选择</w:t>
            </w:r>
          </w:p>
          <w:p>
            <w:pPr>
              <w:spacing w:line="360" w:lineRule="auto"/>
              <w:ind w:firstLine="480" w:firstLineChars="200"/>
              <w:rPr>
                <w:rFonts w:asciiTheme="minorEastAsia" w:hAnsiTheme="minorEastAsia"/>
                <w:sz w:val="24"/>
              </w:rPr>
            </w:pPr>
            <w:r>
              <w:rPr>
                <w:rFonts w:hint="eastAsia" w:asciiTheme="minorEastAsia" w:hAnsiTheme="minorEastAsia"/>
                <w:sz w:val="24"/>
              </w:rPr>
              <w:t>（1）输水线路布置原则</w:t>
            </w:r>
          </w:p>
          <w:p>
            <w:pPr>
              <w:spacing w:line="360" w:lineRule="auto"/>
              <w:ind w:firstLine="480" w:firstLineChars="200"/>
              <w:rPr>
                <w:sz w:val="24"/>
              </w:rPr>
            </w:pPr>
            <w:r>
              <w:rPr>
                <w:rFonts w:hAnsi="宋体"/>
                <w:sz w:val="24"/>
              </w:rPr>
              <w:t>输水管的线路布置应确保供水安全，并尽量做到线路最短，土石方量最小，造价经济，施工维护方便，少占或不占农田；</w:t>
            </w:r>
          </w:p>
          <w:p>
            <w:pPr>
              <w:spacing w:line="360" w:lineRule="auto"/>
              <w:ind w:firstLine="480" w:firstLineChars="200"/>
              <w:rPr>
                <w:sz w:val="24"/>
              </w:rPr>
            </w:pPr>
            <w:r>
              <w:rPr>
                <w:rFonts w:hAnsi="宋体"/>
                <w:sz w:val="24"/>
              </w:rPr>
              <w:t>输水管的走向、平面布置和高程应符合村庄对管线规划的要求，尽可能沿现状道路或规划道路敷设；</w:t>
            </w:r>
          </w:p>
          <w:p>
            <w:pPr>
              <w:spacing w:line="360" w:lineRule="auto"/>
              <w:ind w:firstLine="480" w:firstLineChars="200"/>
              <w:rPr>
                <w:sz w:val="24"/>
              </w:rPr>
            </w:pPr>
            <w:r>
              <w:rPr>
                <w:rFonts w:hAnsi="宋体"/>
                <w:sz w:val="24"/>
              </w:rPr>
              <w:t>尽量减少与公路、河流的交叉，管线尽量避开滑坡、塌方、岩石、高地下水位、流沙和河流淹没与冲刷地区；</w:t>
            </w:r>
          </w:p>
          <w:p>
            <w:pPr>
              <w:spacing w:line="360" w:lineRule="auto"/>
              <w:ind w:firstLine="480" w:firstLineChars="200"/>
              <w:rPr>
                <w:rFonts w:asciiTheme="minorEastAsia" w:hAnsiTheme="minorEastAsia"/>
                <w:sz w:val="24"/>
              </w:rPr>
            </w:pPr>
            <w:r>
              <w:rPr>
                <w:rFonts w:hAnsi="宋体"/>
                <w:sz w:val="24"/>
              </w:rPr>
              <w:t>在管线凸起的位置设置放（排）气阀，总管线在村内有较大分支处，设置总阀门，管线最低处设置放空阀；</w:t>
            </w:r>
          </w:p>
          <w:p>
            <w:pPr>
              <w:spacing w:line="360" w:lineRule="auto"/>
              <w:ind w:firstLine="480" w:firstLineChars="200"/>
              <w:rPr>
                <w:rFonts w:asciiTheme="minorEastAsia" w:hAnsiTheme="minorEastAsia"/>
                <w:sz w:val="24"/>
              </w:rPr>
            </w:pPr>
            <w:r>
              <w:rPr>
                <w:rFonts w:hint="eastAsia" w:asciiTheme="minorEastAsia" w:hAnsiTheme="minorEastAsia"/>
                <w:sz w:val="24"/>
              </w:rPr>
              <w:t>（2）管材选择与比较</w:t>
            </w:r>
          </w:p>
          <w:p>
            <w:pPr>
              <w:spacing w:line="360" w:lineRule="auto"/>
              <w:ind w:firstLine="480" w:firstLineChars="200"/>
              <w:rPr>
                <w:rFonts w:asciiTheme="minorEastAsia" w:hAnsiTheme="minorEastAsia"/>
                <w:sz w:val="24"/>
              </w:rPr>
            </w:pPr>
            <w:r>
              <w:rPr>
                <w:rFonts w:hint="eastAsia" w:asciiTheme="minorEastAsia" w:hAnsiTheme="minorEastAsia"/>
                <w:sz w:val="24"/>
              </w:rPr>
              <w:t>本工程供水区域内，均有水泥公路相通，交通运输条件较为方便，为便施工和运营管理及交通运输，输水管路主要沿公路铺设。在国道、省道、县道等重要道路上，如遇需要穿越公路的，需绕道从涵洞内穿过。其余乡村道路上，可直接从公路上穿越，待管道安装完成后，对原路面进行回填，路面恢复有各村内自行解决。</w:t>
            </w:r>
          </w:p>
          <w:p>
            <w:pPr>
              <w:spacing w:line="360" w:lineRule="auto"/>
              <w:ind w:firstLine="480" w:firstLineChars="200"/>
              <w:rPr>
                <w:rFonts w:asciiTheme="minorEastAsia" w:hAnsiTheme="minorEastAsia"/>
                <w:sz w:val="24"/>
              </w:rPr>
            </w:pPr>
            <w:r>
              <w:rPr>
                <w:rFonts w:hint="eastAsia" w:asciiTheme="minorEastAsia" w:hAnsiTheme="minorEastAsia"/>
                <w:sz w:val="24"/>
              </w:rPr>
              <w:t>供水管网作为供水系统的重要环节，对供水管材有如下要求：</w:t>
            </w:r>
          </w:p>
          <w:p>
            <w:pPr>
              <w:spacing w:line="360" w:lineRule="auto"/>
              <w:ind w:firstLine="480" w:firstLineChars="200"/>
              <w:rPr>
                <w:rFonts w:asciiTheme="minorEastAsia" w:hAnsiTheme="minorEastAsia"/>
                <w:sz w:val="24"/>
              </w:rPr>
            </w:pPr>
            <w:r>
              <w:rPr>
                <w:rFonts w:hint="eastAsia" w:asciiTheme="minorEastAsia" w:hAnsiTheme="minorEastAsia"/>
                <w:sz w:val="24"/>
              </w:rPr>
              <w:t>①封闭性能高，实现连续供水。</w:t>
            </w:r>
          </w:p>
          <w:p>
            <w:pPr>
              <w:spacing w:line="360" w:lineRule="auto"/>
              <w:ind w:firstLine="480" w:firstLineChars="200"/>
              <w:rPr>
                <w:rFonts w:asciiTheme="minorEastAsia" w:hAnsiTheme="minorEastAsia"/>
                <w:sz w:val="24"/>
              </w:rPr>
            </w:pPr>
            <w:r>
              <w:rPr>
                <w:rFonts w:hint="eastAsia" w:asciiTheme="minorEastAsia" w:hAnsiTheme="minorEastAsia"/>
                <w:sz w:val="24"/>
              </w:rPr>
              <w:t>②输送水质佳，要求管道内壁既要耐腐蚀性，又不会向水中析出有害物质。</w:t>
            </w:r>
          </w:p>
          <w:p>
            <w:pPr>
              <w:spacing w:line="360" w:lineRule="auto"/>
              <w:ind w:firstLine="480" w:firstLineChars="200"/>
              <w:rPr>
                <w:rFonts w:asciiTheme="minorEastAsia" w:hAnsiTheme="minorEastAsia"/>
                <w:sz w:val="24"/>
              </w:rPr>
            </w:pPr>
            <w:r>
              <w:rPr>
                <w:rFonts w:hint="eastAsia" w:asciiTheme="minorEastAsia" w:hAnsiTheme="minorEastAsia"/>
                <w:sz w:val="24"/>
              </w:rPr>
              <w:t>③水力条件好，供水管道的内壁不结垢、光滑、管路畅通，降低水头损失，确保服务水头。</w:t>
            </w:r>
          </w:p>
          <w:p>
            <w:pPr>
              <w:spacing w:line="360" w:lineRule="auto"/>
              <w:ind w:firstLine="480" w:firstLineChars="200"/>
              <w:rPr>
                <w:rFonts w:asciiTheme="minorEastAsia" w:hAnsiTheme="minorEastAsia"/>
                <w:sz w:val="24"/>
              </w:rPr>
            </w:pPr>
            <w:r>
              <w:rPr>
                <w:rFonts w:hint="eastAsia" w:asciiTheme="minorEastAsia" w:hAnsiTheme="minorEastAsia"/>
                <w:sz w:val="24"/>
              </w:rPr>
              <w:t>④建设投资省，供水管网的建设费用通常占供水系统建设费用的50%～70%，恰当选用管材对整个管网造价有重要影响。设计根据管内工作压力、外部荷载、土壤性质、施工维护和供水安全等诸多要素确定给水管材。目前常用的给水管材主要有：球墨铸铁管、钢管、塑料管等。</w:t>
            </w:r>
          </w:p>
          <w:p>
            <w:pPr>
              <w:spacing w:line="360" w:lineRule="auto"/>
              <w:ind w:firstLine="480" w:firstLineChars="200"/>
              <w:rPr>
                <w:rFonts w:asciiTheme="minorEastAsia" w:hAnsiTheme="minorEastAsia"/>
                <w:sz w:val="24"/>
              </w:rPr>
            </w:pPr>
            <w:r>
              <w:rPr>
                <w:rFonts w:hint="eastAsia" w:asciiTheme="minorEastAsia" w:hAnsiTheme="minorEastAsia"/>
                <w:sz w:val="24"/>
              </w:rPr>
              <w:t>a.球墨铸铁管：延性铸铁管又称球墨铸铁管，是经过球化和孕育处理铁水后，采用离心浇注成型的。这种管材抗拉强度高，延伸率大，耐冲击，韧性好，应变能力高，比钢管的耐腐蚀性强2-4倍。球墨铸铁管的接口全部采用柔性接口，而且管壁薄，重量轻，施工时不受气候干扰，省时省力。</w:t>
            </w:r>
          </w:p>
          <w:p>
            <w:pPr>
              <w:spacing w:line="360" w:lineRule="auto"/>
              <w:ind w:firstLine="480" w:firstLineChars="200"/>
              <w:rPr>
                <w:rFonts w:asciiTheme="minorEastAsia" w:hAnsiTheme="minorEastAsia"/>
                <w:sz w:val="24"/>
              </w:rPr>
            </w:pPr>
            <w:r>
              <w:rPr>
                <w:rFonts w:hint="eastAsia" w:asciiTheme="minorEastAsia" w:hAnsiTheme="minorEastAsia"/>
                <w:sz w:val="24"/>
              </w:rPr>
              <w:t>b.钢管：钢管管材强度、工作压力都较高，铺设方便，尤其适应穿越各种障碍物，施工工期短，但造价较高，耐腐蚀性差，为保持钢管的长久使用，管道内外均需作防腐处理。</w:t>
            </w:r>
          </w:p>
          <w:p>
            <w:pPr>
              <w:spacing w:line="360" w:lineRule="auto"/>
              <w:ind w:firstLine="480" w:firstLineChars="200"/>
              <w:rPr>
                <w:rFonts w:asciiTheme="minorEastAsia" w:hAnsiTheme="minorEastAsia"/>
                <w:sz w:val="24"/>
              </w:rPr>
            </w:pPr>
            <w:r>
              <w:rPr>
                <w:rFonts w:hint="eastAsia" w:asciiTheme="minorEastAsia" w:hAnsiTheme="minorEastAsia"/>
                <w:sz w:val="24"/>
              </w:rPr>
              <w:t>c.PE管：PE管加工时不添加重金属盐稳定剂，材质无毒性，无结垢层，不滋生细菌，很好地解决了城市饮用水的二次污染。PE管除少数强氧化剂外，可耐多种化学介质的侵蚀，无电化学腐蚀。在额定温度、压力状况下，PE管道可安全使用50年以上。PE管韧性好，耐冲击强度高，重物直接压过管道，不会导致管道破裂。PE管热熔或电熔接口的强度高于管材本体，接缝不会由于土壤移动或活载荷的作用断开。PE管道质轻，焊接工艺简单，施工方便，工程综合造价低。PE管生产工艺复杂、技术要求过硬、制作流程严谨、生产难度大不易被厂家造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表1-10 管材比较表</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798"/>
              <w:gridCol w:w="2623"/>
              <w:gridCol w:w="2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31" w:type="dxa"/>
                  <w:tcBorders>
                    <w:tl2br w:val="nil"/>
                    <w:tr2bl w:val="nil"/>
                  </w:tcBorders>
                  <w:vAlign w:val="center"/>
                </w:tcPr>
                <w:p>
                  <w:pPr>
                    <w:pStyle w:val="191"/>
                    <w:spacing w:before="0" w:after="0" w:line="240" w:lineRule="auto"/>
                    <w:rPr>
                      <w:rFonts w:asciiTheme="minorEastAsia" w:hAnsiTheme="minorEastAsia" w:eastAsiaTheme="minorEastAsia"/>
                      <w:sz w:val="21"/>
                      <w:szCs w:val="21"/>
                    </w:rPr>
                  </w:pPr>
                  <w:bookmarkStart w:id="2" w:name="OLE_LINK11"/>
                </w:p>
              </w:tc>
              <w:tc>
                <w:tcPr>
                  <w:tcW w:w="2798"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钢  管</w:t>
                  </w:r>
                </w:p>
              </w:tc>
              <w:tc>
                <w:tcPr>
                  <w:tcW w:w="2623"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聚乙烯（PE）管</w:t>
                  </w:r>
                </w:p>
              </w:tc>
              <w:tc>
                <w:tcPr>
                  <w:tcW w:w="2190"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球墨铸铁管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31"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接口形式</w:t>
                  </w:r>
                </w:p>
              </w:tc>
              <w:tc>
                <w:tcPr>
                  <w:tcW w:w="2798"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焊接(刚性)</w:t>
                  </w:r>
                </w:p>
              </w:tc>
              <w:tc>
                <w:tcPr>
                  <w:tcW w:w="2623"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热熔焊接</w:t>
                  </w:r>
                </w:p>
              </w:tc>
              <w:tc>
                <w:tcPr>
                  <w:tcW w:w="2190"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胶圈(柔性)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31"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防腐形式</w:t>
                  </w:r>
                </w:p>
              </w:tc>
              <w:tc>
                <w:tcPr>
                  <w:tcW w:w="2798"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内外防腐</w:t>
                  </w:r>
                </w:p>
              </w:tc>
              <w:tc>
                <w:tcPr>
                  <w:tcW w:w="2623"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无</w:t>
                  </w:r>
                </w:p>
              </w:tc>
              <w:tc>
                <w:tcPr>
                  <w:tcW w:w="2190"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已做好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631"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对地基的要求</w:t>
                  </w:r>
                </w:p>
              </w:tc>
              <w:tc>
                <w:tcPr>
                  <w:tcW w:w="2798"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地基承载力较好</w:t>
                  </w:r>
                </w:p>
              </w:tc>
              <w:tc>
                <w:tcPr>
                  <w:tcW w:w="2623"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垫砂、对回填土密实度要求高</w:t>
                  </w:r>
                </w:p>
              </w:tc>
              <w:tc>
                <w:tcPr>
                  <w:tcW w:w="2190"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地基承载力较好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31"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维修特点</w:t>
                  </w:r>
                </w:p>
              </w:tc>
              <w:tc>
                <w:tcPr>
                  <w:tcW w:w="2798"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焊接、勿需养护时间</w:t>
                  </w:r>
                </w:p>
              </w:tc>
              <w:tc>
                <w:tcPr>
                  <w:tcW w:w="2623"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打头，需养护</w:t>
                  </w:r>
                </w:p>
              </w:tc>
              <w:tc>
                <w:tcPr>
                  <w:tcW w:w="2190"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打头，需养护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1631" w:type="dxa"/>
                  <w:tcBorders>
                    <w:tl2br w:val="nil"/>
                    <w:tr2bl w:val="nil"/>
                  </w:tcBorders>
                  <w:vAlign w:val="center"/>
                </w:tcPr>
                <w:p>
                  <w:pPr>
                    <w:pStyle w:val="191"/>
                    <w:spacing w:before="0" w:after="0" w:line="24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优、缺点</w:t>
                  </w:r>
                </w:p>
              </w:tc>
              <w:tc>
                <w:tcPr>
                  <w:tcW w:w="2798" w:type="dxa"/>
                  <w:tcBorders>
                    <w:tl2br w:val="nil"/>
                    <w:tr2bl w:val="nil"/>
                  </w:tcBorders>
                  <w:vAlign w:val="center"/>
                </w:tcPr>
                <w:p>
                  <w:pPr>
                    <w:pStyle w:val="191"/>
                    <w:spacing w:before="0" w:after="0" w:line="240" w:lineRule="auto"/>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优点：安装时现场加工管件容易，后期接管容易开口，维修方便。</w:t>
                  </w:r>
                </w:p>
                <w:p>
                  <w:pPr>
                    <w:pStyle w:val="191"/>
                    <w:spacing w:before="0" w:after="0" w:line="240" w:lineRule="auto"/>
                    <w:rPr>
                      <w:rFonts w:asciiTheme="minorEastAsia" w:hAnsiTheme="minorEastAsia" w:eastAsiaTheme="minorEastAsia"/>
                      <w:sz w:val="21"/>
                      <w:szCs w:val="21"/>
                    </w:rPr>
                  </w:pPr>
                  <w:r>
                    <w:rPr>
                      <w:rFonts w:asciiTheme="minorEastAsia" w:hAnsiTheme="minorEastAsia" w:eastAsiaTheme="minorEastAsia"/>
                      <w:sz w:val="21"/>
                      <w:szCs w:val="21"/>
                    </w:rPr>
                    <w:t>缺点：焊接要求高。</w:t>
                  </w:r>
                </w:p>
              </w:tc>
              <w:tc>
                <w:tcPr>
                  <w:tcW w:w="2623" w:type="dxa"/>
                  <w:tcBorders>
                    <w:tl2br w:val="nil"/>
                    <w:tr2bl w:val="nil"/>
                  </w:tcBorders>
                  <w:vAlign w:val="center"/>
                </w:tcPr>
                <w:p>
                  <w:pPr>
                    <w:pStyle w:val="191"/>
                    <w:spacing w:before="0" w:after="0" w:line="240" w:lineRule="auto"/>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优点：重量轻，不需防腐，安装，维修容易。</w:t>
                  </w:r>
                </w:p>
                <w:p>
                  <w:pPr>
                    <w:pStyle w:val="191"/>
                    <w:spacing w:before="0" w:after="0" w:line="240" w:lineRule="auto"/>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缺点：试压1.6MPa不易满足。</w:t>
                  </w:r>
                </w:p>
              </w:tc>
              <w:tc>
                <w:tcPr>
                  <w:tcW w:w="2190" w:type="dxa"/>
                  <w:tcBorders>
                    <w:tl2br w:val="nil"/>
                    <w:tr2bl w:val="nil"/>
                  </w:tcBorders>
                  <w:vAlign w:val="center"/>
                </w:tcPr>
                <w:p>
                  <w:pPr>
                    <w:pStyle w:val="191"/>
                    <w:spacing w:before="0" w:after="0" w:line="240" w:lineRule="auto"/>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优点：不需防腐</w:t>
                  </w:r>
                </w:p>
                <w:p>
                  <w:pPr>
                    <w:pStyle w:val="191"/>
                    <w:spacing w:before="0" w:after="0" w:line="240" w:lineRule="auto"/>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缺点：管件需用成品 </w:t>
                  </w:r>
                </w:p>
              </w:tc>
            </w:tr>
            <w:bookmarkEnd w:id="2"/>
          </w:tbl>
          <w:p>
            <w:pPr>
              <w:spacing w:line="360" w:lineRule="auto"/>
              <w:ind w:firstLine="480" w:firstLineChars="200"/>
              <w:rPr>
                <w:kern w:val="0"/>
                <w:sz w:val="24"/>
              </w:rPr>
            </w:pPr>
            <w:r>
              <w:rPr>
                <w:kern w:val="0"/>
                <w:sz w:val="24"/>
              </w:rPr>
              <w:t>PE管具有刚性良好、使用寿命长、成本低、防腐蚀、流阻小、安装维修方便等特点，根据对上述几种常见给水管材的综合性指标进行比较分析后及业主要求，本次项目工程中，决定管材选用</w:t>
            </w:r>
            <w:r>
              <w:rPr>
                <w:rFonts w:hint="eastAsia"/>
                <w:sz w:val="24"/>
              </w:rPr>
              <w:t>PE</w:t>
            </w:r>
            <w:r>
              <w:rPr>
                <w:sz w:val="24"/>
              </w:rPr>
              <w:t>管</w:t>
            </w:r>
            <w:r>
              <w:rPr>
                <w:kern w:val="0"/>
                <w:sz w:val="24"/>
              </w:rPr>
              <w:t>。</w:t>
            </w:r>
          </w:p>
          <w:p>
            <w:pPr>
              <w:spacing w:line="360" w:lineRule="auto"/>
              <w:ind w:firstLine="480" w:firstLineChars="200"/>
              <w:rPr>
                <w:b/>
                <w:kern w:val="0"/>
                <w:sz w:val="24"/>
              </w:rPr>
            </w:pPr>
            <w:r>
              <w:rPr>
                <w:rFonts w:hint="eastAsia"/>
                <w:b/>
                <w:kern w:val="0"/>
                <w:sz w:val="24"/>
              </w:rPr>
              <w:t>4、输水管道设计</w:t>
            </w:r>
          </w:p>
          <w:p>
            <w:pPr>
              <w:adjustRightInd w:val="0"/>
              <w:snapToGrid w:val="0"/>
              <w:spacing w:line="360" w:lineRule="auto"/>
              <w:ind w:firstLine="436" w:firstLineChars="182"/>
              <w:rPr>
                <w:sz w:val="24"/>
              </w:rPr>
            </w:pPr>
            <w:r>
              <w:rPr>
                <w:rFonts w:hAnsi="宋体"/>
                <w:sz w:val="24"/>
              </w:rPr>
              <w:t>根据《村镇供水工程设计规范》（</w:t>
            </w:r>
            <w:r>
              <w:rPr>
                <w:sz w:val="24"/>
              </w:rPr>
              <w:t>SL 687-2014</w:t>
            </w:r>
            <w:r>
              <w:rPr>
                <w:rFonts w:hAnsi="宋体"/>
                <w:sz w:val="24"/>
              </w:rPr>
              <w:t>）要求，输配水管道的设计流速宜采用经济流速，不宜大于</w:t>
            </w:r>
            <w:r>
              <w:rPr>
                <w:sz w:val="24"/>
              </w:rPr>
              <w:t>2.0m/s</w:t>
            </w:r>
            <w:r>
              <w:rPr>
                <w:rFonts w:hAnsi="宋体"/>
                <w:sz w:val="24"/>
              </w:rPr>
              <w:t>。结合当地类似工程的具体情况，本次设计输水管采用</w:t>
            </w:r>
            <w:r>
              <w:rPr>
                <w:rFonts w:hint="eastAsia"/>
                <w:sz w:val="24"/>
              </w:rPr>
              <w:t>PE100级1.6MPaPE</w:t>
            </w:r>
            <w:r>
              <w:rPr>
                <w:rFonts w:hAnsi="宋体"/>
                <w:sz w:val="24"/>
              </w:rPr>
              <w:t>管道。</w:t>
            </w:r>
          </w:p>
          <w:p>
            <w:pPr>
              <w:spacing w:line="360" w:lineRule="auto"/>
              <w:ind w:firstLine="480" w:firstLineChars="200"/>
              <w:jc w:val="left"/>
              <w:rPr>
                <w:sz w:val="24"/>
              </w:rPr>
            </w:pPr>
            <w:r>
              <w:rPr>
                <w:sz w:val="24"/>
              </w:rPr>
              <w:t>输水管管径计算</w:t>
            </w:r>
          </w:p>
          <w:p>
            <w:pPr>
              <w:spacing w:line="360" w:lineRule="auto"/>
              <w:ind w:firstLine="480" w:firstLineChars="200"/>
              <w:jc w:val="left"/>
              <w:rPr>
                <w:sz w:val="24"/>
              </w:rPr>
            </w:pPr>
            <w:r>
              <w:rPr>
                <w:sz w:val="24"/>
              </w:rPr>
              <w:t>D=</w:t>
            </w:r>
            <w:r>
              <w:rPr>
                <w:sz w:val="24"/>
              </w:rPr>
              <w:object>
                <v:shape id="_x0000_i1025" o:spt="75" type="#_x0000_t75" style="height:35.05pt;width:30.0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sz w:val="24"/>
              </w:rPr>
              <w:t>（式中Q m</w:t>
            </w:r>
            <w:r>
              <w:rPr>
                <w:sz w:val="24"/>
                <w:vertAlign w:val="superscript"/>
              </w:rPr>
              <w:t>3</w:t>
            </w:r>
            <w:r>
              <w:rPr>
                <w:sz w:val="24"/>
              </w:rPr>
              <w:t>/s，V为经济流速取0.8m/s）</w:t>
            </w:r>
          </w:p>
          <w:p>
            <w:pPr>
              <w:spacing w:line="360" w:lineRule="auto"/>
              <w:ind w:firstLine="480" w:firstLineChars="200"/>
              <w:jc w:val="left"/>
              <w:rPr>
                <w:sz w:val="24"/>
              </w:rPr>
            </w:pPr>
            <w:r>
              <w:rPr>
                <w:sz w:val="24"/>
              </w:rPr>
              <w:t>单位管长水头损失（水力梯度）i值按下式计算：</w:t>
            </w:r>
          </w:p>
          <w:p>
            <w:pPr>
              <w:spacing w:line="360" w:lineRule="auto"/>
              <w:ind w:firstLine="480" w:firstLineChars="200"/>
              <w:jc w:val="left"/>
              <w:rPr>
                <w:sz w:val="24"/>
                <w:vertAlign w:val="superscript"/>
              </w:rPr>
            </w:pPr>
            <w:r>
              <w:rPr>
                <w:sz w:val="24"/>
              </w:rPr>
              <w:t xml:space="preserve">  </w:t>
            </w:r>
            <w:r>
              <w:rPr>
                <w:rFonts w:hint="eastAsia"/>
                <w:sz w:val="24"/>
              </w:rPr>
              <w:t xml:space="preserve"> </w:t>
            </w:r>
            <w:r>
              <w:rPr>
                <w:sz w:val="24"/>
              </w:rPr>
              <w:t>i=10.67C</w:t>
            </w:r>
            <w:r>
              <w:rPr>
                <w:sz w:val="24"/>
                <w:vertAlign w:val="superscript"/>
              </w:rPr>
              <w:t>-1.852</w:t>
            </w:r>
            <w:r>
              <w:rPr>
                <w:sz w:val="24"/>
              </w:rPr>
              <w:t>Q</w:t>
            </w:r>
            <w:r>
              <w:rPr>
                <w:sz w:val="24"/>
                <w:vertAlign w:val="superscript"/>
              </w:rPr>
              <w:t>1.852</w:t>
            </w:r>
            <w:r>
              <w:rPr>
                <w:sz w:val="24"/>
              </w:rPr>
              <w:t>d</w:t>
            </w:r>
            <w:r>
              <w:rPr>
                <w:sz w:val="24"/>
                <w:vertAlign w:val="superscript"/>
              </w:rPr>
              <w:t>-4.87</w:t>
            </w:r>
          </w:p>
          <w:p>
            <w:pPr>
              <w:spacing w:line="360" w:lineRule="auto"/>
              <w:ind w:firstLine="480" w:firstLineChars="200"/>
              <w:jc w:val="left"/>
              <w:rPr>
                <w:sz w:val="24"/>
              </w:rPr>
            </w:pPr>
            <w:r>
              <w:rPr>
                <w:sz w:val="24"/>
              </w:rPr>
              <w:t>沿程水头损失  hL=i·L</w:t>
            </w:r>
          </w:p>
          <w:p>
            <w:pPr>
              <w:spacing w:line="360" w:lineRule="auto"/>
              <w:ind w:firstLine="480" w:firstLineChars="200"/>
              <w:jc w:val="left"/>
              <w:rPr>
                <w:sz w:val="24"/>
              </w:rPr>
            </w:pPr>
            <w:r>
              <w:rPr>
                <w:sz w:val="24"/>
              </w:rPr>
              <w:t>局部水头损失hj按沿程水头损失的10%计算</w:t>
            </w:r>
            <w:r>
              <w:rPr>
                <w:rFonts w:hint="eastAsia"/>
                <w:sz w:val="24"/>
              </w:rPr>
              <w:t>。</w:t>
            </w:r>
          </w:p>
          <w:p>
            <w:pPr>
              <w:spacing w:line="360" w:lineRule="auto"/>
              <w:ind w:firstLine="480" w:firstLineChars="200"/>
              <w:rPr>
                <w:sz w:val="24"/>
              </w:rPr>
            </w:pPr>
            <w:r>
              <w:rPr>
                <w:rFonts w:hint="eastAsia"/>
                <w:sz w:val="24"/>
              </w:rPr>
              <w:t>本工程均采用PE100级1.6Mpa管道，其中：DN50管2350m；DN63管12000m。</w:t>
            </w:r>
          </w:p>
          <w:p>
            <w:pPr>
              <w:spacing w:line="360" w:lineRule="auto"/>
              <w:ind w:firstLine="480" w:firstLineChars="200"/>
              <w:rPr>
                <w:b/>
                <w:kern w:val="0"/>
                <w:sz w:val="24"/>
              </w:rPr>
            </w:pPr>
            <w:r>
              <w:rPr>
                <w:rFonts w:hint="eastAsia"/>
                <w:b/>
                <w:sz w:val="24"/>
              </w:rPr>
              <w:t>5、配水管道设计</w:t>
            </w:r>
          </w:p>
          <w:p>
            <w:pPr>
              <w:spacing w:line="360" w:lineRule="auto"/>
              <w:ind w:firstLine="480" w:firstLineChars="200"/>
              <w:rPr>
                <w:kern w:val="0"/>
                <w:sz w:val="24"/>
              </w:rPr>
            </w:pPr>
            <w:r>
              <w:rPr>
                <w:rFonts w:hAnsi="宋体"/>
                <w:sz w:val="24"/>
              </w:rPr>
              <w:t>根据《村镇供水工程设计规范》（</w:t>
            </w:r>
            <w:r>
              <w:rPr>
                <w:sz w:val="24"/>
              </w:rPr>
              <w:t>SL 687-2014</w:t>
            </w:r>
            <w:r>
              <w:rPr>
                <w:rFonts w:hAnsi="宋体"/>
                <w:sz w:val="24"/>
              </w:rPr>
              <w:t>）要求，少于</w:t>
            </w:r>
            <w:r>
              <w:rPr>
                <w:sz w:val="24"/>
              </w:rPr>
              <w:t>1000</w:t>
            </w:r>
            <w:r>
              <w:rPr>
                <w:rFonts w:hAnsi="宋体"/>
                <w:sz w:val="24"/>
              </w:rPr>
              <w:t>人的村内管网可以参照《村镇供水工程设计规范》（</w:t>
            </w:r>
            <w:r>
              <w:rPr>
                <w:sz w:val="24"/>
              </w:rPr>
              <w:t>SL 687-2014</w:t>
            </w:r>
            <w:r>
              <w:rPr>
                <w:rFonts w:hAnsi="宋体"/>
                <w:sz w:val="24"/>
              </w:rPr>
              <w:t>）选择管道。</w:t>
            </w:r>
          </w:p>
          <w:p>
            <w:pPr>
              <w:spacing w:line="360" w:lineRule="auto"/>
              <w:ind w:firstLine="480" w:firstLineChars="200"/>
              <w:rPr>
                <w:b/>
                <w:kern w:val="0"/>
                <w:sz w:val="24"/>
              </w:rPr>
            </w:pPr>
            <w:r>
              <w:rPr>
                <w:rFonts w:hint="eastAsia"/>
                <w:b/>
                <w:kern w:val="0"/>
                <w:sz w:val="24"/>
              </w:rPr>
              <w:t>6、蓄水池设计</w:t>
            </w:r>
          </w:p>
          <w:p>
            <w:pPr>
              <w:spacing w:line="360" w:lineRule="auto"/>
              <w:ind w:firstLine="480" w:firstLineChars="200"/>
              <w:rPr>
                <w:color w:val="FF0000"/>
                <w:sz w:val="24"/>
              </w:rPr>
            </w:pPr>
            <w:r>
              <w:rPr>
                <w:rFonts w:hint="eastAsia"/>
                <w:sz w:val="24"/>
              </w:rPr>
              <w:t>参考《村镇供水工程设计规范》（SL687-2014），蓄水池有效容积的计算：</w:t>
            </w:r>
          </w:p>
          <w:p>
            <w:pPr>
              <w:spacing w:line="360" w:lineRule="auto"/>
              <w:ind w:firstLine="480" w:firstLineChars="200"/>
              <w:rPr>
                <w:color w:val="FF0000"/>
                <w:sz w:val="24"/>
              </w:rPr>
            </w:pPr>
            <w:r>
              <w:rPr>
                <w:color w:val="FF0000"/>
                <w:sz w:val="24"/>
              </w:rPr>
              <w:object>
                <v:shape id="_x0000_i1026" o:spt="75" type="#_x0000_t75" style="height:18.15pt;width:83.2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p>
          <w:p>
            <w:pPr>
              <w:spacing w:line="360" w:lineRule="auto"/>
              <w:ind w:firstLine="480" w:firstLineChars="200"/>
              <w:rPr>
                <w:sz w:val="24"/>
              </w:rPr>
            </w:pPr>
            <w:r>
              <w:rPr>
                <w:rFonts w:hint="eastAsia"/>
                <w:sz w:val="24"/>
              </w:rPr>
              <w:t>试中：W1</w:t>
            </w:r>
            <w:r>
              <w:rPr>
                <w:sz w:val="24"/>
              </w:rPr>
              <w:t>—</w:t>
            </w:r>
            <w:r>
              <w:rPr>
                <w:rFonts w:hint="eastAsia"/>
                <w:sz w:val="24"/>
              </w:rPr>
              <w:t>调节容积，可按最高日用水量的40%-60%；</w:t>
            </w:r>
          </w:p>
          <w:p>
            <w:pPr>
              <w:spacing w:line="360" w:lineRule="auto"/>
              <w:ind w:firstLine="480" w:firstLineChars="200"/>
              <w:rPr>
                <w:sz w:val="24"/>
              </w:rPr>
            </w:pPr>
            <w:r>
              <w:rPr>
                <w:rFonts w:hint="eastAsia"/>
                <w:sz w:val="24"/>
              </w:rPr>
              <w:t xml:space="preserve">      W2</w:t>
            </w:r>
            <w:r>
              <w:rPr>
                <w:sz w:val="24"/>
              </w:rPr>
              <w:t>—</w:t>
            </w:r>
            <w:r>
              <w:rPr>
                <w:rFonts w:hint="eastAsia"/>
                <w:sz w:val="24"/>
              </w:rPr>
              <w:t>水厂自用水量，本工程不考虑；</w:t>
            </w:r>
          </w:p>
          <w:p>
            <w:pPr>
              <w:spacing w:line="360" w:lineRule="auto"/>
              <w:ind w:firstLine="1200" w:firstLineChars="500"/>
              <w:rPr>
                <w:sz w:val="24"/>
              </w:rPr>
            </w:pPr>
            <w:r>
              <w:rPr>
                <w:rFonts w:hint="eastAsia"/>
                <w:sz w:val="24"/>
              </w:rPr>
              <w:t>W3</w:t>
            </w:r>
            <w:r>
              <w:rPr>
                <w:sz w:val="24"/>
              </w:rPr>
              <w:t>—</w:t>
            </w:r>
            <w:r>
              <w:rPr>
                <w:rFonts w:hint="eastAsia"/>
                <w:sz w:val="24"/>
              </w:rPr>
              <w:t>安全贮量，可按最高日用水量的5%计取</w:t>
            </w:r>
          </w:p>
          <w:p>
            <w:pPr>
              <w:spacing w:line="360" w:lineRule="auto"/>
              <w:ind w:firstLine="480" w:firstLineChars="200"/>
              <w:rPr>
                <w:sz w:val="24"/>
              </w:rPr>
            </w:pPr>
            <w:r>
              <w:rPr>
                <w:rFonts w:hint="eastAsia"/>
                <w:sz w:val="24"/>
              </w:rPr>
              <w:t>考虑到全球环境转变恶劣，极端天气增多，工程所处环境等特殊因素，结合村组群众意见并参考已建类似村的情况，本次调节容积按照最高日用水量的60%设计,安全贮量按最高日用水量的5%计取。</w:t>
            </w:r>
          </w:p>
          <w:p>
            <w:pPr>
              <w:spacing w:line="360" w:lineRule="auto"/>
              <w:ind w:firstLine="480" w:firstLineChars="200"/>
              <w:rPr>
                <w:kern w:val="0"/>
                <w:sz w:val="24"/>
              </w:rPr>
            </w:pPr>
            <w:r>
              <w:rPr>
                <w:rFonts w:hint="eastAsia"/>
                <w:sz w:val="24"/>
              </w:rPr>
              <w:t>此次工程新建100m³蓄水池3座，新建18m³蓄水池1座，新建120 m³蓄水池1座。</w:t>
            </w:r>
          </w:p>
          <w:p>
            <w:pPr>
              <w:spacing w:line="360" w:lineRule="auto"/>
              <w:ind w:firstLine="480" w:firstLineChars="200"/>
              <w:rPr>
                <w:b/>
                <w:kern w:val="0"/>
                <w:sz w:val="24"/>
              </w:rPr>
            </w:pPr>
            <w:r>
              <w:rPr>
                <w:rFonts w:hint="eastAsia"/>
                <w:b/>
                <w:kern w:val="0"/>
                <w:sz w:val="24"/>
              </w:rPr>
              <w:t>7、水源消毒设计</w:t>
            </w:r>
          </w:p>
          <w:p>
            <w:pPr>
              <w:spacing w:line="360" w:lineRule="auto"/>
              <w:ind w:firstLine="480" w:firstLineChars="200"/>
              <w:rPr>
                <w:sz w:val="24"/>
              </w:rPr>
            </w:pPr>
            <w:r>
              <w:rPr>
                <w:rFonts w:hint="eastAsia"/>
                <w:sz w:val="24"/>
              </w:rPr>
              <w:t>项目点所有水源点，经过水质监测，水质均满足《生活饮用水卫生标准》，但为保证用水安全，仍需对水源进行简单的消毒处理。项目点水源主要可分为：山溪水、山泉水。因此水源消毒设计可分为：</w:t>
            </w:r>
          </w:p>
          <w:p>
            <w:pPr>
              <w:numPr>
                <w:ilvl w:val="0"/>
                <w:numId w:val="3"/>
              </w:numPr>
              <w:spacing w:line="360" w:lineRule="auto"/>
              <w:ind w:firstLine="482"/>
              <w:rPr>
                <w:rFonts w:ascii="宋体" w:hAnsi="宋体" w:cs="宋体"/>
                <w:sz w:val="24"/>
              </w:rPr>
            </w:pPr>
            <w:r>
              <w:rPr>
                <w:rFonts w:hint="eastAsia"/>
                <w:sz w:val="24"/>
              </w:rPr>
              <w:t>山溪水：水源经过沉淀、过滤池过滤通过管道进入蓄水池，在蓄水池内进行消毒，</w:t>
            </w:r>
            <w:r>
              <w:rPr>
                <w:rFonts w:hint="eastAsia" w:ascii="宋体" w:hAnsi="宋体" w:cs="宋体"/>
                <w:sz w:val="24"/>
              </w:rPr>
              <w:t>在蓄水池内添加二氧化氯缓释消毒片消毒，每1m</w:t>
            </w:r>
            <w:r>
              <w:rPr>
                <w:rFonts w:hint="eastAsia" w:ascii="宋体" w:hAnsi="宋体" w:cs="宋体"/>
                <w:sz w:val="24"/>
                <w:vertAlign w:val="superscript"/>
              </w:rPr>
              <w:t>3</w:t>
            </w:r>
            <w:r>
              <w:rPr>
                <w:rFonts w:hint="eastAsia" w:ascii="宋体" w:hAnsi="宋体" w:cs="宋体"/>
                <w:sz w:val="24"/>
              </w:rPr>
              <w:t>水内投加300--500mg（以有效二氧化氯含量计），雨季水源较浑浊时二氧化氯缓释消毒片添加量取大值，每1--2天由专人添加一次。</w:t>
            </w:r>
          </w:p>
          <w:p>
            <w:pPr>
              <w:spacing w:line="360" w:lineRule="auto"/>
              <w:ind w:firstLine="480" w:firstLineChars="200"/>
              <w:rPr>
                <w:kern w:val="0"/>
                <w:sz w:val="24"/>
              </w:rPr>
            </w:pPr>
            <w:r>
              <w:rPr>
                <w:rFonts w:hint="eastAsia"/>
                <w:sz w:val="24"/>
              </w:rPr>
              <w:t>（2）泉水：水源经过引泉池取水后通过管道进入蓄水池，在蓄水池内进行消毒，</w:t>
            </w:r>
            <w:r>
              <w:rPr>
                <w:rFonts w:hint="eastAsia" w:ascii="宋体" w:hAnsi="宋体" w:cs="宋体"/>
                <w:sz w:val="24"/>
              </w:rPr>
              <w:t>在蓄水池内添加二氧化氯缓释消毒片消毒，每1m</w:t>
            </w:r>
            <w:r>
              <w:rPr>
                <w:rFonts w:hint="eastAsia" w:ascii="宋体" w:hAnsi="宋体" w:cs="宋体"/>
                <w:sz w:val="24"/>
                <w:vertAlign w:val="superscript"/>
              </w:rPr>
              <w:t>3</w:t>
            </w:r>
            <w:r>
              <w:rPr>
                <w:rFonts w:hint="eastAsia" w:ascii="宋体" w:hAnsi="宋体" w:cs="宋体"/>
                <w:sz w:val="24"/>
              </w:rPr>
              <w:t>水内投加200mg（以有效二氧化氯含量计），每1--2天由专人添加一次。</w:t>
            </w:r>
          </w:p>
          <w:p>
            <w:pPr>
              <w:spacing w:line="360" w:lineRule="auto"/>
              <w:ind w:firstLine="480" w:firstLineChars="200"/>
              <w:rPr>
                <w:b/>
                <w:kern w:val="0"/>
                <w:sz w:val="24"/>
              </w:rPr>
            </w:pPr>
            <w:r>
              <w:rPr>
                <w:rFonts w:hint="eastAsia"/>
                <w:b/>
                <w:kern w:val="0"/>
                <w:sz w:val="24"/>
              </w:rPr>
              <w:t>8、配水工程</w:t>
            </w:r>
          </w:p>
          <w:p>
            <w:pPr>
              <w:spacing w:line="360" w:lineRule="auto"/>
              <w:ind w:firstLine="480" w:firstLineChars="200"/>
              <w:rPr>
                <w:sz w:val="24"/>
              </w:rPr>
            </w:pPr>
            <w:r>
              <w:rPr>
                <w:sz w:val="24"/>
              </w:rPr>
              <w:t>村内配水管网采用树枝状布置，按照供水区域的分布情况，以及维修安装方便，管线走向尽量沿路、沟渠布置，以最短的管线提供最大供水范围。供水管网铺设到居民聚集区。</w:t>
            </w:r>
          </w:p>
          <w:p>
            <w:pPr>
              <w:spacing w:line="360" w:lineRule="auto"/>
              <w:ind w:firstLine="480" w:firstLineChars="200"/>
              <w:rPr>
                <w:rFonts w:eastAsia="宋体"/>
                <w:sz w:val="24"/>
              </w:rPr>
            </w:pPr>
            <w:r>
              <w:rPr>
                <w:rFonts w:hint="eastAsia"/>
                <w:sz w:val="24"/>
              </w:rPr>
              <w:t>因为配水管道均采用PE100级1.6MpaPE管，因此管道高程每下降100m，需在管道上安装减压阀一个，以保障配水管网的正常运行。</w:t>
            </w:r>
          </w:p>
          <w:p>
            <w:pPr>
              <w:spacing w:line="360" w:lineRule="auto"/>
              <w:rPr>
                <w:rFonts w:ascii="Times New Roman" w:hAnsi="Times New Roman" w:cs="Times New Roman"/>
                <w:b/>
                <w:snapToGrid w:val="0"/>
                <w:color w:val="000000" w:themeColor="text1"/>
                <w:kern w:val="0"/>
                <w:sz w:val="28"/>
                <w:szCs w:val="28"/>
              </w:rPr>
            </w:pPr>
            <w:r>
              <w:rPr>
                <w:rFonts w:hint="eastAsia" w:ascii="Times New Roman" w:hAnsi="Times New Roman" w:cs="Times New Roman"/>
                <w:b/>
                <w:snapToGrid w:val="0"/>
                <w:color w:val="000000" w:themeColor="text1"/>
                <w:kern w:val="0"/>
                <w:sz w:val="28"/>
                <w:szCs w:val="28"/>
              </w:rPr>
              <w:t>六、主体施工方案</w:t>
            </w:r>
          </w:p>
          <w:p>
            <w:pPr>
              <w:spacing w:line="360" w:lineRule="auto"/>
              <w:ind w:firstLine="480" w:firstLineChars="200"/>
              <w:rPr>
                <w:rFonts w:ascii="宋体" w:hAnsi="宋体"/>
                <w:b/>
                <w:sz w:val="24"/>
              </w:rPr>
            </w:pPr>
            <w:r>
              <w:rPr>
                <w:rFonts w:hint="eastAsia" w:ascii="宋体" w:hAnsi="宋体"/>
                <w:b/>
                <w:sz w:val="24"/>
              </w:rPr>
              <w:t>（</w:t>
            </w:r>
            <w:r>
              <w:rPr>
                <w:rFonts w:hint="eastAsia" w:ascii="宋体" w:hAnsi="宋体"/>
                <w:b/>
                <w:sz w:val="24"/>
                <w:lang w:val="zh-CN"/>
              </w:rPr>
              <w:t>一</w:t>
            </w:r>
            <w:r>
              <w:rPr>
                <w:rFonts w:hint="eastAsia" w:ascii="宋体" w:hAnsi="宋体"/>
                <w:b/>
                <w:sz w:val="24"/>
              </w:rPr>
              <w:t>）</w:t>
            </w:r>
            <w:r>
              <w:rPr>
                <w:rFonts w:hint="eastAsia" w:ascii="宋体" w:hAnsi="宋体"/>
                <w:b/>
                <w:sz w:val="24"/>
                <w:lang w:val="zh-CN"/>
              </w:rPr>
              <w:t>建筑物工程</w:t>
            </w:r>
          </w:p>
          <w:p>
            <w:pPr>
              <w:spacing w:line="360" w:lineRule="auto"/>
              <w:ind w:firstLine="480" w:firstLineChars="200"/>
              <w:rPr>
                <w:rFonts w:asciiTheme="minorEastAsia" w:hAnsiTheme="minorEastAsia"/>
                <w:sz w:val="24"/>
              </w:rPr>
            </w:pPr>
            <w:r>
              <w:rPr>
                <w:rFonts w:hint="eastAsia" w:ascii="宋体" w:hAnsi="宋体"/>
                <w:sz w:val="24"/>
                <w:lang w:val="zh-CN"/>
              </w:rPr>
              <w:t>本工程项目施工项目主要包括引泉池、沉淀池、过滤池和蓄水池等。</w:t>
            </w:r>
          </w:p>
          <w:p>
            <w:pPr>
              <w:spacing w:line="360" w:lineRule="auto"/>
              <w:ind w:firstLine="560"/>
              <w:rPr>
                <w:rFonts w:ascii="宋体" w:hAnsi="宋体"/>
                <w:sz w:val="24"/>
                <w:lang w:val="zh-CN"/>
              </w:rPr>
            </w:pPr>
            <w:r>
              <w:rPr>
                <w:rFonts w:hint="eastAsia" w:ascii="宋体" w:hAnsi="宋体"/>
                <w:sz w:val="24"/>
                <w:lang w:val="zh-CN"/>
              </w:rPr>
              <w:t>1、土方开挖</w:t>
            </w:r>
          </w:p>
          <w:p>
            <w:pPr>
              <w:spacing w:line="360" w:lineRule="auto"/>
              <w:ind w:firstLine="560"/>
              <w:rPr>
                <w:rFonts w:ascii="宋体" w:hAnsi="宋体"/>
                <w:sz w:val="24"/>
                <w:lang w:val="zh-CN"/>
              </w:rPr>
            </w:pPr>
            <w:r>
              <w:rPr>
                <w:rFonts w:hint="eastAsia" w:ascii="宋体" w:hAnsi="宋体"/>
                <w:sz w:val="24"/>
                <w:lang w:val="zh-CN"/>
              </w:rPr>
              <w:t>交通方便的土方开挖可采用0.6m</w:t>
            </w:r>
            <w:r>
              <w:rPr>
                <w:rFonts w:hint="eastAsia" w:ascii="宋体" w:hAnsi="宋体"/>
                <w:sz w:val="24"/>
                <w:vertAlign w:val="superscript"/>
                <w:lang w:val="zh-CN"/>
              </w:rPr>
              <w:t>3</w:t>
            </w:r>
            <w:r>
              <w:rPr>
                <w:rFonts w:hint="eastAsia" w:ascii="宋体" w:hAnsi="宋体"/>
                <w:sz w:val="24"/>
                <w:lang w:val="zh-CN"/>
              </w:rPr>
              <w:t>反铲装5t自卸汽车运输0.5km运至指定渣场，施工机械不能到达的渠道开挖方式采用人工开挖及挑运。土方开挖从上到下进行，禁止采取先挖底脚的施工方法。基坑开挖必须遵行如下要求：</w:t>
            </w:r>
          </w:p>
          <w:p>
            <w:pPr>
              <w:spacing w:line="360" w:lineRule="auto"/>
              <w:ind w:firstLine="560"/>
              <w:rPr>
                <w:rFonts w:ascii="宋体" w:hAnsi="宋体"/>
                <w:sz w:val="24"/>
                <w:lang w:val="zh-CN"/>
              </w:rPr>
            </w:pPr>
            <w:r>
              <w:rPr>
                <w:rFonts w:hint="eastAsia" w:ascii="宋体" w:hAnsi="宋体"/>
                <w:sz w:val="24"/>
                <w:lang w:val="zh-CN"/>
              </w:rPr>
              <w:t>（1）基坑底部开挖尺寸，除不小于建筑物底部轮廓线外，应考虑布置排水设施和立摸施工的需要，留有足够的余地。</w:t>
            </w:r>
          </w:p>
          <w:p>
            <w:pPr>
              <w:spacing w:line="360" w:lineRule="auto"/>
              <w:ind w:firstLine="560"/>
              <w:rPr>
                <w:rFonts w:ascii="宋体" w:hAnsi="宋体"/>
                <w:sz w:val="24"/>
                <w:lang w:val="zh-CN"/>
              </w:rPr>
            </w:pPr>
            <w:r>
              <w:rPr>
                <w:rFonts w:hint="eastAsia" w:ascii="宋体" w:hAnsi="宋体"/>
                <w:sz w:val="24"/>
                <w:lang w:val="zh-CN"/>
              </w:rPr>
              <w:t>（2）基坑开挖前应具有基坑开挖图，注明底部不同开挖高程、衔接方法和纵横断面。要清理场地，修好运土道路和地面排水沟，平整堆砌土区，并按基坑开挖图进行分段分区，做好开挖基坑的人员组织与机械、能源的供应。</w:t>
            </w:r>
          </w:p>
          <w:p>
            <w:pPr>
              <w:spacing w:line="360" w:lineRule="auto"/>
              <w:ind w:firstLine="560"/>
              <w:rPr>
                <w:rFonts w:ascii="宋体" w:hAnsi="宋体"/>
                <w:sz w:val="24"/>
                <w:lang w:val="zh-CN"/>
              </w:rPr>
            </w:pPr>
            <w:r>
              <w:rPr>
                <w:rFonts w:hint="eastAsia" w:ascii="宋体" w:hAnsi="宋体"/>
                <w:sz w:val="24"/>
                <w:lang w:val="zh-CN"/>
              </w:rPr>
              <w:t>（3）基坑开挖宜分段进行，依次设置排水沟，层层下挖。在开挖过程中，宜以排水沟分段，不得留有界墙。</w:t>
            </w:r>
          </w:p>
          <w:p>
            <w:pPr>
              <w:spacing w:line="360" w:lineRule="auto"/>
              <w:ind w:firstLine="560"/>
              <w:rPr>
                <w:rFonts w:ascii="宋体" w:hAnsi="宋体"/>
                <w:sz w:val="24"/>
                <w:lang w:val="zh-CN"/>
              </w:rPr>
            </w:pPr>
            <w:r>
              <w:rPr>
                <w:rFonts w:hint="eastAsia" w:ascii="宋体" w:hAnsi="宋体"/>
                <w:sz w:val="24"/>
                <w:lang w:val="zh-CN"/>
              </w:rPr>
              <w:t>（4）根据施工地区气温差异，基坑开挖一般应留20～30cm的保护层。保护层在基础混凝土施工设备工作就绪后开挖，开挖精度为±1～3cm。</w:t>
            </w:r>
          </w:p>
          <w:p>
            <w:pPr>
              <w:spacing w:line="360" w:lineRule="auto"/>
              <w:ind w:firstLine="560"/>
              <w:rPr>
                <w:rFonts w:ascii="宋体" w:hAnsi="宋体"/>
                <w:sz w:val="24"/>
                <w:lang w:val="zh-CN"/>
              </w:rPr>
            </w:pPr>
            <w:r>
              <w:rPr>
                <w:rFonts w:hint="eastAsia" w:ascii="宋体" w:hAnsi="宋体"/>
                <w:sz w:val="24"/>
                <w:lang w:val="zh-CN"/>
              </w:rPr>
              <w:t>（5）基坑开挖过程中，应定期复测、校核平面位置、水平高程和边坡，各项均须符合要求。</w:t>
            </w:r>
          </w:p>
          <w:p>
            <w:pPr>
              <w:spacing w:line="360" w:lineRule="auto"/>
              <w:ind w:firstLine="560"/>
              <w:rPr>
                <w:rFonts w:ascii="宋体" w:hAnsi="宋体"/>
                <w:sz w:val="24"/>
                <w:lang w:val="zh-CN"/>
              </w:rPr>
            </w:pPr>
            <w:r>
              <w:rPr>
                <w:rFonts w:hint="eastAsia" w:ascii="宋体" w:hAnsi="宋体"/>
                <w:sz w:val="24"/>
                <w:lang w:val="zh-CN"/>
              </w:rPr>
              <w:t>2、土方回填</w:t>
            </w:r>
          </w:p>
          <w:p>
            <w:pPr>
              <w:spacing w:line="360" w:lineRule="auto"/>
              <w:ind w:firstLine="560"/>
              <w:rPr>
                <w:rFonts w:ascii="宋体" w:hAnsi="宋体"/>
                <w:sz w:val="24"/>
                <w:lang w:val="zh-CN"/>
              </w:rPr>
            </w:pPr>
            <w:r>
              <w:rPr>
                <w:rFonts w:hint="eastAsia" w:ascii="宋体" w:hAnsi="宋体"/>
                <w:sz w:val="24"/>
                <w:lang w:val="zh-CN"/>
              </w:rPr>
              <w:t>渠道回填采用人工夯实回填，需分层回填，每层回填厚度不得超过30cm，回填前，应清除表面的腐植质、有垮塌等不良土质。</w:t>
            </w:r>
          </w:p>
          <w:p>
            <w:pPr>
              <w:spacing w:line="360" w:lineRule="auto"/>
              <w:ind w:firstLine="560"/>
              <w:rPr>
                <w:rFonts w:ascii="宋体" w:hAnsi="宋体"/>
                <w:sz w:val="24"/>
                <w:lang w:val="zh-CN"/>
              </w:rPr>
            </w:pPr>
            <w:r>
              <w:rPr>
                <w:rFonts w:hint="eastAsia" w:ascii="宋体" w:hAnsi="宋体"/>
                <w:sz w:val="24"/>
                <w:lang w:val="zh-CN"/>
              </w:rPr>
              <w:t>3、混凝土浇筑</w:t>
            </w:r>
          </w:p>
          <w:p>
            <w:pPr>
              <w:spacing w:line="360" w:lineRule="auto"/>
              <w:ind w:firstLine="560"/>
              <w:rPr>
                <w:rFonts w:ascii="宋体" w:hAnsi="宋体"/>
                <w:sz w:val="24"/>
                <w:lang w:val="zh-CN"/>
              </w:rPr>
            </w:pPr>
            <w:r>
              <w:rPr>
                <w:rFonts w:hint="eastAsia" w:ascii="宋体" w:hAnsi="宋体"/>
                <w:sz w:val="24"/>
                <w:lang w:val="zh-CN"/>
              </w:rPr>
              <w:t>由于工程点较分散，各个工程量混凝土、砂浆集中用量可采用0.4m</w:t>
            </w:r>
            <w:r>
              <w:rPr>
                <w:rFonts w:hint="eastAsia" w:ascii="宋体" w:hAnsi="宋体"/>
                <w:sz w:val="24"/>
                <w:vertAlign w:val="superscript"/>
                <w:lang w:val="zh-CN"/>
              </w:rPr>
              <w:t>3</w:t>
            </w:r>
            <w:r>
              <w:rPr>
                <w:rFonts w:hint="eastAsia" w:ascii="宋体" w:hAnsi="宋体"/>
                <w:sz w:val="24"/>
                <w:lang w:val="zh-CN"/>
              </w:rPr>
              <w:t>拌和机拌制，人工胶轮车运输至作业区，人工入仓，组合模板施工，插入式振捣器振捣密实。</w:t>
            </w:r>
          </w:p>
          <w:p>
            <w:pPr>
              <w:spacing w:line="360" w:lineRule="auto"/>
              <w:ind w:firstLine="560"/>
              <w:rPr>
                <w:rFonts w:ascii="宋体" w:hAnsi="宋体"/>
                <w:sz w:val="24"/>
                <w:lang w:val="zh-CN"/>
              </w:rPr>
            </w:pPr>
            <w:r>
              <w:rPr>
                <w:rFonts w:hint="eastAsia" w:ascii="宋体" w:hAnsi="宋体"/>
                <w:sz w:val="24"/>
                <w:lang w:val="zh-CN"/>
              </w:rPr>
              <w:t>砼浇筑前，应将现状岩石表面上附着淤泥、青苔、杂质及风化表层清理干净，用高压风、水枪结合人力用钢丝刷进行，清除后用压力水冲洗干净，不允许残留残渣粉末或其他杂质。</w:t>
            </w:r>
          </w:p>
          <w:p>
            <w:pPr>
              <w:spacing w:line="360" w:lineRule="auto"/>
              <w:ind w:firstLine="560"/>
              <w:rPr>
                <w:rFonts w:ascii="宋体" w:hAnsi="宋体"/>
                <w:sz w:val="24"/>
                <w:lang w:val="zh-CN"/>
              </w:rPr>
            </w:pPr>
            <w:r>
              <w:rPr>
                <w:rFonts w:hint="eastAsia" w:ascii="宋体" w:hAnsi="宋体"/>
                <w:sz w:val="24"/>
                <w:lang w:val="zh-CN"/>
              </w:rPr>
              <w:t>施工中严格按照砼工程施工规范进行，施工时先按设计开挖好基槽、经验收合格后，才能进行砼浇筑。对混凝土原材料如水泥、粗细骨料、水等要符合国家的现行标准规定及设计要求。混凝土的拌和时间应根据塌落度确定，一般不宜少于1.5 min。从拌成到开始浇筑，根据经验，以不超过45 min为宜。混凝土温度一般控制范围在15 ℃左右，夏季施工时，当外界气温高于30 ℃时，要求砼出仓温度低于15 ℃。施工时应严格按操作规程，以防出现麻面、蜂窝、露筋、空洞、裂缝等。混凝土浇筑时，如遇降雨但又无防雨措施，则应停止浇筑。</w:t>
            </w:r>
          </w:p>
          <w:p>
            <w:pPr>
              <w:spacing w:line="360" w:lineRule="auto"/>
              <w:ind w:firstLine="560"/>
              <w:rPr>
                <w:rFonts w:ascii="宋体" w:hAnsi="宋体"/>
                <w:sz w:val="24"/>
                <w:lang w:val="zh-CN"/>
              </w:rPr>
            </w:pPr>
            <w:r>
              <w:rPr>
                <w:rFonts w:hint="eastAsia" w:ascii="宋体" w:hAnsi="宋体"/>
                <w:sz w:val="24"/>
                <w:lang w:val="zh-CN"/>
              </w:rPr>
              <w:t>混凝土的养护及拆模期限都要严格按照有关规范规程执行。采用洒水或麻袋、草垫保温覆盖等方式养护，保证覆盖物底部在养护期间始终处于潮湿状态，养护天数宜为14-21天，达到设计弯拉强度的80%时，可停止养护，</w:t>
            </w:r>
          </w:p>
          <w:p>
            <w:pPr>
              <w:spacing w:line="360" w:lineRule="auto"/>
              <w:ind w:firstLine="560"/>
              <w:rPr>
                <w:rFonts w:ascii="宋体" w:hAnsi="宋体"/>
                <w:sz w:val="24"/>
                <w:lang w:val="zh-CN"/>
              </w:rPr>
            </w:pPr>
            <w:r>
              <w:rPr>
                <w:rFonts w:hint="eastAsia" w:ascii="宋体" w:hAnsi="宋体"/>
                <w:sz w:val="24"/>
                <w:lang w:val="zh-CN"/>
              </w:rPr>
              <w:t>4、砌体工程施工</w:t>
            </w:r>
          </w:p>
          <w:p>
            <w:pPr>
              <w:spacing w:line="360" w:lineRule="auto"/>
              <w:ind w:firstLine="560"/>
              <w:rPr>
                <w:rFonts w:ascii="宋体" w:hAnsi="宋体"/>
                <w:sz w:val="24"/>
                <w:lang w:val="zh-CN"/>
              </w:rPr>
            </w:pPr>
            <w:r>
              <w:rPr>
                <w:rFonts w:hint="eastAsia" w:ascii="宋体" w:hAnsi="宋体"/>
                <w:sz w:val="24"/>
                <w:lang w:val="zh-CN"/>
              </w:rPr>
              <w:t xml:space="preserve">（1）砌筑砂浆 </w:t>
            </w:r>
          </w:p>
          <w:p>
            <w:pPr>
              <w:spacing w:line="360" w:lineRule="auto"/>
              <w:ind w:firstLine="560"/>
              <w:rPr>
                <w:rFonts w:ascii="宋体" w:hAnsi="宋体"/>
                <w:sz w:val="24"/>
                <w:lang w:val="zh-CN"/>
              </w:rPr>
            </w:pPr>
            <w:r>
              <w:rPr>
                <w:rFonts w:hint="eastAsia" w:ascii="宋体" w:hAnsi="宋体"/>
                <w:sz w:val="24"/>
                <w:lang w:val="zh-CN"/>
              </w:rPr>
              <w:t>a、根据工程所处的环境条件，选择合适的水泥品种。水泥强度等级的选择应为砂浆强度等级的4～5倍，水泥砂浆采用的水泥，强度等级不宜大于42.5；水泥混凝土砂浆不宜采用强度等级大于52.5的水泥。</w:t>
            </w:r>
          </w:p>
          <w:p>
            <w:pPr>
              <w:spacing w:line="360" w:lineRule="auto"/>
              <w:ind w:firstLine="560"/>
              <w:rPr>
                <w:rFonts w:ascii="宋体" w:hAnsi="宋体"/>
                <w:sz w:val="24"/>
                <w:lang w:val="zh-CN"/>
              </w:rPr>
            </w:pPr>
            <w:r>
              <w:rPr>
                <w:rFonts w:hint="eastAsia" w:ascii="宋体" w:hAnsi="宋体"/>
                <w:sz w:val="24"/>
                <w:lang w:val="zh-CN"/>
              </w:rPr>
              <w:t>b砂浆用砂的技术要求同11.4节，砖砌体用砂浆的砂最大粒径规定为2.5mm；砌石时可采用最大粒径5mm的砂；用于抹面及勾缝的砂宜用细砂，砂的含泥量不应超过5%。</w:t>
            </w:r>
          </w:p>
          <w:p>
            <w:pPr>
              <w:spacing w:line="360" w:lineRule="auto"/>
              <w:ind w:firstLine="560"/>
              <w:rPr>
                <w:rFonts w:ascii="宋体" w:hAnsi="宋体"/>
                <w:sz w:val="24"/>
                <w:lang w:val="zh-CN"/>
              </w:rPr>
            </w:pPr>
            <w:r>
              <w:rPr>
                <w:rFonts w:hint="eastAsia" w:ascii="宋体" w:hAnsi="宋体"/>
                <w:sz w:val="24"/>
                <w:lang w:val="zh-CN"/>
              </w:rPr>
              <w:t>c用于砌体的砂浆稠度应满足《建筑砌体工程施工及验收规范》（GB50203-1998）的规定，砂浆的保水性应满足《砌筑砂浆配合比设计规程》（JGJ98-2000）的规定。</w:t>
            </w:r>
          </w:p>
          <w:p>
            <w:pPr>
              <w:spacing w:line="360" w:lineRule="auto"/>
              <w:ind w:firstLine="560"/>
              <w:rPr>
                <w:rFonts w:ascii="宋体" w:hAnsi="宋体"/>
                <w:sz w:val="24"/>
                <w:lang w:val="zh-CN"/>
              </w:rPr>
            </w:pPr>
            <w:r>
              <w:rPr>
                <w:rFonts w:hint="eastAsia" w:ascii="宋体" w:hAnsi="宋体"/>
                <w:sz w:val="24"/>
                <w:lang w:val="zh-CN"/>
              </w:rPr>
              <w:t>（2）抹面砂浆</w:t>
            </w:r>
          </w:p>
          <w:p>
            <w:pPr>
              <w:spacing w:line="360" w:lineRule="auto"/>
              <w:ind w:firstLine="560"/>
              <w:rPr>
                <w:rFonts w:ascii="宋体" w:hAnsi="宋体"/>
                <w:sz w:val="24"/>
                <w:lang w:val="zh-CN"/>
              </w:rPr>
            </w:pPr>
            <w:r>
              <w:rPr>
                <w:rFonts w:hint="eastAsia" w:ascii="宋体" w:hAnsi="宋体"/>
                <w:sz w:val="24"/>
                <w:lang w:val="zh-CN"/>
              </w:rPr>
              <w:t>a、抹面砂浆的品种及强度等级应满足设计要求，抹面砂浆强度不宜超过基体材料两个强度等级。</w:t>
            </w:r>
          </w:p>
          <w:p>
            <w:pPr>
              <w:spacing w:line="360" w:lineRule="auto"/>
              <w:ind w:firstLine="560"/>
              <w:rPr>
                <w:rFonts w:ascii="宋体" w:hAnsi="宋体"/>
                <w:sz w:val="24"/>
                <w:lang w:val="zh-CN"/>
              </w:rPr>
            </w:pPr>
            <w:r>
              <w:rPr>
                <w:rFonts w:hint="eastAsia" w:ascii="宋体" w:hAnsi="宋体"/>
                <w:sz w:val="24"/>
                <w:lang w:val="zh-CN"/>
              </w:rPr>
              <w:t>b、置低强度等级抹面砂浆，宜用32.5级通用硅酸盐水泥或砌筑水泥；</w:t>
            </w:r>
          </w:p>
          <w:p>
            <w:pPr>
              <w:spacing w:line="360" w:lineRule="auto"/>
              <w:ind w:firstLine="560"/>
              <w:rPr>
                <w:rFonts w:ascii="宋体" w:hAnsi="宋体"/>
                <w:sz w:val="24"/>
                <w:lang w:val="zh-CN"/>
              </w:rPr>
            </w:pPr>
            <w:r>
              <w:rPr>
                <w:rFonts w:hint="eastAsia" w:ascii="宋体" w:hAnsi="宋体"/>
                <w:sz w:val="24"/>
                <w:lang w:val="zh-CN"/>
              </w:rPr>
              <w:t>c、高强度等级抹面砂浆，宜用普通硅酸盐水泥或硅酸盐水泥。</w:t>
            </w:r>
          </w:p>
          <w:p>
            <w:pPr>
              <w:spacing w:line="360" w:lineRule="auto"/>
              <w:ind w:firstLine="560"/>
              <w:rPr>
                <w:rFonts w:ascii="宋体" w:hAnsi="宋体"/>
                <w:sz w:val="24"/>
                <w:lang w:val="zh-CN"/>
              </w:rPr>
            </w:pPr>
            <w:r>
              <w:rPr>
                <w:rFonts w:hint="eastAsia" w:ascii="宋体" w:hAnsi="宋体"/>
                <w:sz w:val="24"/>
                <w:lang w:val="zh-CN"/>
              </w:rPr>
              <w:t xml:space="preserve">（3）砖砌体工程 </w:t>
            </w:r>
          </w:p>
          <w:p>
            <w:pPr>
              <w:spacing w:line="360" w:lineRule="auto"/>
              <w:ind w:firstLine="560"/>
              <w:rPr>
                <w:rFonts w:ascii="宋体" w:hAnsi="宋体"/>
                <w:sz w:val="24"/>
                <w:lang w:val="zh-CN"/>
              </w:rPr>
            </w:pPr>
            <w:r>
              <w:rPr>
                <w:rFonts w:hint="eastAsia" w:ascii="宋体" w:hAnsi="宋体"/>
                <w:sz w:val="24"/>
                <w:lang w:val="zh-CN"/>
              </w:rPr>
              <w:t>a砖砌体工程中，每批次进入现场的砖应附有出厂质量检测报告，不得采用多孔砖。砖的强度等级不应低于MU10，砂浆的强度等级不应低于M7.5。</w:t>
            </w:r>
          </w:p>
          <w:p>
            <w:pPr>
              <w:spacing w:line="360" w:lineRule="auto"/>
              <w:ind w:firstLine="560"/>
              <w:rPr>
                <w:rFonts w:ascii="宋体" w:hAnsi="宋体"/>
                <w:sz w:val="24"/>
                <w:lang w:val="zh-CN"/>
              </w:rPr>
            </w:pPr>
            <w:r>
              <w:rPr>
                <w:rFonts w:hint="eastAsia" w:ascii="宋体" w:hAnsi="宋体"/>
                <w:sz w:val="24"/>
                <w:lang w:val="zh-CN"/>
              </w:rPr>
              <w:t>b砖砌体应内外搭砌，上下错缝。清水墙、窗间墙无通缝；混水墙中不得有长度大于30cm的通缝。</w:t>
            </w:r>
          </w:p>
          <w:p>
            <w:pPr>
              <w:spacing w:line="360" w:lineRule="auto"/>
              <w:ind w:firstLine="560"/>
              <w:rPr>
                <w:rFonts w:ascii="宋体" w:hAnsi="宋体"/>
                <w:sz w:val="24"/>
                <w:lang w:val="zh-CN"/>
              </w:rPr>
            </w:pPr>
            <w:r>
              <w:rPr>
                <w:rFonts w:hint="eastAsia" w:ascii="宋体" w:hAnsi="宋体"/>
                <w:sz w:val="24"/>
                <w:lang w:val="zh-CN"/>
              </w:rPr>
              <w:t>c砌体灰缝砂浆应密实饱满，砖墙水平灰缝的砂浆饱满度不得低于80%；砖柱水平灰缝和竖向灰缝饱满度不得低于90%。砖砌体的灰缝应横平竖直，厚薄均匀，水平灰缝厚度及竖向灰缝宽度宜为1cm，但不得小于0.8cm。</w:t>
            </w:r>
          </w:p>
          <w:p>
            <w:pPr>
              <w:spacing w:line="360" w:lineRule="auto"/>
              <w:ind w:firstLine="560"/>
              <w:rPr>
                <w:rFonts w:ascii="宋体" w:hAnsi="宋体"/>
                <w:sz w:val="24"/>
                <w:lang w:val="zh-CN"/>
              </w:rPr>
            </w:pPr>
            <w:r>
              <w:rPr>
                <w:rFonts w:hint="eastAsia" w:ascii="宋体" w:hAnsi="宋体"/>
                <w:sz w:val="24"/>
                <w:lang w:val="zh-CN"/>
              </w:rPr>
              <w:t>5、钢筋工程</w:t>
            </w:r>
          </w:p>
          <w:p>
            <w:pPr>
              <w:spacing w:line="360" w:lineRule="auto"/>
              <w:ind w:firstLine="560"/>
              <w:rPr>
                <w:rFonts w:ascii="宋体" w:hAnsi="宋体"/>
                <w:sz w:val="24"/>
                <w:lang w:val="zh-CN"/>
              </w:rPr>
            </w:pPr>
            <w:r>
              <w:rPr>
                <w:rFonts w:hint="eastAsia" w:ascii="宋体" w:hAnsi="宋体"/>
                <w:sz w:val="24"/>
                <w:lang w:val="zh-CN"/>
              </w:rPr>
              <w:t>（1）混凝土工程中的钢筋使用参照《混凝土结构工程施工质量验收规范》（GB50204-2002（2011版））执行。</w:t>
            </w:r>
          </w:p>
          <w:p>
            <w:pPr>
              <w:spacing w:line="360" w:lineRule="auto"/>
              <w:ind w:firstLine="560"/>
              <w:rPr>
                <w:rFonts w:ascii="宋体" w:hAnsi="宋体"/>
                <w:sz w:val="24"/>
                <w:lang w:val="zh-CN"/>
              </w:rPr>
            </w:pPr>
            <w:r>
              <w:rPr>
                <w:rFonts w:hint="eastAsia" w:ascii="宋体" w:hAnsi="宋体"/>
                <w:sz w:val="24"/>
                <w:lang w:val="zh-CN"/>
              </w:rPr>
              <w:t>（2）钢筋进场时，应检查产品合格证、出厂检验报告和进场复验报告，应按《金属拉伸试验法》（GB/T228-2002）和《金属弯曲试验法》（GB/T232-1999）抽取钢筋作力学性能和重量偏差检验，检验结果必须符合有关标准的规定。</w:t>
            </w:r>
          </w:p>
          <w:p>
            <w:pPr>
              <w:spacing w:line="360" w:lineRule="auto"/>
              <w:ind w:firstLine="560"/>
              <w:rPr>
                <w:rFonts w:ascii="宋体" w:hAnsi="宋体"/>
                <w:sz w:val="24"/>
                <w:lang w:val="zh-CN"/>
              </w:rPr>
            </w:pPr>
            <w:r>
              <w:rPr>
                <w:rFonts w:hint="eastAsia" w:ascii="宋体" w:hAnsi="宋体"/>
                <w:sz w:val="24"/>
                <w:lang w:val="zh-CN"/>
              </w:rPr>
              <w:t>（3）当发现钢筋脆断、焊接性能不良或力学性能显著不正常等现象时，应对该批钢筋进行化学成分检验或其他专项检验，不得再用于工程建设。</w:t>
            </w:r>
          </w:p>
          <w:p>
            <w:pPr>
              <w:spacing w:line="360" w:lineRule="auto"/>
              <w:ind w:firstLine="560"/>
              <w:rPr>
                <w:rFonts w:ascii="宋体" w:hAnsi="宋体"/>
                <w:sz w:val="24"/>
                <w:lang w:val="zh-CN"/>
              </w:rPr>
            </w:pPr>
            <w:r>
              <w:rPr>
                <w:rFonts w:hint="eastAsia" w:ascii="宋体" w:hAnsi="宋体"/>
                <w:sz w:val="24"/>
                <w:lang w:val="zh-CN"/>
              </w:rPr>
              <w:t>（4）钢筋进货后，按不同等级、牌号、规格及生产厂家分批验收，分别堆存，堆置在仓库（棚）内，且立牌以资识别；露天堆置时，采取垫高并加遮盖措施。确保钢筋在贮存、运输过程中避免锈蚀和污染。</w:t>
            </w:r>
          </w:p>
          <w:p>
            <w:pPr>
              <w:spacing w:line="360" w:lineRule="auto"/>
              <w:ind w:firstLine="560"/>
              <w:rPr>
                <w:rFonts w:ascii="宋体" w:hAnsi="宋体"/>
                <w:sz w:val="24"/>
                <w:lang w:val="zh-CN"/>
              </w:rPr>
            </w:pPr>
            <w:r>
              <w:rPr>
                <w:rFonts w:hint="eastAsia" w:ascii="宋体" w:hAnsi="宋体"/>
                <w:sz w:val="24"/>
                <w:lang w:val="zh-CN"/>
              </w:rPr>
              <w:t>（5）钢筋应在现场制作加工、应确保表面洁净无损伤，在加工前采用除锈机或风砂枪将其表面的油渍、漆污、锈皮、鳞锈等清除干净。用于加工的钢筋原材做到平直，无局部弯折。</w:t>
            </w:r>
          </w:p>
          <w:p>
            <w:pPr>
              <w:spacing w:line="360" w:lineRule="auto"/>
              <w:ind w:firstLine="560"/>
              <w:rPr>
                <w:rFonts w:ascii="宋体" w:hAnsi="宋体"/>
                <w:sz w:val="24"/>
                <w:lang w:val="zh-CN"/>
              </w:rPr>
            </w:pPr>
            <w:r>
              <w:rPr>
                <w:rFonts w:hint="eastAsia" w:ascii="宋体" w:hAnsi="宋体"/>
                <w:sz w:val="24"/>
                <w:lang w:val="zh-CN"/>
              </w:rPr>
              <w:t>（6）钢筋加工的尺寸严格按施工图纸的要求制作，钢筋的弯钩弯折加工按规范的规定执行。加工后的成品钢筋按规范要求验收。在现场按施工图纸进行钢筋安装时，其绑扎和焊接均应符合相关规范的有关规定。钢筋安装位置的偏差按有关规定验收。钢筋的最小混凝土保护层（钢筋外边缘至混凝土表面的距离）按相关规范要求执行。</w:t>
            </w:r>
          </w:p>
          <w:p>
            <w:pPr>
              <w:spacing w:line="360" w:lineRule="auto"/>
              <w:ind w:firstLine="560"/>
              <w:rPr>
                <w:rFonts w:ascii="宋体" w:hAnsi="宋体"/>
                <w:sz w:val="24"/>
                <w:lang w:val="zh-CN"/>
              </w:rPr>
            </w:pPr>
            <w:r>
              <w:rPr>
                <w:rFonts w:hint="eastAsia" w:ascii="宋体" w:hAnsi="宋体"/>
                <w:sz w:val="24"/>
                <w:lang w:val="zh-CN"/>
              </w:rPr>
              <w:t>6、模板工程</w:t>
            </w:r>
          </w:p>
          <w:p>
            <w:pPr>
              <w:spacing w:line="360" w:lineRule="auto"/>
              <w:ind w:firstLine="560"/>
              <w:rPr>
                <w:rFonts w:ascii="宋体" w:hAnsi="宋体"/>
                <w:sz w:val="24"/>
                <w:lang w:val="zh-CN"/>
              </w:rPr>
            </w:pPr>
            <w:r>
              <w:rPr>
                <w:rFonts w:hint="eastAsia" w:ascii="宋体" w:hAnsi="宋体"/>
                <w:sz w:val="24"/>
                <w:lang w:val="zh-CN"/>
              </w:rPr>
              <w:t>模板拼装前应清理施工部位的垃圾等杂物，并用1:3水泥砂浆，在模板底找平，弹出外围线，以保证轴线及模板拼装的正确性与严密性，防止漏浆烂根。</w:t>
            </w:r>
          </w:p>
          <w:p>
            <w:pPr>
              <w:spacing w:line="360" w:lineRule="auto"/>
              <w:ind w:firstLine="560"/>
              <w:rPr>
                <w:rFonts w:ascii="宋体" w:hAnsi="宋体"/>
                <w:sz w:val="24"/>
                <w:lang w:val="zh-CN"/>
              </w:rPr>
            </w:pPr>
            <w:r>
              <w:rPr>
                <w:rFonts w:hint="eastAsia" w:ascii="宋体" w:hAnsi="宋体"/>
                <w:sz w:val="24"/>
                <w:lang w:val="zh-CN"/>
              </w:rPr>
              <w:t>现场施工员应对模板标高和轴线进行验收复核，模立好后拉通线进行验收复核。</w:t>
            </w:r>
          </w:p>
          <w:p>
            <w:pPr>
              <w:spacing w:line="360" w:lineRule="auto"/>
              <w:ind w:firstLine="560"/>
              <w:rPr>
                <w:rFonts w:ascii="宋体" w:hAnsi="宋体"/>
                <w:sz w:val="24"/>
                <w:lang w:val="zh-CN"/>
              </w:rPr>
            </w:pPr>
            <w:r>
              <w:rPr>
                <w:rFonts w:hint="eastAsia" w:ascii="宋体" w:hAnsi="宋体"/>
                <w:sz w:val="24"/>
                <w:lang w:val="zh-CN"/>
              </w:rPr>
              <w:t>模板安装前，必须涂刷隔离剂，以便于拆除模板和增加模板的周转次数。涂刷隔离时，不得污染钢筋，以免影响质量。</w:t>
            </w:r>
          </w:p>
          <w:p>
            <w:pPr>
              <w:spacing w:line="360" w:lineRule="auto"/>
              <w:ind w:firstLine="560"/>
              <w:rPr>
                <w:rFonts w:ascii="宋体" w:hAnsi="宋体"/>
                <w:sz w:val="24"/>
                <w:lang w:val="zh-CN"/>
              </w:rPr>
            </w:pPr>
            <w:r>
              <w:rPr>
                <w:rFonts w:hint="eastAsia" w:ascii="宋体" w:hAnsi="宋体"/>
                <w:sz w:val="24"/>
                <w:lang w:val="zh-CN"/>
              </w:rPr>
              <w:t>模板的安装必须保证位置准确，立面垂直。先就位的模板可用2m长靠尺板进行检查，后安装的模板可用双十字靠尺在模板背面靠垂直度。不垂直时，通过支架下的地脚螺栓进行调整。模板横向水平一致，不平时可通过模板下部的地脚螺栓进行调整。</w:t>
            </w:r>
          </w:p>
          <w:p>
            <w:pPr>
              <w:spacing w:line="360" w:lineRule="auto"/>
              <w:ind w:firstLine="560"/>
              <w:rPr>
                <w:rFonts w:ascii="宋体" w:hAnsi="宋体"/>
                <w:sz w:val="24"/>
                <w:lang w:val="zh-CN"/>
              </w:rPr>
            </w:pPr>
            <w:r>
              <w:rPr>
                <w:rFonts w:hint="eastAsia" w:ascii="宋体" w:hAnsi="宋体"/>
                <w:sz w:val="24"/>
                <w:lang w:val="zh-CN"/>
              </w:rPr>
              <w:t>校正合格后，在模板顶部要放固定位置的卡具。</w:t>
            </w:r>
          </w:p>
          <w:p>
            <w:pPr>
              <w:spacing w:line="360" w:lineRule="auto"/>
              <w:ind w:firstLine="560"/>
              <w:rPr>
                <w:rFonts w:ascii="宋体" w:hAnsi="宋体"/>
                <w:sz w:val="24"/>
                <w:lang w:val="zh-CN"/>
              </w:rPr>
            </w:pPr>
            <w:r>
              <w:rPr>
                <w:rFonts w:hint="eastAsia" w:ascii="宋体" w:hAnsi="宋体"/>
                <w:sz w:val="24"/>
                <w:lang w:val="zh-CN"/>
              </w:rPr>
              <w:t>模板安装完毕后，将底模板上口找直，并检查扣件、螺栓是否紧固，拼缝是否严密，厚度是否合适，经检查合格后，方可浇筑砼。</w:t>
            </w:r>
          </w:p>
          <w:p>
            <w:pPr>
              <w:spacing w:line="360" w:lineRule="auto"/>
              <w:ind w:firstLine="560"/>
              <w:rPr>
                <w:rFonts w:ascii="宋体" w:hAnsi="宋体"/>
                <w:sz w:val="24"/>
                <w:lang w:val="zh-CN"/>
              </w:rPr>
            </w:pPr>
            <w:r>
              <w:rPr>
                <w:rFonts w:hint="eastAsia" w:ascii="宋体" w:hAnsi="宋体"/>
                <w:sz w:val="24"/>
                <w:lang w:val="zh-CN"/>
              </w:rPr>
              <w:t>现浇结构的模板及其支撑拆除时的强度等级应符合设计要求和施工规范，必须在接到项目工程师的书面通知后方可拆除模板及其支撑体系，操作人员不得擅自拆除模板及支撑系统。</w:t>
            </w:r>
          </w:p>
          <w:p>
            <w:pPr>
              <w:spacing w:line="360" w:lineRule="auto"/>
              <w:ind w:firstLine="480" w:firstLineChars="200"/>
              <w:rPr>
                <w:rFonts w:asciiTheme="minorEastAsia" w:hAnsiTheme="minorEastAsia"/>
                <w:sz w:val="24"/>
              </w:rPr>
            </w:pPr>
            <w:r>
              <w:rPr>
                <w:rFonts w:hint="eastAsia" w:ascii="宋体" w:hAnsi="宋体"/>
                <w:sz w:val="24"/>
                <w:lang w:val="zh-CN"/>
              </w:rPr>
              <w:t>模板拆除时必须待拆模试块强度（以自然养护试块为准）达到标准时方可拆模。</w:t>
            </w:r>
          </w:p>
          <w:p>
            <w:pPr>
              <w:spacing w:line="360" w:lineRule="auto"/>
              <w:ind w:firstLine="480" w:firstLineChars="200"/>
              <w:rPr>
                <w:rFonts w:asciiTheme="minorEastAsia" w:hAnsiTheme="minorEastAsia"/>
                <w:b/>
                <w:sz w:val="24"/>
              </w:rPr>
            </w:pPr>
            <w:r>
              <w:rPr>
                <w:rFonts w:hint="eastAsia" w:asciiTheme="minorEastAsia" w:hAnsiTheme="minorEastAsia"/>
                <w:b/>
                <w:sz w:val="24"/>
              </w:rPr>
              <w:t>（二）管道工程</w:t>
            </w:r>
          </w:p>
          <w:p>
            <w:pPr>
              <w:spacing w:line="360" w:lineRule="auto"/>
              <w:ind w:firstLine="560"/>
              <w:rPr>
                <w:rFonts w:ascii="宋体" w:hAnsi="宋体"/>
                <w:sz w:val="24"/>
                <w:lang w:val="zh-CN"/>
              </w:rPr>
            </w:pPr>
            <w:r>
              <w:rPr>
                <w:rFonts w:hint="eastAsia" w:ascii="宋体" w:hAnsi="宋体"/>
                <w:sz w:val="24"/>
                <w:lang w:val="zh-CN"/>
              </w:rPr>
              <w:t>1、施工顺序</w:t>
            </w:r>
          </w:p>
          <w:p>
            <w:pPr>
              <w:spacing w:line="360" w:lineRule="auto"/>
              <w:ind w:firstLine="560"/>
              <w:rPr>
                <w:rFonts w:ascii="宋体" w:hAnsi="宋体"/>
                <w:sz w:val="24"/>
                <w:lang w:val="zh-CN"/>
              </w:rPr>
            </w:pPr>
            <w:r>
              <w:rPr>
                <w:rFonts w:hint="eastAsia" w:ascii="宋体" w:hAnsi="宋体"/>
                <w:sz w:val="24"/>
                <w:lang w:val="zh-CN"/>
              </w:rPr>
              <w:t>管线测量→管槽开挖→管道连接→管道敷设→井室砌筑和阀门安装→管沟回填→管道水压试验→管道冲洗与消毒</w:t>
            </w:r>
          </w:p>
          <w:p>
            <w:pPr>
              <w:spacing w:line="360" w:lineRule="auto"/>
              <w:ind w:firstLine="560"/>
              <w:rPr>
                <w:rFonts w:ascii="宋体" w:hAnsi="宋体"/>
                <w:sz w:val="24"/>
                <w:lang w:val="zh-CN"/>
              </w:rPr>
            </w:pPr>
            <w:r>
              <w:rPr>
                <w:rFonts w:hint="eastAsia" w:ascii="宋体" w:hAnsi="宋体"/>
                <w:sz w:val="24"/>
                <w:lang w:val="zh-CN"/>
              </w:rPr>
              <w:t>2、管线测量</w:t>
            </w:r>
          </w:p>
          <w:p>
            <w:pPr>
              <w:spacing w:line="360" w:lineRule="auto"/>
              <w:ind w:firstLine="560"/>
              <w:rPr>
                <w:rFonts w:ascii="宋体" w:hAnsi="宋体"/>
                <w:sz w:val="24"/>
                <w:lang w:val="zh-CN"/>
              </w:rPr>
            </w:pPr>
            <w:r>
              <w:rPr>
                <w:rFonts w:hint="eastAsia" w:ascii="宋体" w:hAnsi="宋体"/>
                <w:sz w:val="24"/>
                <w:lang w:val="zh-CN"/>
              </w:rPr>
              <w:t>1）测量放线：首先根据建设单位移交的坐标点及高程点，设计施工现场测量简图。</w:t>
            </w:r>
          </w:p>
          <w:p>
            <w:pPr>
              <w:spacing w:line="360" w:lineRule="auto"/>
              <w:ind w:firstLine="560"/>
              <w:rPr>
                <w:rFonts w:ascii="宋体" w:hAnsi="宋体"/>
                <w:sz w:val="24"/>
                <w:lang w:val="zh-CN"/>
              </w:rPr>
            </w:pPr>
            <w:r>
              <w:rPr>
                <w:rFonts w:hint="eastAsia" w:ascii="宋体" w:hAnsi="宋体"/>
                <w:sz w:val="24"/>
                <w:lang w:val="zh-CN"/>
              </w:rPr>
              <w:t>2）将控制坐标点引测至施工现场，做好标记，并加以保护。</w:t>
            </w:r>
          </w:p>
          <w:p>
            <w:pPr>
              <w:spacing w:line="360" w:lineRule="auto"/>
              <w:ind w:firstLine="560"/>
              <w:rPr>
                <w:rFonts w:ascii="宋体" w:hAnsi="宋体"/>
                <w:sz w:val="24"/>
                <w:lang w:val="zh-CN"/>
              </w:rPr>
            </w:pPr>
            <w:r>
              <w:rPr>
                <w:rFonts w:hint="eastAsia" w:ascii="宋体" w:hAnsi="宋体"/>
                <w:sz w:val="24"/>
                <w:lang w:val="zh-CN"/>
              </w:rPr>
              <w:t>3）按照工程特点的要求引测局部控制点。</w:t>
            </w:r>
          </w:p>
          <w:p>
            <w:pPr>
              <w:spacing w:line="360" w:lineRule="auto"/>
              <w:ind w:firstLine="560"/>
              <w:rPr>
                <w:rFonts w:ascii="宋体" w:hAnsi="宋体"/>
                <w:sz w:val="24"/>
                <w:lang w:val="zh-CN"/>
              </w:rPr>
            </w:pPr>
            <w:r>
              <w:rPr>
                <w:rFonts w:hint="eastAsia" w:ascii="宋体" w:hAnsi="宋体"/>
                <w:sz w:val="24"/>
                <w:lang w:val="zh-CN"/>
              </w:rPr>
              <w:t>4）进行施工沟槽中线及边线的放置。</w:t>
            </w:r>
          </w:p>
          <w:p>
            <w:pPr>
              <w:spacing w:line="360" w:lineRule="auto"/>
              <w:ind w:firstLine="560"/>
              <w:rPr>
                <w:rFonts w:ascii="宋体" w:hAnsi="宋体"/>
                <w:sz w:val="24"/>
                <w:lang w:val="zh-CN"/>
              </w:rPr>
            </w:pPr>
            <w:r>
              <w:rPr>
                <w:rFonts w:hint="eastAsia" w:ascii="宋体" w:hAnsi="宋体"/>
                <w:sz w:val="24"/>
                <w:lang w:val="zh-CN"/>
              </w:rPr>
              <w:t>5）测量管底标高。</w:t>
            </w:r>
          </w:p>
          <w:p>
            <w:pPr>
              <w:spacing w:line="360" w:lineRule="auto"/>
              <w:ind w:firstLine="560"/>
              <w:rPr>
                <w:rFonts w:ascii="宋体" w:hAnsi="宋体"/>
                <w:sz w:val="24"/>
                <w:lang w:val="zh-CN"/>
              </w:rPr>
            </w:pPr>
            <w:r>
              <w:rPr>
                <w:rFonts w:hint="eastAsia" w:ascii="宋体" w:hAnsi="宋体"/>
                <w:sz w:val="24"/>
                <w:lang w:val="zh-CN"/>
              </w:rPr>
              <w:t>6）测量中室底高程。</w:t>
            </w:r>
          </w:p>
          <w:p>
            <w:pPr>
              <w:spacing w:line="360" w:lineRule="auto"/>
              <w:ind w:firstLine="560"/>
              <w:rPr>
                <w:rFonts w:ascii="宋体" w:hAnsi="宋体"/>
                <w:sz w:val="24"/>
                <w:lang w:val="zh-CN"/>
              </w:rPr>
            </w:pPr>
            <w:r>
              <w:rPr>
                <w:rFonts w:hint="eastAsia" w:ascii="宋体" w:hAnsi="宋体"/>
                <w:sz w:val="24"/>
                <w:lang w:val="zh-CN"/>
              </w:rPr>
              <w:t>3、管槽开挖</w:t>
            </w:r>
          </w:p>
          <w:p>
            <w:pPr>
              <w:spacing w:line="360" w:lineRule="auto"/>
              <w:ind w:firstLine="560"/>
              <w:rPr>
                <w:rFonts w:ascii="宋体" w:hAnsi="宋体"/>
                <w:sz w:val="24"/>
                <w:lang w:val="zh-CN"/>
              </w:rPr>
            </w:pPr>
            <w:r>
              <w:rPr>
                <w:rFonts w:hint="eastAsia" w:ascii="宋体" w:hAnsi="宋体"/>
                <w:sz w:val="24"/>
                <w:lang w:val="zh-CN"/>
              </w:rPr>
              <w:t>1）沟槽开槽采用机械为主，人工配合的方式进行。开挖沟槽的土方堆放至两侧，堆土距开挖边线不小于1.5m，推土高度不大于1m，开挖沟槽底部土层确保不被拢动，沟槽开挖应预留20cm左右保护层，用人工清理。</w:t>
            </w:r>
          </w:p>
          <w:p>
            <w:pPr>
              <w:spacing w:line="360" w:lineRule="auto"/>
              <w:ind w:firstLine="560"/>
              <w:rPr>
                <w:rFonts w:ascii="宋体" w:hAnsi="宋体"/>
                <w:sz w:val="24"/>
                <w:lang w:val="zh-CN"/>
              </w:rPr>
            </w:pPr>
            <w:r>
              <w:rPr>
                <w:rFonts w:hint="eastAsia" w:ascii="宋体" w:hAnsi="宋体"/>
                <w:sz w:val="24"/>
                <w:lang w:val="zh-CN"/>
              </w:rPr>
              <w:t>2）管槽开挖以直线为宜，槽底开挖宽度为DN+0.4m。遇到管道在地下连接时，应适当增加接口处槽底宽度，管道槽底不宜小于DN+0.5m，以方便安装对接为宜。</w:t>
            </w:r>
          </w:p>
          <w:p>
            <w:pPr>
              <w:spacing w:line="360" w:lineRule="auto"/>
              <w:ind w:firstLine="560"/>
              <w:rPr>
                <w:rFonts w:ascii="宋体" w:hAnsi="宋体"/>
                <w:sz w:val="24"/>
                <w:lang w:val="zh-CN"/>
              </w:rPr>
            </w:pPr>
            <w:r>
              <w:rPr>
                <w:rFonts w:hint="eastAsia" w:ascii="宋体" w:hAnsi="宋体"/>
                <w:sz w:val="24"/>
                <w:lang w:val="zh-CN"/>
              </w:rPr>
              <w:t>3）机械开挖时地下障碍物外沿各1.5m内必须由人工开挖，人工开挖管槽时，要求沟槽底部平整、密实，无尖锐物体。沟底可以有起伏，但必须平滑地支撑管材，若有超挖时，必须回填夯实。</w:t>
            </w:r>
          </w:p>
          <w:p>
            <w:pPr>
              <w:spacing w:line="360" w:lineRule="auto"/>
              <w:ind w:firstLine="560"/>
              <w:rPr>
                <w:rFonts w:ascii="宋体" w:hAnsi="宋体"/>
                <w:sz w:val="24"/>
                <w:lang w:val="zh-CN"/>
              </w:rPr>
            </w:pPr>
            <w:r>
              <w:rPr>
                <w:rFonts w:hint="eastAsia" w:ascii="宋体" w:hAnsi="宋体"/>
                <w:sz w:val="24"/>
                <w:lang w:val="zh-CN"/>
              </w:rPr>
              <w:t xml:space="preserve">4）开槽后及时约请各有关人员验槽，沟槽的基底标高、坡度、宽度、轴线位置、基底土质必须符合设计要求方可进行下道工序。如遇槽底土基不符合设计要求，及时与设计、监理单位及地勘部门联系，共同研究基底处理措施，方可进行下道工序。 </w:t>
            </w:r>
          </w:p>
          <w:p>
            <w:pPr>
              <w:spacing w:line="360" w:lineRule="auto"/>
              <w:ind w:firstLine="560"/>
              <w:rPr>
                <w:rFonts w:ascii="宋体" w:hAnsi="宋体"/>
                <w:sz w:val="24"/>
                <w:lang w:val="zh-CN"/>
              </w:rPr>
            </w:pPr>
            <w:r>
              <w:rPr>
                <w:rFonts w:hint="eastAsia" w:ascii="宋体" w:hAnsi="宋体"/>
                <w:sz w:val="24"/>
                <w:lang w:val="zh-CN"/>
              </w:rPr>
              <w:t>5）石方开挖均采用从上至下，分层开挖的程序施工。选用10m³移动空压机供风，手风钻钻孔，人工集渣、装渣，小四轮拖拉机出渣。局部修边，底部的石方由人工开挖，弃渣运至指定渣场堆放。</w:t>
            </w:r>
          </w:p>
          <w:p>
            <w:pPr>
              <w:spacing w:line="360" w:lineRule="auto"/>
              <w:ind w:firstLine="560"/>
              <w:rPr>
                <w:rFonts w:ascii="宋体" w:hAnsi="宋体"/>
                <w:sz w:val="24"/>
                <w:lang w:val="zh-CN"/>
              </w:rPr>
            </w:pPr>
            <w:r>
              <w:rPr>
                <w:rFonts w:hint="eastAsia" w:ascii="宋体" w:hAnsi="宋体"/>
                <w:sz w:val="24"/>
                <w:lang w:val="zh-CN"/>
              </w:rPr>
              <w:t>4、管道连接</w:t>
            </w:r>
          </w:p>
          <w:p>
            <w:pPr>
              <w:spacing w:line="360" w:lineRule="auto"/>
              <w:ind w:firstLine="560"/>
              <w:rPr>
                <w:rFonts w:ascii="宋体" w:hAnsi="宋体"/>
                <w:sz w:val="24"/>
                <w:lang w:val="zh-CN"/>
              </w:rPr>
            </w:pPr>
            <w:r>
              <w:rPr>
                <w:rFonts w:hint="eastAsia" w:ascii="宋体" w:hAnsi="宋体"/>
                <w:sz w:val="24"/>
                <w:lang w:val="zh-CN"/>
              </w:rPr>
              <w:t>PE给水管道有热熔连接和电熔连接。热熔连接又分热熔承插连接和热熔对接连接，电熔连接分为电熔承插连接和电熔鞍型连接。设计采用热熔对接连接方式施工，它的主要步骤有：</w:t>
            </w:r>
          </w:p>
          <w:p>
            <w:pPr>
              <w:spacing w:line="360" w:lineRule="auto"/>
              <w:ind w:firstLine="560"/>
              <w:rPr>
                <w:rFonts w:ascii="宋体" w:hAnsi="宋体"/>
                <w:sz w:val="24"/>
                <w:lang w:val="zh-CN"/>
              </w:rPr>
            </w:pPr>
            <w:r>
              <w:rPr>
                <w:rFonts w:hint="eastAsia" w:ascii="宋体" w:hAnsi="宋体"/>
                <w:sz w:val="24"/>
                <w:lang w:val="zh-CN"/>
              </w:rPr>
              <w:t>1）材料准备：将管道或管材至于平坦位置，放于对接机上，留足10-20mm的切削余量。</w:t>
            </w:r>
          </w:p>
          <w:p>
            <w:pPr>
              <w:spacing w:line="360" w:lineRule="auto"/>
              <w:ind w:firstLine="560"/>
              <w:rPr>
                <w:rFonts w:ascii="宋体" w:hAnsi="宋体"/>
                <w:sz w:val="24"/>
                <w:lang w:val="zh-CN"/>
              </w:rPr>
            </w:pPr>
            <w:r>
              <w:rPr>
                <w:rFonts w:hint="eastAsia" w:ascii="宋体" w:hAnsi="宋体"/>
                <w:sz w:val="24"/>
                <w:lang w:val="zh-CN"/>
              </w:rPr>
              <w:t>2）夹紧：根据所焊制的管段、管件选择合适的卡瓦夹具，夹紧管材，为切削做好准备。</w:t>
            </w:r>
          </w:p>
          <w:p>
            <w:pPr>
              <w:spacing w:line="360" w:lineRule="auto"/>
              <w:ind w:firstLine="560"/>
              <w:rPr>
                <w:rFonts w:ascii="宋体" w:hAnsi="宋体"/>
                <w:sz w:val="24"/>
                <w:lang w:val="zh-CN"/>
              </w:rPr>
            </w:pPr>
            <w:r>
              <w:rPr>
                <w:rFonts w:hint="eastAsia" w:ascii="宋体" w:hAnsi="宋体"/>
                <w:sz w:val="24"/>
                <w:lang w:val="zh-CN"/>
              </w:rPr>
              <w:t>3）切削：切削所焊管段、管件端面杂质和氧化层，保证两对接端面平整、光洁、无杂质。</w:t>
            </w:r>
          </w:p>
          <w:p>
            <w:pPr>
              <w:spacing w:line="360" w:lineRule="auto"/>
              <w:ind w:firstLine="560"/>
              <w:rPr>
                <w:rFonts w:ascii="宋体" w:hAnsi="宋体"/>
                <w:sz w:val="24"/>
                <w:lang w:val="zh-CN"/>
              </w:rPr>
            </w:pPr>
            <w:r>
              <w:rPr>
                <w:rFonts w:hint="eastAsia" w:ascii="宋体" w:hAnsi="宋体"/>
                <w:sz w:val="24"/>
                <w:lang w:val="zh-CN"/>
              </w:rPr>
              <w:t>4）对中：两焊管段断面要完全对中，错边越小越好，错边不能超过壁厚的10%。否则将影响对接质量。</w:t>
            </w:r>
          </w:p>
          <w:p>
            <w:pPr>
              <w:spacing w:line="360" w:lineRule="auto"/>
              <w:ind w:firstLine="560"/>
              <w:rPr>
                <w:rFonts w:ascii="宋体" w:hAnsi="宋体"/>
                <w:sz w:val="24"/>
                <w:lang w:val="zh-CN"/>
              </w:rPr>
            </w:pPr>
            <w:r>
              <w:rPr>
                <w:rFonts w:hint="eastAsia" w:ascii="宋体" w:hAnsi="宋体"/>
                <w:sz w:val="24"/>
                <w:lang w:val="zh-CN"/>
              </w:rPr>
              <w:t>5）加热：对接温度一般在121-2300C</w:t>
            </w:r>
            <w:r>
              <w:rPr>
                <w:rFonts w:hint="eastAsia" w:ascii="宋体" w:hAnsi="宋体"/>
                <w:sz w:val="24"/>
                <w:vertAlign w:val="superscript"/>
              </w:rPr>
              <w:t>o</w:t>
            </w:r>
            <w:r>
              <w:rPr>
                <w:rFonts w:hint="eastAsia" w:ascii="宋体" w:hAnsi="宋体"/>
                <w:sz w:val="24"/>
                <w:lang w:val="zh-CN"/>
              </w:rPr>
              <w:t>之间为宜，加热板和加热时间冬夏有别，以两端面熔融长度为1-2mm为佳。</w:t>
            </w:r>
          </w:p>
          <w:p>
            <w:pPr>
              <w:spacing w:line="360" w:lineRule="auto"/>
              <w:ind w:firstLine="560"/>
              <w:rPr>
                <w:rFonts w:ascii="宋体" w:hAnsi="宋体"/>
                <w:sz w:val="24"/>
                <w:lang w:val="zh-CN"/>
              </w:rPr>
            </w:pPr>
            <w:r>
              <w:rPr>
                <w:rFonts w:hint="eastAsia" w:ascii="宋体" w:hAnsi="宋体"/>
                <w:sz w:val="24"/>
                <w:lang w:val="zh-CN"/>
              </w:rPr>
              <w:t>6）切换：将加热板拿开，迅速让两热融端面相粘并加压，为保证熔融对接质量，切换周期越短越好。</w:t>
            </w:r>
          </w:p>
          <w:p>
            <w:pPr>
              <w:spacing w:line="360" w:lineRule="auto"/>
              <w:ind w:firstLine="560"/>
              <w:rPr>
                <w:rFonts w:ascii="宋体" w:hAnsi="宋体"/>
                <w:sz w:val="24"/>
                <w:lang w:val="zh-CN"/>
              </w:rPr>
            </w:pPr>
            <w:r>
              <w:rPr>
                <w:rFonts w:hint="eastAsia" w:ascii="宋体" w:hAnsi="宋体"/>
                <w:sz w:val="24"/>
                <w:lang w:val="zh-CN"/>
              </w:rPr>
              <w:t>7）熔融对接：是焊接的关键，对接过程应始终处于熔融压力下进行，卷边宽度一2-4mm为宜。</w:t>
            </w:r>
          </w:p>
          <w:p>
            <w:pPr>
              <w:spacing w:line="360" w:lineRule="auto"/>
              <w:ind w:firstLine="560"/>
              <w:rPr>
                <w:rFonts w:ascii="宋体" w:hAnsi="宋体"/>
                <w:sz w:val="24"/>
                <w:lang w:val="zh-CN"/>
              </w:rPr>
            </w:pPr>
            <w:r>
              <w:rPr>
                <w:rFonts w:hint="eastAsia" w:ascii="宋体" w:hAnsi="宋体"/>
                <w:sz w:val="24"/>
                <w:lang w:val="zh-CN"/>
              </w:rPr>
              <w:t>8）冷却：保持对接压力不变，让接口缓慢冷却，冷却时间长短以手摸卷边生硬，感觉不到热为准。</w:t>
            </w:r>
          </w:p>
          <w:p>
            <w:pPr>
              <w:spacing w:line="360" w:lineRule="auto"/>
              <w:ind w:firstLine="560"/>
              <w:rPr>
                <w:rFonts w:ascii="宋体" w:hAnsi="宋体"/>
                <w:sz w:val="24"/>
                <w:lang w:val="zh-CN"/>
              </w:rPr>
            </w:pPr>
            <w:r>
              <w:rPr>
                <w:rFonts w:hint="eastAsia" w:ascii="宋体" w:hAnsi="宋体"/>
                <w:sz w:val="24"/>
                <w:lang w:val="zh-CN"/>
              </w:rPr>
              <w:t>9）对接完成：冷却好后松开卡瓦，移开对接机，重新准备下一接口连接。</w:t>
            </w:r>
          </w:p>
          <w:p>
            <w:pPr>
              <w:spacing w:line="360" w:lineRule="auto"/>
              <w:ind w:firstLine="560"/>
              <w:rPr>
                <w:rFonts w:ascii="宋体" w:hAnsi="宋体"/>
                <w:sz w:val="24"/>
                <w:lang w:val="zh-CN"/>
              </w:rPr>
            </w:pPr>
            <w:r>
              <w:rPr>
                <w:rFonts w:hint="eastAsia" w:ascii="宋体" w:hAnsi="宋体"/>
                <w:sz w:val="24"/>
                <w:lang w:val="zh-CN"/>
              </w:rPr>
              <w:t>5、管道敷设</w:t>
            </w:r>
          </w:p>
          <w:p>
            <w:pPr>
              <w:spacing w:line="360" w:lineRule="auto"/>
              <w:ind w:firstLine="560"/>
              <w:rPr>
                <w:rFonts w:ascii="宋体" w:hAnsi="宋体"/>
                <w:sz w:val="24"/>
                <w:lang w:val="zh-CN"/>
              </w:rPr>
            </w:pPr>
            <w:r>
              <w:rPr>
                <w:rFonts w:hint="eastAsia" w:ascii="宋体" w:hAnsi="宋体"/>
                <w:sz w:val="24"/>
                <w:lang w:val="zh-CN"/>
              </w:rPr>
              <w:t>1）管道铺设应在沟底标高和管道基础质量检查合格后进行，在铺设管道前要对管材、管件等重新作一次外观检查，发现有问题的管材、管件均不得采用。管道埋设采用地埋式，管底采用10cm厚砂垫层。</w:t>
            </w:r>
          </w:p>
          <w:p>
            <w:pPr>
              <w:spacing w:line="360" w:lineRule="auto"/>
              <w:ind w:firstLine="560"/>
              <w:rPr>
                <w:rFonts w:ascii="宋体" w:hAnsi="宋体"/>
                <w:sz w:val="24"/>
                <w:lang w:val="zh-CN"/>
              </w:rPr>
            </w:pPr>
            <w:r>
              <w:rPr>
                <w:rFonts w:hint="eastAsia" w:ascii="宋体" w:hAnsi="宋体"/>
                <w:sz w:val="24"/>
                <w:lang w:val="zh-CN"/>
              </w:rPr>
              <w:t>2）管道不得铺设在冻土上，铺设管道和管道试压过程中，应防止沟底冻结。</w:t>
            </w:r>
          </w:p>
          <w:p>
            <w:pPr>
              <w:spacing w:line="360" w:lineRule="auto"/>
              <w:ind w:firstLine="560"/>
              <w:rPr>
                <w:rFonts w:ascii="宋体" w:hAnsi="宋体"/>
                <w:sz w:val="24"/>
                <w:lang w:val="zh-CN"/>
              </w:rPr>
            </w:pPr>
            <w:r>
              <w:rPr>
                <w:rFonts w:hint="eastAsia" w:ascii="宋体" w:hAnsi="宋体"/>
                <w:sz w:val="24"/>
                <w:lang w:val="zh-CN"/>
              </w:rPr>
              <w:t>3）管材连接好后平稳放入沟槽内。部分回填、试压、全部回填。在条件允许下管径不大时，可将2或3根管在沟槽上接好，平稳放入沟槽内。</w:t>
            </w:r>
          </w:p>
          <w:p>
            <w:pPr>
              <w:spacing w:line="360" w:lineRule="auto"/>
              <w:ind w:firstLine="560"/>
              <w:rPr>
                <w:rFonts w:ascii="宋体" w:hAnsi="宋体"/>
                <w:sz w:val="24"/>
                <w:lang w:val="zh-CN"/>
              </w:rPr>
            </w:pPr>
            <w:r>
              <w:rPr>
                <w:rFonts w:hint="eastAsia" w:ascii="宋体" w:hAnsi="宋体"/>
                <w:sz w:val="24"/>
                <w:lang w:val="zh-CN"/>
              </w:rPr>
              <w:t>4）管材在吊动及放入沟内时，应采用可靠的软带吊具，平稳下沟，不与沟壁或沟底激烈碰撞，应防止划伤、扭曲或过大的拉伸和弯曲。</w:t>
            </w:r>
          </w:p>
          <w:p>
            <w:pPr>
              <w:spacing w:line="360" w:lineRule="auto"/>
              <w:ind w:firstLine="560"/>
              <w:rPr>
                <w:rFonts w:ascii="宋体" w:hAnsi="宋体"/>
                <w:sz w:val="24"/>
                <w:lang w:val="zh-CN"/>
              </w:rPr>
            </w:pPr>
            <w:r>
              <w:rPr>
                <w:rFonts w:hint="eastAsia" w:ascii="宋体" w:hAnsi="宋体"/>
                <w:sz w:val="24"/>
                <w:lang w:val="zh-CN"/>
              </w:rPr>
              <w:t>5）聚乙烯给水管道宜蛇形敷设，并可随地形弯曲敷设，其允许弯曲半径应符合规范规定。</w:t>
            </w:r>
          </w:p>
          <w:p>
            <w:pPr>
              <w:spacing w:line="360" w:lineRule="auto"/>
              <w:ind w:firstLine="560"/>
              <w:rPr>
                <w:rFonts w:ascii="宋体" w:hAnsi="宋体"/>
                <w:sz w:val="24"/>
                <w:lang w:val="zh-CN"/>
              </w:rPr>
            </w:pPr>
            <w:r>
              <w:rPr>
                <w:rFonts w:hint="eastAsia" w:ascii="宋体" w:hAnsi="宋体"/>
                <w:sz w:val="24"/>
                <w:lang w:val="zh-CN"/>
              </w:rPr>
              <w:t>6）当管材敷设采用拖管法时，拉力不得大于管材屈服拉伸强度的50%。由于PE管材本身具有较好的柔韧性和伸缩性，所有管道安装均未考虑伸缩节的安装。</w:t>
            </w:r>
          </w:p>
          <w:p>
            <w:pPr>
              <w:spacing w:line="360" w:lineRule="auto"/>
              <w:ind w:firstLine="560"/>
              <w:rPr>
                <w:rFonts w:ascii="宋体" w:hAnsi="宋体"/>
                <w:sz w:val="24"/>
                <w:lang w:val="zh-CN"/>
              </w:rPr>
            </w:pPr>
            <w:r>
              <w:rPr>
                <w:rFonts w:hint="eastAsia" w:ascii="宋体" w:hAnsi="宋体"/>
                <w:sz w:val="24"/>
                <w:lang w:val="zh-CN"/>
              </w:rPr>
              <w:t>7）在PE管道穿过铁路、公路时，应设钢筋混凝土套管，套管的最小直径为聚乙烯PE管道管径加200mm；管道穿过地下室或地下构筑物外墙时应采取严格的防水措施。在管道弯头、三通、渐缩接头、消防栓等处均用C20砼设置混凝土支墩，法兰阀门用砖砌支墩加固。</w:t>
            </w:r>
          </w:p>
          <w:p>
            <w:pPr>
              <w:spacing w:line="360" w:lineRule="auto"/>
              <w:ind w:firstLine="560"/>
              <w:rPr>
                <w:rFonts w:ascii="宋体" w:hAnsi="宋体"/>
                <w:sz w:val="24"/>
                <w:lang w:val="zh-CN"/>
              </w:rPr>
            </w:pPr>
            <w:r>
              <w:rPr>
                <w:rFonts w:hint="eastAsia" w:ascii="宋体" w:hAnsi="宋体"/>
                <w:sz w:val="24"/>
                <w:lang w:val="zh-CN"/>
              </w:rPr>
              <w:t>8）PE管道与金属阀门、消火栓连接处用钢塑转换装置，并需设阀门井，聚乙烯阀门连接可不设阀门井，但需设阀门护套管。在管路隆起部位或上坡地段均应设置排气阀，以减小气、水混压队管道的冲击。管道与排气阀的比例设计为1：8。</w:t>
            </w:r>
          </w:p>
          <w:p>
            <w:pPr>
              <w:spacing w:line="360" w:lineRule="auto"/>
              <w:ind w:firstLine="560"/>
              <w:rPr>
                <w:rFonts w:ascii="宋体" w:hAnsi="宋体"/>
                <w:sz w:val="24"/>
                <w:lang w:val="zh-CN"/>
              </w:rPr>
            </w:pPr>
            <w:r>
              <w:rPr>
                <w:rFonts w:hint="eastAsia" w:ascii="宋体" w:hAnsi="宋体"/>
                <w:sz w:val="24"/>
                <w:lang w:val="zh-CN"/>
              </w:rPr>
              <w:t>9）PE管道敷设时，宜沿着管线方向敷设钢筋混凝土标志桩，距管顶高度不小于0.3m。</w:t>
            </w:r>
          </w:p>
          <w:p>
            <w:pPr>
              <w:spacing w:line="360" w:lineRule="auto"/>
              <w:ind w:firstLine="560"/>
              <w:rPr>
                <w:rFonts w:ascii="宋体" w:hAnsi="宋体"/>
                <w:sz w:val="24"/>
                <w:lang w:val="zh-CN"/>
              </w:rPr>
            </w:pPr>
            <w:r>
              <w:rPr>
                <w:rFonts w:hint="eastAsia" w:ascii="宋体" w:hAnsi="宋体"/>
                <w:sz w:val="24"/>
                <w:lang w:val="zh-CN"/>
              </w:rPr>
              <w:t>10）管道安装和铺设工程中断时，应用木塞等将管口封闭，防止杂物进入。</w:t>
            </w:r>
          </w:p>
          <w:p>
            <w:pPr>
              <w:spacing w:line="360" w:lineRule="auto"/>
              <w:ind w:firstLine="560"/>
              <w:rPr>
                <w:rFonts w:ascii="宋体" w:hAnsi="宋体"/>
                <w:sz w:val="24"/>
                <w:lang w:val="zh-CN"/>
              </w:rPr>
            </w:pPr>
            <w:r>
              <w:rPr>
                <w:rFonts w:hint="eastAsia" w:ascii="宋体" w:hAnsi="宋体"/>
                <w:sz w:val="24"/>
                <w:lang w:val="zh-CN"/>
              </w:rPr>
              <w:t>11）管道埋设时，最小管顶覆土深度应符合下列要求：</w:t>
            </w:r>
          </w:p>
          <w:p>
            <w:pPr>
              <w:spacing w:line="360" w:lineRule="auto"/>
              <w:ind w:firstLine="560"/>
              <w:rPr>
                <w:rFonts w:ascii="宋体" w:hAnsi="宋体"/>
                <w:sz w:val="24"/>
                <w:lang w:val="zh-CN"/>
              </w:rPr>
            </w:pPr>
            <w:r>
              <w:rPr>
                <w:rFonts w:hint="eastAsia" w:ascii="宋体" w:hAnsi="宋体"/>
                <w:sz w:val="24"/>
                <w:lang w:val="zh-CN"/>
              </w:rPr>
              <w:t>（1）埋设在车行道下时，不应小于1.2m。</w:t>
            </w:r>
          </w:p>
          <w:p>
            <w:pPr>
              <w:spacing w:line="360" w:lineRule="auto"/>
              <w:ind w:firstLine="560"/>
              <w:rPr>
                <w:rFonts w:ascii="宋体" w:hAnsi="宋体"/>
                <w:sz w:val="24"/>
                <w:lang w:val="zh-CN"/>
              </w:rPr>
            </w:pPr>
            <w:r>
              <w:rPr>
                <w:rFonts w:hint="eastAsia" w:ascii="宋体" w:hAnsi="宋体"/>
                <w:sz w:val="24"/>
                <w:lang w:val="zh-CN"/>
              </w:rPr>
              <w:t>（2）埋设在人行道下时，不应小于1.0m。</w:t>
            </w:r>
          </w:p>
          <w:p>
            <w:pPr>
              <w:spacing w:line="360" w:lineRule="auto"/>
              <w:ind w:firstLine="560"/>
              <w:rPr>
                <w:rFonts w:ascii="宋体" w:hAnsi="宋体"/>
                <w:sz w:val="24"/>
                <w:lang w:val="zh-CN"/>
              </w:rPr>
            </w:pPr>
            <w:r>
              <w:rPr>
                <w:rFonts w:hint="eastAsia" w:ascii="宋体" w:hAnsi="宋体"/>
                <w:sz w:val="24"/>
                <w:lang w:val="zh-CN"/>
              </w:rPr>
              <w:t>12）当横穿车行道达不到设计深度时，应采取敷设钢制套管的措施进行保护。</w:t>
            </w:r>
          </w:p>
          <w:p>
            <w:pPr>
              <w:spacing w:line="360" w:lineRule="auto"/>
              <w:ind w:firstLine="560"/>
              <w:rPr>
                <w:rFonts w:ascii="宋体" w:hAnsi="宋体"/>
                <w:sz w:val="24"/>
                <w:lang w:val="zh-CN"/>
              </w:rPr>
            </w:pPr>
            <w:r>
              <w:rPr>
                <w:rFonts w:hint="eastAsia" w:ascii="宋体" w:hAnsi="宋体"/>
                <w:sz w:val="24"/>
                <w:lang w:val="zh-CN"/>
              </w:rPr>
              <w:t>13）管道改变方向时，可利用管材良好的柔性进行弯曲敷设，弯曲半径须符合下表要求，否则须使用弯头。</w:t>
            </w:r>
          </w:p>
          <w:p>
            <w:pPr>
              <w:spacing w:line="360" w:lineRule="auto"/>
              <w:ind w:firstLine="560"/>
              <w:jc w:val="center"/>
              <w:rPr>
                <w:rFonts w:ascii="宋体" w:hAnsi="宋体"/>
                <w:sz w:val="24"/>
                <w:lang w:val="zh-CN"/>
              </w:rPr>
            </w:pPr>
            <w:r>
              <w:rPr>
                <w:rFonts w:hint="eastAsia" w:ascii="宋体" w:hAnsi="宋体"/>
                <w:sz w:val="24"/>
                <w:lang w:val="zh-CN"/>
              </w:rPr>
              <w:t>管道公称外径D（mm）        允许弯曲半径R（mm）</w:t>
            </w:r>
          </w:p>
          <w:p>
            <w:pPr>
              <w:spacing w:line="360" w:lineRule="auto"/>
              <w:ind w:firstLine="560"/>
              <w:jc w:val="center"/>
              <w:rPr>
                <w:rFonts w:ascii="宋体" w:hAnsi="宋体"/>
                <w:sz w:val="24"/>
                <w:lang w:val="zh-CN"/>
              </w:rPr>
            </w:pPr>
            <w:r>
              <w:rPr>
                <w:rFonts w:hint="eastAsia" w:ascii="宋体" w:hAnsi="宋体"/>
                <w:sz w:val="24"/>
                <w:lang w:val="zh-CN"/>
              </w:rPr>
              <w:t>D≤50                            30D</w:t>
            </w:r>
          </w:p>
          <w:p>
            <w:pPr>
              <w:spacing w:line="360" w:lineRule="auto"/>
              <w:ind w:firstLine="560"/>
              <w:jc w:val="center"/>
              <w:rPr>
                <w:rFonts w:ascii="宋体" w:hAnsi="宋体"/>
                <w:sz w:val="24"/>
                <w:lang w:val="zh-CN"/>
              </w:rPr>
            </w:pPr>
            <w:r>
              <w:rPr>
                <w:rFonts w:hint="eastAsia" w:ascii="宋体" w:hAnsi="宋体"/>
                <w:sz w:val="24"/>
                <w:lang w:val="zh-CN"/>
              </w:rPr>
              <w:t>50＜D≤160                       50D</w:t>
            </w:r>
          </w:p>
          <w:p>
            <w:pPr>
              <w:spacing w:line="360" w:lineRule="auto"/>
              <w:ind w:firstLine="560"/>
              <w:jc w:val="center"/>
              <w:rPr>
                <w:rFonts w:ascii="宋体" w:hAnsi="宋体"/>
                <w:sz w:val="24"/>
                <w:lang w:val="zh-CN"/>
              </w:rPr>
            </w:pPr>
            <w:r>
              <w:rPr>
                <w:rFonts w:hint="eastAsia" w:ascii="宋体" w:hAnsi="宋体"/>
                <w:sz w:val="24"/>
                <w:lang w:val="zh-CN"/>
              </w:rPr>
              <w:t>160＜D≤250                      75D</w:t>
            </w:r>
          </w:p>
          <w:p>
            <w:pPr>
              <w:spacing w:line="360" w:lineRule="auto"/>
              <w:ind w:firstLine="560"/>
              <w:jc w:val="center"/>
              <w:rPr>
                <w:rFonts w:ascii="宋体" w:hAnsi="宋体"/>
                <w:sz w:val="24"/>
                <w:lang w:val="zh-CN"/>
              </w:rPr>
            </w:pPr>
            <w:r>
              <w:rPr>
                <w:rFonts w:hint="eastAsia" w:ascii="宋体" w:hAnsi="宋体"/>
                <w:sz w:val="24"/>
                <w:lang w:val="zh-CN"/>
              </w:rPr>
              <w:t>D﹥250                          100D</w:t>
            </w:r>
          </w:p>
          <w:p>
            <w:pPr>
              <w:spacing w:line="360" w:lineRule="auto"/>
              <w:ind w:firstLine="560"/>
              <w:rPr>
                <w:rFonts w:ascii="宋体" w:hAnsi="宋体"/>
                <w:sz w:val="24"/>
                <w:lang w:val="zh-CN"/>
              </w:rPr>
            </w:pPr>
            <w:r>
              <w:rPr>
                <w:rFonts w:hint="eastAsia" w:ascii="宋体" w:hAnsi="宋体"/>
                <w:sz w:val="24"/>
                <w:lang w:val="zh-CN"/>
              </w:rPr>
              <w:t>管道穿过井室时，将比PE管大一到二级管径的钢管或钢圈砌在井壁中作为套管，中间填充橡胶或粘土以形成柔性连接。</w:t>
            </w:r>
          </w:p>
          <w:p>
            <w:pPr>
              <w:spacing w:line="360" w:lineRule="auto"/>
              <w:ind w:firstLine="560"/>
              <w:rPr>
                <w:rFonts w:ascii="宋体" w:hAnsi="宋体"/>
                <w:sz w:val="24"/>
                <w:lang w:val="zh-CN"/>
              </w:rPr>
            </w:pPr>
            <w:r>
              <w:rPr>
                <w:rFonts w:hint="eastAsia" w:ascii="宋体" w:hAnsi="宋体"/>
                <w:sz w:val="24"/>
                <w:lang w:val="zh-CN"/>
              </w:rPr>
              <w:t>6、管沟回填</w:t>
            </w:r>
          </w:p>
          <w:p>
            <w:pPr>
              <w:spacing w:line="360" w:lineRule="auto"/>
              <w:ind w:firstLine="560"/>
              <w:rPr>
                <w:rFonts w:ascii="宋体" w:hAnsi="宋体"/>
                <w:sz w:val="24"/>
                <w:lang w:val="zh-CN"/>
              </w:rPr>
            </w:pPr>
            <w:r>
              <w:rPr>
                <w:rFonts w:hint="eastAsia" w:ascii="宋体" w:hAnsi="宋体"/>
                <w:sz w:val="24"/>
                <w:lang w:val="zh-CN"/>
              </w:rPr>
              <w:t>1）沟槽回填应在管道安装压水与验收合格后进行，回填时沟槽内不得有积水，严禁带水回填。</w:t>
            </w:r>
          </w:p>
          <w:p>
            <w:pPr>
              <w:spacing w:line="360" w:lineRule="auto"/>
              <w:ind w:firstLine="560"/>
              <w:rPr>
                <w:rFonts w:ascii="宋体" w:hAnsi="宋体"/>
                <w:sz w:val="24"/>
                <w:lang w:val="zh-CN"/>
              </w:rPr>
            </w:pPr>
            <w:r>
              <w:rPr>
                <w:rFonts w:hint="eastAsia" w:ascii="宋体" w:hAnsi="宋体"/>
                <w:sz w:val="24"/>
                <w:lang w:val="zh-CN"/>
              </w:rPr>
              <w:t xml:space="preserve">2）管道两侧回填高差不超过20cm。 </w:t>
            </w:r>
          </w:p>
          <w:p>
            <w:pPr>
              <w:spacing w:line="360" w:lineRule="auto"/>
              <w:ind w:firstLine="560"/>
              <w:rPr>
                <w:rFonts w:ascii="宋体" w:hAnsi="宋体"/>
                <w:sz w:val="24"/>
                <w:lang w:val="zh-CN"/>
              </w:rPr>
            </w:pPr>
            <w:r>
              <w:rPr>
                <w:rFonts w:hint="eastAsia" w:ascii="宋体" w:hAnsi="宋体"/>
                <w:sz w:val="24"/>
                <w:lang w:val="zh-CN"/>
              </w:rPr>
              <w:t xml:space="preserve">3）回填分层进行。管道两侧和管顶以上50cm用木夯夯实，每层虚铺厚度不大于20cm；管顶以上 50cm 至地面用蛙式打夯机夯实，每层虚铺厚度20-25cm；应做到夯夯相连，一夯压半夯。 </w:t>
            </w:r>
          </w:p>
          <w:p>
            <w:pPr>
              <w:spacing w:line="360" w:lineRule="auto"/>
              <w:ind w:firstLine="560"/>
              <w:rPr>
                <w:rFonts w:ascii="宋体" w:hAnsi="宋体"/>
                <w:sz w:val="24"/>
                <w:lang w:val="zh-CN"/>
              </w:rPr>
            </w:pPr>
            <w:r>
              <w:rPr>
                <w:rFonts w:hint="eastAsia" w:ascii="宋体" w:hAnsi="宋体"/>
                <w:sz w:val="24"/>
                <w:lang w:val="zh-CN"/>
              </w:rPr>
              <w:t xml:space="preserve">4）分段回填时，相邻两段接茬呈阶梯形。 </w:t>
            </w:r>
          </w:p>
          <w:p>
            <w:pPr>
              <w:spacing w:line="360" w:lineRule="auto"/>
              <w:ind w:firstLine="560"/>
              <w:rPr>
                <w:rFonts w:ascii="宋体" w:hAnsi="宋体"/>
                <w:sz w:val="24"/>
                <w:lang w:val="zh-CN"/>
              </w:rPr>
            </w:pPr>
            <w:r>
              <w:rPr>
                <w:rFonts w:hint="eastAsia" w:ascii="宋体" w:hAnsi="宋体"/>
                <w:sz w:val="24"/>
                <w:lang w:val="zh-CN"/>
              </w:rPr>
              <w:t xml:space="preserve">5）回填土不得有石块、房渣土等不能夯实的土质，防腐层周围用细土回填，检查井周围采用石灰土回填。 </w:t>
            </w:r>
          </w:p>
          <w:p>
            <w:pPr>
              <w:spacing w:line="360" w:lineRule="auto"/>
              <w:ind w:firstLine="560"/>
              <w:rPr>
                <w:rFonts w:ascii="宋体" w:hAnsi="宋体"/>
                <w:sz w:val="24"/>
                <w:lang w:val="zh-CN"/>
              </w:rPr>
            </w:pPr>
            <w:r>
              <w:rPr>
                <w:rFonts w:hint="eastAsia" w:ascii="宋体" w:hAnsi="宋体"/>
                <w:sz w:val="24"/>
                <w:lang w:val="zh-CN"/>
              </w:rPr>
              <w:t xml:space="preserve">6）回填压实度标准:  </w:t>
            </w:r>
          </w:p>
          <w:p>
            <w:pPr>
              <w:spacing w:line="360" w:lineRule="auto"/>
              <w:ind w:firstLine="560"/>
              <w:rPr>
                <w:rFonts w:ascii="宋体" w:hAnsi="宋体"/>
                <w:sz w:val="24"/>
                <w:lang w:val="zh-CN"/>
              </w:rPr>
            </w:pPr>
            <w:r>
              <w:rPr>
                <w:rFonts w:hint="eastAsia" w:ascii="宋体" w:hAnsi="宋体"/>
                <w:sz w:val="24"/>
                <w:lang w:val="zh-CN"/>
              </w:rPr>
              <w:t>胸腔部分≥95％，管顶以上50cm范围内 ≥85％，其余部位≥90％，路面以下部分符合道路专业要求。</w:t>
            </w:r>
          </w:p>
          <w:p>
            <w:pPr>
              <w:spacing w:line="360" w:lineRule="auto"/>
              <w:ind w:firstLine="560"/>
              <w:rPr>
                <w:rFonts w:ascii="宋体" w:hAnsi="宋体"/>
                <w:sz w:val="24"/>
                <w:lang w:val="zh-CN"/>
              </w:rPr>
            </w:pPr>
            <w:r>
              <w:rPr>
                <w:rFonts w:hint="eastAsia" w:ascii="宋体" w:hAnsi="宋体"/>
                <w:sz w:val="24"/>
                <w:lang w:val="zh-CN"/>
              </w:rPr>
              <w:t>7、管道水压试验</w:t>
            </w:r>
          </w:p>
          <w:p>
            <w:pPr>
              <w:spacing w:line="360" w:lineRule="auto"/>
              <w:ind w:firstLine="560"/>
              <w:rPr>
                <w:rFonts w:ascii="宋体" w:hAnsi="宋体"/>
                <w:sz w:val="24"/>
                <w:lang w:val="zh-CN"/>
              </w:rPr>
            </w:pPr>
            <w:r>
              <w:rPr>
                <w:rFonts w:hint="eastAsia" w:ascii="宋体" w:hAnsi="宋体"/>
                <w:sz w:val="24"/>
                <w:lang w:val="zh-CN"/>
              </w:rPr>
              <w:t>1）本工程的施工单位需编制相关的试验方案，试验管道的后背、管道接口、采用的设备、仪表规格及其安装、附属设备安装、管道回填土和准备工作均符合GB50268-2008中的有关规定。</w:t>
            </w:r>
          </w:p>
          <w:p>
            <w:pPr>
              <w:spacing w:line="360" w:lineRule="auto"/>
              <w:ind w:firstLine="560"/>
              <w:rPr>
                <w:rFonts w:ascii="宋体" w:hAnsi="宋体"/>
                <w:sz w:val="24"/>
                <w:lang w:val="zh-CN"/>
              </w:rPr>
            </w:pPr>
            <w:r>
              <w:rPr>
                <w:rFonts w:hint="eastAsia" w:ascii="宋体" w:hAnsi="宋体"/>
                <w:sz w:val="24"/>
                <w:lang w:val="zh-CN"/>
              </w:rPr>
              <w:t>2）试验长度：普通PE管道水压试验的管段长度不宜大于1km。</w:t>
            </w:r>
          </w:p>
          <w:p>
            <w:pPr>
              <w:spacing w:line="360" w:lineRule="auto"/>
              <w:ind w:firstLine="560"/>
              <w:rPr>
                <w:rFonts w:ascii="宋体" w:hAnsi="宋体"/>
                <w:sz w:val="24"/>
                <w:lang w:val="zh-CN"/>
              </w:rPr>
            </w:pPr>
            <w:r>
              <w:rPr>
                <w:rFonts w:hint="eastAsia" w:ascii="宋体" w:hAnsi="宋体"/>
                <w:sz w:val="24"/>
                <w:lang w:val="zh-CN"/>
              </w:rPr>
              <w:t>3）灌水：管道水压试验前灌满水后，对管段进行浸泡24h以上。浸泡的水压不超过管道的工作压力。</w:t>
            </w:r>
          </w:p>
          <w:p>
            <w:pPr>
              <w:spacing w:line="360" w:lineRule="auto"/>
              <w:ind w:firstLine="560"/>
              <w:rPr>
                <w:rFonts w:ascii="宋体" w:hAnsi="宋体"/>
                <w:sz w:val="24"/>
                <w:lang w:val="zh-CN"/>
              </w:rPr>
            </w:pPr>
            <w:r>
              <w:rPr>
                <w:rFonts w:hint="eastAsia" w:ascii="宋体" w:hAnsi="宋体"/>
                <w:sz w:val="24"/>
                <w:lang w:val="zh-CN"/>
              </w:rPr>
              <w:t>4）试验压力：对于管道工作压力大于或等于0.1Mpa的普通PE管必须进行强度严密性试验。一般采用水压试验进行。管道工作压力≥0.1Mpa，试验压力取1.5P，且不小于0.8MPa。</w:t>
            </w:r>
          </w:p>
          <w:p>
            <w:pPr>
              <w:spacing w:line="360" w:lineRule="auto"/>
              <w:ind w:firstLine="560"/>
              <w:rPr>
                <w:rFonts w:ascii="宋体" w:hAnsi="宋体"/>
                <w:sz w:val="24"/>
                <w:lang w:val="zh-CN"/>
              </w:rPr>
            </w:pPr>
            <w:r>
              <w:rPr>
                <w:rFonts w:hint="eastAsia" w:ascii="宋体" w:hAnsi="宋体"/>
                <w:sz w:val="24"/>
                <w:lang w:val="zh-CN"/>
              </w:rPr>
              <w:t>5）预试验阶段：试压时，将管道内水压缓慢地升至试验压力并稳压30min，期间如有压力下降可注水补压，但不得高于试验压力；检查管道接口、配件等处有无漏水、损坏现象；有漏水、损坏现象时应及时停止试压，当无异常时，重新试压。</w:t>
            </w:r>
          </w:p>
          <w:p>
            <w:pPr>
              <w:spacing w:line="360" w:lineRule="auto"/>
              <w:ind w:firstLine="560"/>
              <w:rPr>
                <w:rFonts w:ascii="宋体" w:hAnsi="宋体"/>
                <w:sz w:val="24"/>
                <w:lang w:val="zh-CN"/>
              </w:rPr>
            </w:pPr>
            <w:r>
              <w:rPr>
                <w:rFonts w:hint="eastAsia" w:ascii="宋体" w:hAnsi="宋体"/>
                <w:sz w:val="24"/>
                <w:lang w:val="zh-CN"/>
              </w:rPr>
              <w:t>6）主试验阶段</w:t>
            </w:r>
          </w:p>
          <w:p>
            <w:pPr>
              <w:spacing w:line="360" w:lineRule="auto"/>
              <w:ind w:firstLine="560"/>
              <w:rPr>
                <w:rFonts w:ascii="宋体" w:hAnsi="宋体"/>
                <w:sz w:val="24"/>
                <w:lang w:val="zh-CN"/>
              </w:rPr>
            </w:pPr>
            <w:r>
              <w:rPr>
                <w:rFonts w:hint="eastAsia" w:ascii="宋体" w:hAnsi="宋体"/>
                <w:sz w:val="24"/>
                <w:lang w:val="zh-CN"/>
              </w:rPr>
              <w:t>（1）强度试验：管道强度试验在水压升至试验压力后，停止注水补压，保持恒压15min，其允许压力降≤0.02，将试验压力降至工作压力并保持恒压30min，检查管道接口、配件、管身，无破损及漏水现象时，管道强度试验确认合格。</w:t>
            </w:r>
          </w:p>
          <w:p>
            <w:pPr>
              <w:spacing w:line="360" w:lineRule="auto"/>
              <w:ind w:firstLine="560"/>
              <w:rPr>
                <w:rFonts w:ascii="宋体" w:hAnsi="宋体"/>
                <w:sz w:val="24"/>
                <w:lang w:val="zh-CN"/>
              </w:rPr>
            </w:pPr>
            <w:r>
              <w:rPr>
                <w:rFonts w:hint="eastAsia" w:ascii="宋体" w:hAnsi="宋体"/>
                <w:sz w:val="24"/>
                <w:lang w:val="zh-CN"/>
              </w:rPr>
              <w:t>（2）严密性试验：试验管体及接口不得有漏水现象，并可采用放水法或注水法试验测渗水量，其允许渗水量小于相关规定时，严密性试验合格。</w:t>
            </w:r>
          </w:p>
          <w:p>
            <w:pPr>
              <w:spacing w:line="360" w:lineRule="auto"/>
              <w:ind w:firstLine="560"/>
              <w:rPr>
                <w:rFonts w:ascii="宋体" w:hAnsi="宋体"/>
                <w:sz w:val="24"/>
                <w:lang w:val="zh-CN"/>
              </w:rPr>
            </w:pPr>
            <w:r>
              <w:rPr>
                <w:rFonts w:hint="eastAsia" w:ascii="宋体" w:hAnsi="宋体"/>
                <w:sz w:val="24"/>
                <w:lang w:val="zh-CN"/>
              </w:rPr>
              <w:t>8、管道冲洗与消毒</w:t>
            </w:r>
          </w:p>
          <w:p>
            <w:pPr>
              <w:spacing w:line="360" w:lineRule="auto"/>
              <w:ind w:firstLine="560"/>
              <w:rPr>
                <w:rFonts w:ascii="宋体" w:hAnsi="宋体"/>
                <w:sz w:val="24"/>
                <w:lang w:val="zh-CN"/>
              </w:rPr>
            </w:pPr>
            <w:r>
              <w:rPr>
                <w:rFonts w:hint="eastAsia" w:ascii="宋体" w:hAnsi="宋体"/>
                <w:sz w:val="24"/>
                <w:lang w:val="zh-CN"/>
              </w:rPr>
              <w:t>1）冲洗：冲洗水采用自来水，流速不小于1.0m/s，连续冲洗，直至出水口处浊度、色度与入水口冲洗水浊度、色度相同为止。冲洗应避开用水高峰，安排在管网用水量少、水压偏高的夜间进行、冲洗时保证排水管路畅通安全。</w:t>
            </w:r>
          </w:p>
          <w:p>
            <w:pPr>
              <w:spacing w:line="360" w:lineRule="auto"/>
              <w:ind w:firstLine="560"/>
              <w:rPr>
                <w:rFonts w:ascii="宋体" w:hAnsi="宋体"/>
                <w:sz w:val="24"/>
                <w:lang w:val="zh-CN"/>
              </w:rPr>
            </w:pPr>
            <w:r>
              <w:rPr>
                <w:rFonts w:hint="eastAsia" w:ascii="宋体" w:hAnsi="宋体"/>
                <w:sz w:val="24"/>
                <w:lang w:val="zh-CN"/>
              </w:rPr>
              <w:t>2）消毒：采用含氯水浸泡，含氯水应充满整个管道，氯离子浓度不低于20mg/L。管道灌注含氯水后，浸泡24h，再次冲洗，直至水质管理部门取样化验合格为止。</w:t>
            </w:r>
          </w:p>
          <w:p>
            <w:pPr>
              <w:spacing w:line="360" w:lineRule="auto"/>
              <w:ind w:firstLine="560"/>
              <w:rPr>
                <w:rFonts w:ascii="宋体" w:hAnsi="宋体"/>
                <w:sz w:val="24"/>
                <w:lang w:val="zh-CN"/>
              </w:rPr>
            </w:pPr>
            <w:r>
              <w:rPr>
                <w:rFonts w:hint="eastAsia" w:ascii="宋体" w:hAnsi="宋体"/>
                <w:sz w:val="24"/>
                <w:lang w:val="zh-CN"/>
              </w:rPr>
              <w:t>9、混凝土浇筑</w:t>
            </w:r>
          </w:p>
          <w:p>
            <w:pPr>
              <w:spacing w:line="360" w:lineRule="auto"/>
              <w:ind w:firstLine="560"/>
              <w:rPr>
                <w:rFonts w:ascii="宋体" w:hAnsi="宋体"/>
                <w:sz w:val="24"/>
                <w:lang w:val="zh-CN"/>
              </w:rPr>
            </w:pPr>
            <w:r>
              <w:rPr>
                <w:rFonts w:hint="eastAsia" w:ascii="宋体" w:hAnsi="宋体"/>
                <w:sz w:val="24"/>
                <w:lang w:val="zh-CN"/>
              </w:rPr>
              <w:t>1）混凝土浇筑前，要对砼保护层厚度控制层措施进行检查，本工程采用水泥砂浆垫块垫塞。</w:t>
            </w:r>
          </w:p>
          <w:p>
            <w:pPr>
              <w:spacing w:line="360" w:lineRule="auto"/>
              <w:ind w:firstLine="560"/>
              <w:rPr>
                <w:rFonts w:ascii="宋体" w:hAnsi="宋体"/>
                <w:sz w:val="24"/>
                <w:lang w:val="zh-CN"/>
              </w:rPr>
            </w:pPr>
            <w:r>
              <w:rPr>
                <w:rFonts w:hint="eastAsia" w:ascii="宋体" w:hAnsi="宋体"/>
                <w:sz w:val="24"/>
                <w:lang w:val="zh-CN"/>
              </w:rPr>
              <w:t>2）在浇筑砼前，模板和钢筋上的垃圾、泥土和钢筋下的油污等杂物必须清除干净，模板浇水湿润。</w:t>
            </w:r>
          </w:p>
          <w:p>
            <w:pPr>
              <w:spacing w:line="360" w:lineRule="auto"/>
              <w:ind w:firstLine="560"/>
              <w:rPr>
                <w:rFonts w:ascii="宋体" w:hAnsi="宋体"/>
                <w:sz w:val="24"/>
                <w:lang w:val="zh-CN"/>
              </w:rPr>
            </w:pPr>
            <w:r>
              <w:rPr>
                <w:rFonts w:hint="eastAsia" w:ascii="宋体" w:hAnsi="宋体"/>
                <w:sz w:val="24"/>
                <w:lang w:val="zh-CN"/>
              </w:rPr>
              <w:t>3）基础混凝土分层连续浇灌完成，每一台高度内应整分浇捣层，每浇筑完一台阶应稍停0.5-1.0h，使初步获得沉实，再浇筑上层，以防止下台阶混凝土溢起，在上台根部出现烂脖子，每一台阶浇完，表面用砂板抹平。施工缝留于基础顶面。</w:t>
            </w:r>
          </w:p>
          <w:p>
            <w:pPr>
              <w:spacing w:line="360" w:lineRule="auto"/>
              <w:ind w:firstLine="560"/>
              <w:rPr>
                <w:rFonts w:ascii="宋体" w:hAnsi="宋体"/>
                <w:sz w:val="24"/>
                <w:lang w:val="zh-CN"/>
              </w:rPr>
            </w:pPr>
            <w:r>
              <w:rPr>
                <w:rFonts w:hint="eastAsia" w:ascii="宋体" w:hAnsi="宋体"/>
                <w:sz w:val="24"/>
                <w:lang w:val="zh-CN"/>
              </w:rPr>
              <w:t>4）墩柱上部混凝土浇筑时，在顶部搭设操作平台，混凝土采用人工吊葫芦拉到操作平台处，用串筒将混凝土送入模板内，下料过程中防止发生离析现象。浇筑过程中，通过敲击墩柱模板辨别砼浇筑的位置，并通过柱身的检查口查看混凝土的浇筑情况，防止发生空柱、狗洞现象。</w:t>
            </w:r>
          </w:p>
          <w:p>
            <w:pPr>
              <w:spacing w:line="360" w:lineRule="auto"/>
              <w:ind w:firstLine="560"/>
              <w:rPr>
                <w:rFonts w:ascii="宋体" w:hAnsi="宋体"/>
                <w:sz w:val="24"/>
                <w:lang w:val="zh-CN"/>
              </w:rPr>
            </w:pPr>
            <w:r>
              <w:rPr>
                <w:rFonts w:hint="eastAsia" w:ascii="宋体" w:hAnsi="宋体"/>
                <w:sz w:val="24"/>
                <w:lang w:val="zh-CN"/>
              </w:rPr>
              <w:t>5）砼浇捣完毕，须在12h内浇水养护，并应考虑温度的因素，采用热水养护及保温措施，使砼强度保持正常增长。分别采取相应措施进行认真养护。柱梁用麻袋包裹，现浇板用麻袋覆盖，可以取得较好的养护效果。</w:t>
            </w:r>
          </w:p>
          <w:p>
            <w:pPr>
              <w:spacing w:line="360" w:lineRule="auto"/>
              <w:ind w:firstLine="560"/>
              <w:rPr>
                <w:rFonts w:ascii="宋体" w:hAnsi="宋体"/>
                <w:sz w:val="24"/>
                <w:lang w:val="zh-CN"/>
              </w:rPr>
            </w:pPr>
            <w:r>
              <w:rPr>
                <w:rFonts w:hint="eastAsia" w:ascii="宋体" w:hAnsi="宋体"/>
                <w:sz w:val="24"/>
                <w:lang w:val="zh-CN"/>
              </w:rPr>
              <w:t>6）混凝土试块的留置</w:t>
            </w:r>
          </w:p>
          <w:p>
            <w:pPr>
              <w:spacing w:line="360" w:lineRule="auto"/>
              <w:ind w:firstLine="560"/>
              <w:rPr>
                <w:rFonts w:ascii="宋体" w:hAnsi="宋体"/>
                <w:sz w:val="24"/>
                <w:lang w:val="zh-CN"/>
              </w:rPr>
            </w:pPr>
            <w:r>
              <w:rPr>
                <w:rFonts w:hint="eastAsia" w:ascii="宋体" w:hAnsi="宋体"/>
                <w:sz w:val="24"/>
                <w:lang w:val="zh-CN"/>
              </w:rPr>
              <w:t>混凝土试件在混凝土浇筑地点随机抽取，每100m³混凝土（每一工作班）取样不得少于一次；每次取样至少留置一组标准试件，同条件养护试件的留置组数应根据实际需要确定。如使用的原材料、配合比或施工方法有变化时，均应另行留置试块。</w:t>
            </w:r>
          </w:p>
          <w:p>
            <w:pPr>
              <w:spacing w:line="360" w:lineRule="auto"/>
              <w:ind w:firstLine="560"/>
              <w:rPr>
                <w:rFonts w:ascii="宋体" w:hAnsi="宋体"/>
                <w:sz w:val="24"/>
                <w:lang w:val="zh-CN"/>
              </w:rPr>
            </w:pPr>
            <w:r>
              <w:rPr>
                <w:rFonts w:hint="eastAsia" w:ascii="宋体" w:hAnsi="宋体"/>
                <w:sz w:val="24"/>
                <w:lang w:val="zh-CN"/>
              </w:rPr>
              <w:t>7）施工缝留设</w:t>
            </w:r>
          </w:p>
          <w:p>
            <w:pPr>
              <w:spacing w:line="360" w:lineRule="auto"/>
              <w:ind w:firstLine="480" w:firstLineChars="200"/>
              <w:rPr>
                <w:rFonts w:asciiTheme="minorEastAsia" w:hAnsiTheme="minorEastAsia"/>
                <w:sz w:val="24"/>
              </w:rPr>
            </w:pPr>
            <w:r>
              <w:rPr>
                <w:rFonts w:hint="eastAsia" w:ascii="宋体" w:hAnsi="宋体"/>
                <w:sz w:val="24"/>
                <w:lang w:val="zh-CN"/>
              </w:rPr>
              <w:t>管墩砼分2次浇筑，施工缝留设于基础顶面。在浇筑留设施工缝接头砼前应剔除表面松散砼，浇水湿润并冲洗干净，不得有积水。再在接头部填以5-10cm厚同标号水泥砂浆，然后分层进行浇筑砼，分层厚度应控制在40cm左右。</w:t>
            </w:r>
          </w:p>
          <w:p>
            <w:pPr>
              <w:spacing w:line="360" w:lineRule="auto"/>
              <w:ind w:firstLine="480" w:firstLineChars="200"/>
              <w:rPr>
                <w:rFonts w:asciiTheme="minorEastAsia" w:hAnsiTheme="minorEastAsia"/>
                <w:b/>
                <w:sz w:val="24"/>
              </w:rPr>
            </w:pPr>
            <w:r>
              <w:rPr>
                <w:rFonts w:hint="eastAsia" w:asciiTheme="minorEastAsia" w:hAnsiTheme="minorEastAsia"/>
                <w:b/>
                <w:sz w:val="24"/>
              </w:rPr>
              <w:t>（三）抗冻设计</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寒冷地区，管顶应埋设于冻深线以下15cm，特殊情况不能深埋，用保温材料包裹；穿越道路、农田、或沿道路铺设时，管顶覆土不小于1.0 m。本设计属于冰冻区，拟定埋深1.2m.。管道沿线必须外露的部分，要使用聚氨酯泡沫保温，外部用石棉布、沥青马蹄脂防护。</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由于松潘县海拔较高，冬季温度较低，故在设计时考虑混凝土的抗冻设计。</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1．抗冻混凝土所用原材料应符合下列规定：</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（1）应选用硅酸盐水泥或普通硅酸盐水泥，不宜使用火山灰质硅酸盐水泥。</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（2）宜选用连续级配的粗骨料，其含泥量不得大于1.0%，泥块含量不得大于0.5%。</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（3）细骨料含泥量不得大于3.0%，泥块含量不得大于1.0%。</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（4）抗冻等级F100及以上的混凝土所用的粗骨料和细骨料均应进行坚固性试验，并应符合现行行业标准《普通混凝土用碎石或卵石质量标准及检验方法》（JGJ 53）及《普通混凝土用砂质量标准及检验方法》（JGJ 52）的规定。</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（5）抗冻混凝土宜采用减水剂，对抗冻等级F100及以上的混凝土应掺引气剂，掺用后混凝土的含气量应符合普通混凝土配合比设计的规定。</w:t>
            </w:r>
          </w:p>
          <w:p>
            <w:pPr>
              <w:tabs>
                <w:tab w:val="left" w:pos="180"/>
              </w:tabs>
              <w:adjustRightInd w:val="0"/>
              <w:snapToGrid w:val="0"/>
              <w:spacing w:line="360" w:lineRule="auto"/>
              <w:ind w:firstLine="600" w:firstLineChars="250"/>
              <w:jc w:val="left"/>
              <w:rPr>
                <w:rFonts w:hAnsi="宋体"/>
                <w:sz w:val="24"/>
              </w:rPr>
            </w:pPr>
            <w:r>
              <w:rPr>
                <w:rFonts w:hint="eastAsia" w:hAnsi="宋体"/>
                <w:sz w:val="24"/>
              </w:rPr>
              <w:t>2．混凝土配合比的计算方法和试配步骤除应遵守普通混凝土配合比设计规定外，供试配用的最大水灰比尚应符合下表的规定。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表1-11  抗冻混凝土的最大水灰比</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FFFFFF"/>
              <w:tblLayout w:type="fixed"/>
              <w:tblCellMar>
                <w:top w:w="0" w:type="dxa"/>
                <w:left w:w="0" w:type="dxa"/>
                <w:bottom w:w="0" w:type="dxa"/>
                <w:right w:w="0" w:type="dxa"/>
              </w:tblCellMar>
            </w:tblPr>
            <w:tblGrid>
              <w:gridCol w:w="2840"/>
              <w:gridCol w:w="2841"/>
              <w:gridCol w:w="284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FFFFFF"/>
                <w:tblCellMar>
                  <w:top w:w="0" w:type="dxa"/>
                  <w:left w:w="0" w:type="dxa"/>
                  <w:bottom w:w="0" w:type="dxa"/>
                  <w:right w:w="0" w:type="dxa"/>
                </w:tblCellMar>
              </w:tblPrEx>
              <w:trPr>
                <w:jc w:val="center"/>
              </w:trPr>
              <w:tc>
                <w:tcPr>
                  <w:tcW w:w="2840"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抗冻等级</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无引气剂时</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掺引气剂时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40"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F50</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0.55</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0.60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40"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F100</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0.55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40"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F150及以上</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w:t>
                  </w:r>
                </w:p>
              </w:tc>
              <w:tc>
                <w:tcPr>
                  <w:tcW w:w="2841" w:type="dxa"/>
                  <w:tcBorders>
                    <w:tl2br w:val="nil"/>
                    <w:tr2bl w:val="nil"/>
                  </w:tcBorders>
                  <w:shd w:val="clear" w:color="auto" w:fill="FFFFFF"/>
                  <w:tcMar>
                    <w:top w:w="0" w:type="dxa"/>
                    <w:left w:w="108" w:type="dxa"/>
                    <w:bottom w:w="0" w:type="dxa"/>
                    <w:right w:w="108" w:type="dxa"/>
                  </w:tcMar>
                  <w:vAlign w:val="center"/>
                </w:tcPr>
                <w:p>
                  <w:pPr>
                    <w:tabs>
                      <w:tab w:val="left" w:pos="180"/>
                    </w:tabs>
                    <w:adjustRightInd w:val="0"/>
                    <w:snapToGrid w:val="0"/>
                    <w:jc w:val="center"/>
                    <w:rPr>
                      <w:rFonts w:hAnsi="宋体"/>
                      <w:szCs w:val="21"/>
                    </w:rPr>
                  </w:pPr>
                  <w:r>
                    <w:rPr>
                      <w:rFonts w:hint="eastAsia" w:hAnsi="宋体"/>
                      <w:szCs w:val="21"/>
                    </w:rPr>
                    <w:t>0.50</w:t>
                  </w:r>
                </w:p>
              </w:tc>
            </w:tr>
          </w:tbl>
          <w:p>
            <w:pPr>
              <w:tabs>
                <w:tab w:val="left" w:pos="180"/>
              </w:tabs>
              <w:adjustRightInd w:val="0"/>
              <w:snapToGrid w:val="0"/>
              <w:spacing w:line="360" w:lineRule="auto"/>
              <w:ind w:firstLine="600" w:firstLineChars="250"/>
              <w:jc w:val="left"/>
              <w:rPr>
                <w:rFonts w:hAnsi="宋体"/>
                <w:sz w:val="24"/>
              </w:rPr>
            </w:pPr>
            <w:r>
              <w:rPr>
                <w:rFonts w:hint="eastAsia" w:hAnsi="宋体"/>
                <w:sz w:val="24"/>
              </w:rPr>
              <w:t>3．进行抗冻混凝土配合比设计时，尚应增加抗冻融性能试验。</w:t>
            </w:r>
          </w:p>
          <w:p>
            <w:pPr>
              <w:spacing w:line="360" w:lineRule="auto"/>
              <w:jc w:val="left"/>
              <w:rPr>
                <w:rFonts w:ascii="Times New Roman" w:hAnsi="Times New Roman" w:cs="Times New Roman"/>
                <w:b/>
                <w:snapToGrid w:val="0"/>
                <w:color w:val="000000" w:themeColor="text1"/>
                <w:kern w:val="0"/>
                <w:sz w:val="28"/>
                <w:szCs w:val="28"/>
              </w:rPr>
            </w:pPr>
            <w:r>
              <w:rPr>
                <w:rFonts w:hint="eastAsia" w:ascii="Times New Roman" w:hAnsi="Times New Roman" w:cs="Times New Roman"/>
                <w:b/>
                <w:snapToGrid w:val="0"/>
                <w:color w:val="000000" w:themeColor="text1"/>
                <w:kern w:val="0"/>
                <w:sz w:val="28"/>
                <w:szCs w:val="28"/>
              </w:rPr>
              <w:t>七、公用工程</w:t>
            </w:r>
          </w:p>
          <w:p>
            <w:pPr>
              <w:spacing w:line="360" w:lineRule="auto"/>
              <w:ind w:firstLine="480" w:firstLineChars="200"/>
              <w:rPr>
                <w:rFonts w:asciiTheme="minorEastAsia" w:hAnsiTheme="minorEastAsia"/>
                <w:b/>
                <w:sz w:val="24"/>
              </w:rPr>
            </w:pPr>
            <w:r>
              <w:rPr>
                <w:rFonts w:hint="eastAsia" w:asciiTheme="minorEastAsia" w:hAnsiTheme="minorEastAsia"/>
                <w:b/>
                <w:sz w:val="24"/>
              </w:rPr>
              <w:t>（一）施工交通运输</w:t>
            </w:r>
          </w:p>
          <w:p>
            <w:pPr>
              <w:spacing w:line="360" w:lineRule="auto"/>
              <w:ind w:firstLine="560"/>
              <w:rPr>
                <w:rFonts w:ascii="宋体" w:hAnsi="宋体"/>
                <w:sz w:val="24"/>
                <w:lang w:val="zh-CN"/>
              </w:rPr>
            </w:pPr>
            <w:r>
              <w:rPr>
                <w:rFonts w:hint="eastAsia" w:ascii="宋体" w:hAnsi="宋体"/>
                <w:sz w:val="24"/>
                <w:lang w:val="zh-CN"/>
              </w:rPr>
              <w:t>本工程外来物资主要包括各种建筑材料、施工机械设备等，各施工区旁有公路与县城、乡镇相通，但由于水泥等重要物资需要在松潘县购买，因此，本工程对外交通运输主要以公路为主，对外交通较方便。</w:t>
            </w:r>
          </w:p>
          <w:p>
            <w:pPr>
              <w:spacing w:line="360" w:lineRule="auto"/>
              <w:ind w:firstLine="480" w:firstLineChars="200"/>
              <w:rPr>
                <w:rFonts w:ascii="宋体" w:hAnsi="宋体"/>
                <w:sz w:val="24"/>
                <w:lang w:val="zh-CN"/>
              </w:rPr>
            </w:pPr>
            <w:r>
              <w:rPr>
                <w:rFonts w:hint="eastAsia" w:ascii="宋体" w:hAnsi="宋体"/>
                <w:sz w:val="24"/>
                <w:lang w:val="zh-CN"/>
              </w:rPr>
              <w:t>场内交通运输以现有公路为主。</w:t>
            </w:r>
          </w:p>
          <w:p>
            <w:pPr>
              <w:spacing w:line="360" w:lineRule="auto"/>
              <w:ind w:firstLine="480" w:firstLineChars="200"/>
              <w:rPr>
                <w:rFonts w:asciiTheme="minorEastAsia" w:hAnsiTheme="minorEastAsia"/>
                <w:b/>
                <w:sz w:val="24"/>
              </w:rPr>
            </w:pPr>
            <w:r>
              <w:rPr>
                <w:rFonts w:hint="eastAsia" w:asciiTheme="minorEastAsia" w:hAnsiTheme="minorEastAsia"/>
                <w:b/>
                <w:sz w:val="24"/>
              </w:rPr>
              <w:t>（二）施工供水</w:t>
            </w:r>
          </w:p>
          <w:p>
            <w:pPr>
              <w:spacing w:line="360" w:lineRule="auto"/>
              <w:ind w:firstLine="480" w:firstLineChars="200"/>
              <w:rPr>
                <w:rFonts w:ascii="宋体" w:hAnsi="宋体"/>
                <w:sz w:val="24"/>
              </w:rPr>
            </w:pPr>
            <w:r>
              <w:rPr>
                <w:rFonts w:hint="eastAsia" w:ascii="宋体" w:hAnsi="宋体"/>
                <w:sz w:val="24"/>
              </w:rPr>
              <w:t>本工程各项目点有河流及山溪等通过，施工用水可直接从中取用，生活用水可就近取用，工程区有集中供水。</w:t>
            </w:r>
          </w:p>
          <w:p>
            <w:pPr>
              <w:spacing w:line="360" w:lineRule="auto"/>
              <w:ind w:firstLine="480" w:firstLineChars="200"/>
              <w:rPr>
                <w:rFonts w:asciiTheme="minorEastAsia" w:hAnsiTheme="minorEastAsia"/>
                <w:b/>
                <w:sz w:val="24"/>
              </w:rPr>
            </w:pPr>
            <w:r>
              <w:rPr>
                <w:rFonts w:hint="eastAsia" w:ascii="宋体" w:hAnsi="宋体"/>
                <w:b/>
                <w:sz w:val="24"/>
              </w:rPr>
              <w:t>（三）施工供电</w:t>
            </w:r>
          </w:p>
          <w:p>
            <w:pPr>
              <w:spacing w:line="360" w:lineRule="auto"/>
              <w:ind w:firstLine="480" w:firstLineChars="200"/>
              <w:rPr>
                <w:rFonts w:ascii="宋体" w:hAnsi="宋体"/>
                <w:sz w:val="24"/>
              </w:rPr>
            </w:pPr>
            <w:r>
              <w:rPr>
                <w:rFonts w:hint="eastAsia" w:ascii="宋体" w:hAnsi="宋体"/>
                <w:sz w:val="24"/>
              </w:rPr>
              <w:t>施工生活用电可在工程区附近农村电网上搭接，生产用点需配备10kV供电线路并配备降压站，由业主自行解决。管道热熔安装，需配备柴油发电机（40kW）自行发电。电网供电及发电比为1:1。</w:t>
            </w:r>
          </w:p>
          <w:p>
            <w:pPr>
              <w:spacing w:line="360" w:lineRule="auto"/>
              <w:ind w:firstLine="480" w:firstLineChars="200"/>
              <w:rPr>
                <w:rFonts w:ascii="宋体" w:hAnsi="宋体"/>
                <w:b/>
                <w:bCs/>
                <w:sz w:val="24"/>
              </w:rPr>
            </w:pPr>
            <w:r>
              <w:rPr>
                <w:rFonts w:hint="eastAsia" w:ascii="宋体" w:hAnsi="宋体"/>
                <w:b/>
                <w:bCs/>
                <w:sz w:val="24"/>
              </w:rPr>
              <w:t>（四）工程占地</w:t>
            </w:r>
          </w:p>
          <w:p>
            <w:pPr>
              <w:spacing w:line="360" w:lineRule="auto"/>
              <w:ind w:firstLine="480" w:firstLineChars="200"/>
              <w:rPr>
                <w:rFonts w:asciiTheme="minorEastAsia" w:hAnsiTheme="minorEastAsia"/>
                <w:sz w:val="24"/>
              </w:rPr>
            </w:pPr>
            <w:r>
              <w:rPr>
                <w:rFonts w:hint="eastAsia" w:ascii="宋体" w:hAnsi="宋体"/>
                <w:sz w:val="24"/>
              </w:rPr>
              <w:t>本工程位于安宏乡肖包寺村、西宁关村、安宏村、烟囱村等，工程建设内容主要为引泉池、蓄水池、沉淀池及配套输水管网，工程均为地埋式，占地约2.0亩，本工程不改变土地性质，建设完成后对地表进行复耕，因此本工程占地为临时占地。本项目施工过程中占用集体用地，主要为沟谷荒草地，不考虑征地。</w:t>
            </w:r>
          </w:p>
          <w:p>
            <w:pPr>
              <w:spacing w:line="360" w:lineRule="auto"/>
              <w:jc w:val="left"/>
              <w:rPr>
                <w:rFonts w:ascii="Times New Roman" w:hAnsi="Times New Roman" w:cs="Times New Roman"/>
                <w:b/>
                <w:snapToGrid w:val="0"/>
                <w:kern w:val="0"/>
                <w:sz w:val="28"/>
                <w:szCs w:val="28"/>
              </w:rPr>
            </w:pPr>
            <w:r>
              <w:rPr>
                <w:rFonts w:hint="eastAsia" w:ascii="Times New Roman" w:hAnsi="Times New Roman" w:cs="Times New Roman"/>
                <w:b/>
                <w:snapToGrid w:val="0"/>
                <w:kern w:val="0"/>
                <w:sz w:val="28"/>
                <w:szCs w:val="28"/>
              </w:rPr>
              <w:t>八、劳动定员和工作制度</w:t>
            </w:r>
          </w:p>
          <w:p>
            <w:pPr>
              <w:spacing w:line="360" w:lineRule="auto"/>
              <w:ind w:firstLine="480" w:firstLineChars="200"/>
              <w:jc w:val="left"/>
              <w:rPr>
                <w:rFonts w:ascii="Times New Roman" w:hAnsi="Times New Roman" w:cs="Times New Roman"/>
                <w:snapToGrid w:val="0"/>
                <w:kern w:val="0"/>
                <w:sz w:val="24"/>
              </w:rPr>
            </w:pPr>
            <w:r>
              <w:rPr>
                <w:rFonts w:hint="eastAsia" w:ascii="Times New Roman" w:hAnsi="Times New Roman" w:cs="Times New Roman"/>
                <w:snapToGrid w:val="0"/>
                <w:kern w:val="0"/>
                <w:sz w:val="24"/>
              </w:rPr>
              <w:t>施工高峰期每天施工人数50人，不在夜间施工。</w:t>
            </w:r>
            <w:r>
              <w:rPr>
                <w:rStyle w:val="61"/>
                <w:rFonts w:hint="eastAsia"/>
                <w:sz w:val="24"/>
                <w:szCs w:val="24"/>
              </w:rPr>
              <w:t>运营期由业主单位指定各村一位代表对蓄水池及其相关设施进行管理。</w:t>
            </w:r>
          </w:p>
          <w:p>
            <w:pPr>
              <w:spacing w:line="360" w:lineRule="auto"/>
              <w:ind w:firstLine="480" w:firstLineChars="200"/>
              <w:rPr>
                <w:rFonts w:ascii="宋体" w:hAnsi="宋体"/>
                <w:sz w:val="24"/>
              </w:rPr>
            </w:pPr>
            <w:r>
              <w:rPr>
                <w:rFonts w:hint="eastAsia" w:ascii="宋体" w:hAnsi="宋体"/>
                <w:sz w:val="24"/>
              </w:rPr>
              <w:t>松潘县安宏乡人民政府成立了领导小组，各成员在领导小组的指挥下，各负其责，密切配合，分工协作。</w:t>
            </w:r>
          </w:p>
          <w:p>
            <w:pPr>
              <w:spacing w:line="360" w:lineRule="auto"/>
              <w:ind w:firstLine="480" w:firstLineChars="200"/>
              <w:rPr>
                <w:rFonts w:ascii="宋体" w:hAnsi="宋体"/>
                <w:sz w:val="24"/>
              </w:rPr>
            </w:pPr>
            <w:r>
              <w:rPr>
                <w:rFonts w:hint="eastAsia" w:ascii="宋体" w:hAnsi="宋体"/>
                <w:sz w:val="24"/>
              </w:rPr>
              <w:t>严格工程建设的程序，认真落实建设管理“规划建卡、招标投标、集中采购、巡回监理、县级报账、项目公示”的“六项制度”。</w:t>
            </w:r>
          </w:p>
          <w:p>
            <w:pPr>
              <w:spacing w:line="360" w:lineRule="auto"/>
              <w:ind w:firstLine="480" w:firstLineChars="200"/>
              <w:rPr>
                <w:rFonts w:ascii="宋体" w:hAnsi="宋体"/>
                <w:sz w:val="24"/>
              </w:rPr>
            </w:pPr>
            <w:r>
              <w:rPr>
                <w:rFonts w:hint="eastAsia" w:ascii="宋体" w:hAnsi="宋体"/>
                <w:sz w:val="24"/>
              </w:rPr>
              <w:t>本工程建成后，由各村村委会成立村民用水管理小组，派专人管理，并制定管理人员的责任范围。</w:t>
            </w:r>
          </w:p>
          <w:p>
            <w:pPr>
              <w:spacing w:line="360" w:lineRule="auto"/>
              <w:ind w:firstLine="480" w:firstLineChars="200"/>
              <w:jc w:val="left"/>
              <w:rPr>
                <w:rFonts w:ascii="Times New Roman" w:hAnsi="Times New Roman" w:cs="Times New Roman"/>
                <w:snapToGrid w:val="0"/>
                <w:color w:val="000000" w:themeColor="text1"/>
                <w:kern w:val="0"/>
                <w:sz w:val="24"/>
              </w:rPr>
            </w:pPr>
            <w:r>
              <w:rPr>
                <w:rFonts w:hint="eastAsia" w:ascii="宋体" w:hAnsi="宋体"/>
                <w:sz w:val="24"/>
              </w:rPr>
              <w:t>供水工程并非盈利性质，供水水价结合最低供水水价和村民实际承受能力进行拟定。</w:t>
            </w:r>
          </w:p>
          <w:p>
            <w:pPr>
              <w:spacing w:line="360" w:lineRule="auto"/>
              <w:jc w:val="left"/>
              <w:rPr>
                <w:rFonts w:ascii="Times New Roman" w:hAnsi="Times New Roman" w:cs="Times New Roman"/>
                <w:b/>
                <w:snapToGrid w:val="0"/>
                <w:color w:val="000000" w:themeColor="text1"/>
                <w:kern w:val="0"/>
                <w:sz w:val="28"/>
                <w:szCs w:val="28"/>
              </w:rPr>
            </w:pPr>
            <w:r>
              <w:rPr>
                <w:rFonts w:hint="eastAsia" w:ascii="Times New Roman" w:hAnsi="Times New Roman" w:cs="Times New Roman"/>
                <w:b/>
                <w:snapToGrid w:val="0"/>
                <w:color w:val="000000" w:themeColor="text1"/>
                <w:kern w:val="0"/>
                <w:sz w:val="28"/>
                <w:szCs w:val="28"/>
              </w:rPr>
              <w:t>九、施工总体布置</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Times New Roman" w:hAnsi="Times New Roman" w:cs="Times New Roman"/>
                <w:b/>
                <w:snapToGrid w:val="0"/>
                <w:color w:val="000000" w:themeColor="text1"/>
                <w:kern w:val="0"/>
                <w:sz w:val="24"/>
              </w:rPr>
              <w:t>1、总体布置分区</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Times New Roman" w:hAnsi="Times New Roman" w:cs="Times New Roman"/>
                <w:b/>
                <w:snapToGrid w:val="0"/>
                <w:color w:val="000000" w:themeColor="text1"/>
                <w:kern w:val="0"/>
                <w:sz w:val="24"/>
              </w:rPr>
              <w:t>（1）总体布置原则</w:t>
            </w:r>
          </w:p>
          <w:p>
            <w:pPr>
              <w:spacing w:line="360" w:lineRule="auto"/>
              <w:ind w:firstLine="560"/>
              <w:rPr>
                <w:rFonts w:ascii="宋体" w:hAnsi="宋体"/>
                <w:sz w:val="24"/>
                <w:lang w:val="zh-CN"/>
              </w:rPr>
            </w:pPr>
            <w:r>
              <w:rPr>
                <w:rFonts w:hint="eastAsia" w:ascii="宋体" w:hAnsi="宋体"/>
                <w:sz w:val="24"/>
                <w:lang w:val="zh-CN"/>
              </w:rPr>
              <w:t>根据项目区的地形、地质条件及现场实际条件，进行本次项目规划施工场地的总平面布置。在具体布置中，利用现有的施工场地条件，合理布局，统筹安排，便于安全生产、生活方便，确保各施工时段内的施工均能正常均衡有序进行。同时尽量少占耕地，对施工区及周围环境进行有效的保护。</w:t>
            </w:r>
          </w:p>
          <w:p>
            <w:pPr>
              <w:spacing w:line="360" w:lineRule="auto"/>
              <w:ind w:firstLine="480" w:firstLineChars="200"/>
              <w:rPr>
                <w:rFonts w:ascii="宋体" w:hAnsi="宋体"/>
                <w:sz w:val="24"/>
                <w:lang w:val="zh-CN"/>
              </w:rPr>
            </w:pPr>
            <w:r>
              <w:rPr>
                <w:rFonts w:hint="eastAsia" w:ascii="宋体" w:hAnsi="宋体"/>
                <w:sz w:val="24"/>
                <w:lang w:val="zh-CN"/>
              </w:rPr>
              <w:t>考虑施工现场以田间工程为主，施工现场管理用房计划以租用当地民房为主。</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宋体" w:hAnsi="宋体"/>
                <w:sz w:val="24"/>
                <w:lang w:val="zh-CN"/>
              </w:rPr>
              <w:t>临建设施布置原则上力求合理、紧凑、节约、经济实用，方便管理，确保施工期间各项工程能合理有序，安全高效地施工。</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Times New Roman" w:hAnsi="Times New Roman" w:cs="Times New Roman"/>
                <w:b/>
                <w:snapToGrid w:val="0"/>
                <w:color w:val="000000" w:themeColor="text1"/>
                <w:kern w:val="0"/>
                <w:sz w:val="24"/>
              </w:rPr>
              <w:t>（2）总体布置分区</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宋体" w:hAnsi="宋体"/>
                <w:sz w:val="24"/>
                <w:lang w:val="zh-CN"/>
              </w:rPr>
              <w:t>由于该项目工程面广、点多，单项工程数量较多，所以在施工总体布置过程中，遵循因地制宜，因时制宜，有利生产，易于管理，安全可靠，经济合理的原则，尽量考虑项目集中连片建设，使其工期最短，尽快发挥工程效益。根据项目的实际情况，充分利用现有的库房场地，以方便工程建设需要；工程所需材料及设备由项目办统一专人管理发送，根据工程进度及时协调调拨，确保工程的顺利实施。因此根据项目点水源就行区分，共分为</w:t>
            </w:r>
            <w:r>
              <w:rPr>
                <w:rFonts w:hint="eastAsia" w:ascii="宋体" w:hAnsi="宋体"/>
                <w:sz w:val="24"/>
              </w:rPr>
              <w:t>5个区。</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Times New Roman" w:hAnsi="Times New Roman" w:cs="Times New Roman"/>
                <w:b/>
                <w:snapToGrid w:val="0"/>
                <w:color w:val="000000" w:themeColor="text1"/>
                <w:kern w:val="0"/>
                <w:sz w:val="24"/>
              </w:rPr>
              <w:t>2、土石方平衡及弃渣规划</w:t>
            </w:r>
          </w:p>
          <w:p>
            <w:pPr>
              <w:spacing w:line="360" w:lineRule="auto"/>
              <w:ind w:firstLine="480" w:firstLineChars="200"/>
              <w:rPr>
                <w:rFonts w:ascii="宋体" w:hAnsi="宋体"/>
                <w:sz w:val="24"/>
                <w:lang w:val="zh-CN"/>
              </w:rPr>
            </w:pPr>
            <w:r>
              <w:rPr>
                <w:rFonts w:hint="eastAsia" w:ascii="宋体" w:hAnsi="宋体"/>
                <w:sz w:val="24"/>
                <w:lang w:val="zh-CN"/>
              </w:rPr>
              <w:t>本工程土</w:t>
            </w:r>
            <w:r>
              <w:rPr>
                <w:rFonts w:hint="eastAsia" w:ascii="宋体" w:hAnsi="宋体"/>
                <w:sz w:val="24"/>
              </w:rPr>
              <w:t>石方</w:t>
            </w:r>
            <w:r>
              <w:rPr>
                <w:rFonts w:hint="eastAsia" w:ascii="宋体" w:hAnsi="宋体"/>
                <w:sz w:val="24"/>
                <w:lang w:val="zh-CN"/>
              </w:rPr>
              <w:t>开挖量(含清基)为</w:t>
            </w:r>
            <w:r>
              <w:rPr>
                <w:rFonts w:hint="eastAsia" w:ascii="宋体" w:hAnsi="宋体"/>
                <w:sz w:val="24"/>
              </w:rPr>
              <w:t>6506.6</w:t>
            </w:r>
            <w:r>
              <w:rPr>
                <w:rFonts w:hint="eastAsia" w:ascii="宋体" w:hAnsi="宋体"/>
                <w:sz w:val="24"/>
                <w:lang w:val="zh-CN"/>
              </w:rPr>
              <w:t>m</w:t>
            </w:r>
            <w:r>
              <w:rPr>
                <w:rFonts w:hint="eastAsia" w:ascii="宋体" w:hAnsi="宋体"/>
                <w:sz w:val="24"/>
                <w:vertAlign w:val="superscript"/>
                <w:lang w:val="zh-CN"/>
              </w:rPr>
              <w:t>3</w:t>
            </w:r>
            <w:r>
              <w:rPr>
                <w:rFonts w:hint="eastAsia" w:ascii="宋体" w:hAnsi="宋体"/>
                <w:sz w:val="24"/>
                <w:lang w:val="zh-CN"/>
              </w:rPr>
              <w:t>（自然方） ，本工程需要的土</w:t>
            </w:r>
            <w:r>
              <w:rPr>
                <w:rFonts w:hint="eastAsia" w:ascii="宋体" w:hAnsi="宋体"/>
                <w:sz w:val="24"/>
              </w:rPr>
              <w:t>石方</w:t>
            </w:r>
            <w:r>
              <w:rPr>
                <w:rFonts w:hint="eastAsia" w:ascii="宋体" w:hAnsi="宋体"/>
                <w:sz w:val="24"/>
                <w:lang w:val="zh-CN"/>
              </w:rPr>
              <w:t>回填总量为</w:t>
            </w:r>
            <w:r>
              <w:rPr>
                <w:rFonts w:hint="eastAsia" w:ascii="宋体" w:hAnsi="宋体"/>
                <w:sz w:val="24"/>
              </w:rPr>
              <w:t>5760</w:t>
            </w:r>
            <w:r>
              <w:rPr>
                <w:rFonts w:hint="eastAsia" w:ascii="宋体" w:hAnsi="宋体"/>
                <w:sz w:val="24"/>
                <w:lang w:val="zh-CN"/>
              </w:rPr>
              <w:t xml:space="preserve"> m</w:t>
            </w:r>
            <w:r>
              <w:rPr>
                <w:rFonts w:hint="eastAsia" w:ascii="宋体" w:hAnsi="宋体"/>
                <w:sz w:val="24"/>
                <w:vertAlign w:val="superscript"/>
                <w:lang w:val="zh-CN"/>
              </w:rPr>
              <w:t>3</w:t>
            </w:r>
            <w:r>
              <w:rPr>
                <w:rFonts w:hint="eastAsia" w:ascii="宋体" w:hAnsi="宋体"/>
                <w:sz w:val="24"/>
                <w:lang w:val="zh-CN"/>
              </w:rPr>
              <w:t>（</w:t>
            </w:r>
            <w:r>
              <w:rPr>
                <w:rFonts w:hint="eastAsia" w:ascii="宋体" w:hAnsi="宋体"/>
                <w:sz w:val="24"/>
              </w:rPr>
              <w:t>自然</w:t>
            </w:r>
            <w:r>
              <w:rPr>
                <w:rFonts w:hint="eastAsia" w:ascii="宋体" w:hAnsi="宋体"/>
                <w:sz w:val="24"/>
                <w:lang w:val="zh-CN"/>
              </w:rPr>
              <w:t>方）。综合考虑损耗与利用率后，弃渣合计</w:t>
            </w:r>
            <w:r>
              <w:rPr>
                <w:rFonts w:hint="eastAsia" w:ascii="宋体" w:hAnsi="宋体"/>
                <w:sz w:val="24"/>
              </w:rPr>
              <w:t>746.6</w:t>
            </w:r>
            <w:r>
              <w:rPr>
                <w:rFonts w:hint="eastAsia" w:ascii="宋体" w:hAnsi="宋体"/>
                <w:sz w:val="24"/>
                <w:lang w:val="zh-CN"/>
              </w:rPr>
              <w:t>m³（</w:t>
            </w:r>
            <w:r>
              <w:rPr>
                <w:rFonts w:hint="eastAsia" w:ascii="宋体" w:hAnsi="宋体"/>
                <w:sz w:val="24"/>
              </w:rPr>
              <w:t>自然</w:t>
            </w:r>
            <w:r>
              <w:rPr>
                <w:rFonts w:hint="eastAsia" w:ascii="宋体" w:hAnsi="宋体"/>
                <w:sz w:val="24"/>
                <w:lang w:val="zh-CN"/>
              </w:rPr>
              <w:t>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zh-CN"/>
              </w:rPr>
            </w:pPr>
            <w:r>
              <w:rPr>
                <w:rFonts w:hint="eastAsia" w:asciiTheme="minorEastAsia" w:hAnsiTheme="minorEastAsia" w:eastAsiaTheme="minorEastAsia" w:cstheme="minorEastAsia"/>
                <w:b/>
                <w:sz w:val="21"/>
                <w:szCs w:val="21"/>
                <w:lang w:val="zh-CN"/>
              </w:rPr>
              <w:t xml:space="preserve">表 </w:t>
            </w:r>
            <w:r>
              <w:rPr>
                <w:rFonts w:hint="eastAsia" w:asciiTheme="minorEastAsia" w:hAnsiTheme="minorEastAsia" w:eastAsiaTheme="minorEastAsia" w:cstheme="minorEastAsia"/>
                <w:b/>
                <w:sz w:val="21"/>
                <w:szCs w:val="21"/>
              </w:rPr>
              <w:t>1-12</w:t>
            </w:r>
            <w:r>
              <w:rPr>
                <w:rFonts w:hint="eastAsia" w:asciiTheme="minorEastAsia" w:hAnsiTheme="minorEastAsia" w:eastAsiaTheme="minorEastAsia" w:cstheme="minorEastAsia"/>
                <w:b/>
                <w:sz w:val="21"/>
                <w:szCs w:val="21"/>
                <w:lang w:val="zh-CN"/>
              </w:rPr>
              <w:t>土方平衡表</w:t>
            </w:r>
          </w:p>
          <w:tbl>
            <w:tblPr>
              <w:tblStyle w:val="51"/>
              <w:tblW w:w="8969"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96"/>
              <w:gridCol w:w="3926"/>
              <w:gridCol w:w="1697"/>
              <w:gridCol w:w="16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8" w:hRule="atLeast"/>
                <w:tblHeader/>
              </w:trPr>
              <w:tc>
                <w:tcPr>
                  <w:tcW w:w="169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序号</w:t>
                  </w:r>
                </w:p>
              </w:tc>
              <w:tc>
                <w:tcPr>
                  <w:tcW w:w="392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项目</w:t>
                  </w:r>
                </w:p>
              </w:tc>
              <w:tc>
                <w:tcPr>
                  <w:tcW w:w="1697"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单位</w:t>
                  </w:r>
                </w:p>
              </w:tc>
              <w:tc>
                <w:tcPr>
                  <w:tcW w:w="1650"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合计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69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一</w:t>
                  </w:r>
                </w:p>
              </w:tc>
              <w:tc>
                <w:tcPr>
                  <w:tcW w:w="392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土方开挖</w:t>
                  </w:r>
                </w:p>
              </w:tc>
              <w:tc>
                <w:tcPr>
                  <w:tcW w:w="1697"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m³</w:t>
                  </w:r>
                </w:p>
              </w:tc>
              <w:tc>
                <w:tcPr>
                  <w:tcW w:w="1650" w:type="dxa"/>
                  <w:tcBorders>
                    <w:tl2br w:val="nil"/>
                    <w:tr2bl w:val="nil"/>
                  </w:tcBorders>
                  <w:vAlign w:val="center"/>
                </w:tcPr>
                <w:p>
                  <w:pPr>
                    <w:widowControl/>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6506.6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69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二</w:t>
                  </w:r>
                </w:p>
              </w:tc>
              <w:tc>
                <w:tcPr>
                  <w:tcW w:w="392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土石方回填利用</w:t>
                  </w:r>
                </w:p>
              </w:tc>
              <w:tc>
                <w:tcPr>
                  <w:tcW w:w="1697"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m³</w:t>
                  </w:r>
                </w:p>
              </w:tc>
              <w:tc>
                <w:tcPr>
                  <w:tcW w:w="1650" w:type="dxa"/>
                  <w:tcBorders>
                    <w:tl2br w:val="nil"/>
                    <w:tr2bl w:val="nil"/>
                  </w:tcBorders>
                  <w:vAlign w:val="center"/>
                </w:tcPr>
                <w:p>
                  <w:pPr>
                    <w:widowControl/>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5760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69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三</w:t>
                  </w:r>
                </w:p>
              </w:tc>
              <w:tc>
                <w:tcPr>
                  <w:tcW w:w="3926"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弃渣量（松方）</w:t>
                  </w:r>
                </w:p>
              </w:tc>
              <w:tc>
                <w:tcPr>
                  <w:tcW w:w="1697" w:type="dxa"/>
                  <w:tcBorders>
                    <w:tl2br w:val="nil"/>
                    <w:tr2bl w:val="nil"/>
                  </w:tcBorders>
                  <w:vAlign w:val="center"/>
                </w:tcPr>
                <w:p>
                  <w:pPr>
                    <w:widowControl/>
                    <w:jc w:val="center"/>
                    <w:textAlignment w:val="center"/>
                    <w:rPr>
                      <w:rFonts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m³</w:t>
                  </w:r>
                </w:p>
              </w:tc>
              <w:tc>
                <w:tcPr>
                  <w:tcW w:w="1650" w:type="dxa"/>
                  <w:tcBorders>
                    <w:tl2br w:val="nil"/>
                    <w:tr2bl w:val="nil"/>
                  </w:tcBorders>
                  <w:vAlign w:val="center"/>
                </w:tcPr>
                <w:p>
                  <w:pPr>
                    <w:widowControl/>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746.6</w:t>
                  </w:r>
                </w:p>
              </w:tc>
            </w:tr>
          </w:tbl>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宋体" w:hAnsi="宋体"/>
                <w:sz w:val="24"/>
                <w:lang w:val="zh-CN"/>
              </w:rPr>
              <w:t>由上表可知，本工程整治弃渣量为</w:t>
            </w:r>
            <w:r>
              <w:rPr>
                <w:rFonts w:hint="eastAsia" w:ascii="宋体" w:hAnsi="宋体"/>
                <w:sz w:val="24"/>
              </w:rPr>
              <w:t>746.6</w:t>
            </w:r>
            <w:r>
              <w:rPr>
                <w:rFonts w:hint="eastAsia" w:ascii="宋体" w:hAnsi="宋体"/>
                <w:sz w:val="24"/>
                <w:lang w:val="zh-CN"/>
              </w:rPr>
              <w:t>m³（</w:t>
            </w:r>
            <w:r>
              <w:rPr>
                <w:rFonts w:hint="eastAsia" w:ascii="宋体" w:hAnsi="宋体"/>
                <w:sz w:val="24"/>
              </w:rPr>
              <w:t>自然</w:t>
            </w:r>
            <w:r>
              <w:rPr>
                <w:rFonts w:hint="eastAsia" w:ascii="宋体" w:hAnsi="宋体"/>
                <w:sz w:val="24"/>
                <w:lang w:val="zh-CN"/>
              </w:rPr>
              <w:t>方）。因为项目弃渣量较小，项目点较多较分散，且本工程大部分土石方开挖量来自于管道安装工程，管道安装好后即刻就行回填，故该项目不单独安排弃渣场，弃渣在各项目点完工后，将弃渣平整后即可。</w:t>
            </w:r>
          </w:p>
          <w:p>
            <w:pPr>
              <w:spacing w:line="360" w:lineRule="auto"/>
              <w:jc w:val="left"/>
              <w:rPr>
                <w:rFonts w:ascii="Times New Roman" w:hAnsi="Times New Roman" w:cs="Times New Roman"/>
                <w:b/>
                <w:snapToGrid w:val="0"/>
                <w:color w:val="000000" w:themeColor="text1"/>
                <w:kern w:val="0"/>
                <w:sz w:val="28"/>
                <w:szCs w:val="28"/>
              </w:rPr>
            </w:pPr>
            <w:r>
              <w:rPr>
                <w:rFonts w:hint="eastAsia" w:ascii="Times New Roman" w:hAnsi="Times New Roman" w:cs="Times New Roman"/>
                <w:b/>
                <w:snapToGrid w:val="0"/>
                <w:color w:val="000000" w:themeColor="text1"/>
                <w:kern w:val="0"/>
                <w:sz w:val="28"/>
                <w:szCs w:val="28"/>
              </w:rPr>
              <w:t>十、施工进度</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宋体" w:hAnsi="宋体"/>
                <w:sz w:val="24"/>
                <w:lang w:val="zh-CN"/>
              </w:rPr>
              <w:t>本工程施工总工期为</w:t>
            </w:r>
            <w:r>
              <w:rPr>
                <w:rFonts w:hint="eastAsia" w:ascii="宋体" w:hAnsi="宋体"/>
                <w:sz w:val="24"/>
              </w:rPr>
              <w:t>5</w:t>
            </w:r>
            <w:r>
              <w:rPr>
                <w:rFonts w:hint="eastAsia" w:ascii="宋体" w:hAnsi="宋体"/>
                <w:sz w:val="24"/>
                <w:lang w:val="zh-CN"/>
              </w:rPr>
              <w:t>个月，其中准备工期1个月（20</w:t>
            </w:r>
            <w:r>
              <w:rPr>
                <w:rFonts w:hint="eastAsia" w:ascii="宋体" w:hAnsi="宋体"/>
                <w:sz w:val="24"/>
              </w:rPr>
              <w:t>20</w:t>
            </w:r>
            <w:r>
              <w:rPr>
                <w:rFonts w:hint="eastAsia" w:ascii="宋体" w:hAnsi="宋体"/>
                <w:sz w:val="24"/>
                <w:lang w:val="zh-CN"/>
              </w:rPr>
              <w:t>年</w:t>
            </w:r>
            <w:r>
              <w:rPr>
                <w:rFonts w:hint="eastAsia" w:ascii="宋体" w:hAnsi="宋体"/>
                <w:sz w:val="24"/>
              </w:rPr>
              <w:t>6</w:t>
            </w:r>
            <w:r>
              <w:rPr>
                <w:rFonts w:hint="eastAsia" w:ascii="宋体" w:hAnsi="宋体"/>
                <w:sz w:val="24"/>
                <w:lang w:val="zh-CN"/>
              </w:rPr>
              <w:t>月），主体工程施工期</w:t>
            </w:r>
            <w:r>
              <w:rPr>
                <w:rFonts w:hint="eastAsia" w:ascii="宋体" w:hAnsi="宋体"/>
                <w:sz w:val="24"/>
              </w:rPr>
              <w:t>3</w:t>
            </w:r>
            <w:r>
              <w:rPr>
                <w:rFonts w:hint="eastAsia" w:ascii="宋体" w:hAnsi="宋体"/>
                <w:sz w:val="24"/>
                <w:lang w:val="zh-CN"/>
              </w:rPr>
              <w:t>个月（20</w:t>
            </w:r>
            <w:r>
              <w:rPr>
                <w:rFonts w:hint="eastAsia" w:ascii="宋体" w:hAnsi="宋体"/>
                <w:sz w:val="24"/>
              </w:rPr>
              <w:t>20</w:t>
            </w:r>
            <w:r>
              <w:rPr>
                <w:rFonts w:hint="eastAsia" w:ascii="宋体" w:hAnsi="宋体"/>
                <w:sz w:val="24"/>
                <w:lang w:val="zh-CN"/>
              </w:rPr>
              <w:t>年</w:t>
            </w:r>
            <w:r>
              <w:rPr>
                <w:rFonts w:hint="eastAsia" w:ascii="宋体" w:hAnsi="宋体"/>
                <w:sz w:val="24"/>
              </w:rPr>
              <w:t>7</w:t>
            </w:r>
            <w:r>
              <w:rPr>
                <w:rFonts w:hint="eastAsia" w:ascii="宋体" w:hAnsi="宋体"/>
                <w:sz w:val="24"/>
                <w:lang w:val="zh-CN"/>
              </w:rPr>
              <w:t>月～20</w:t>
            </w:r>
            <w:r>
              <w:rPr>
                <w:rFonts w:hint="eastAsia" w:ascii="宋体" w:hAnsi="宋体"/>
                <w:sz w:val="24"/>
              </w:rPr>
              <w:t>20</w:t>
            </w:r>
            <w:r>
              <w:rPr>
                <w:rFonts w:hint="eastAsia" w:ascii="宋体" w:hAnsi="宋体"/>
                <w:sz w:val="24"/>
                <w:lang w:val="zh-CN"/>
              </w:rPr>
              <w:t>年</w:t>
            </w:r>
            <w:r>
              <w:rPr>
                <w:rFonts w:hint="eastAsia" w:ascii="宋体" w:hAnsi="宋体"/>
                <w:sz w:val="24"/>
              </w:rPr>
              <w:t>9</w:t>
            </w:r>
            <w:r>
              <w:rPr>
                <w:rFonts w:hint="eastAsia" w:ascii="宋体" w:hAnsi="宋体"/>
                <w:sz w:val="24"/>
                <w:lang w:val="zh-CN"/>
              </w:rPr>
              <w:t>月），完建期1个月（20</w:t>
            </w:r>
            <w:r>
              <w:rPr>
                <w:rFonts w:hint="eastAsia" w:ascii="宋体" w:hAnsi="宋体"/>
                <w:sz w:val="24"/>
              </w:rPr>
              <w:t>20</w:t>
            </w:r>
            <w:r>
              <w:rPr>
                <w:rFonts w:hint="eastAsia" w:ascii="宋体" w:hAnsi="宋体"/>
                <w:sz w:val="24"/>
                <w:lang w:val="zh-CN"/>
              </w:rPr>
              <w:t>年</w:t>
            </w:r>
            <w:r>
              <w:rPr>
                <w:rFonts w:hint="eastAsia" w:ascii="宋体" w:hAnsi="宋体"/>
                <w:sz w:val="24"/>
              </w:rPr>
              <w:t>10</w:t>
            </w:r>
            <w:r>
              <w:rPr>
                <w:rFonts w:hint="eastAsia" w:ascii="宋体" w:hAnsi="宋体"/>
                <w:sz w:val="24"/>
                <w:lang w:val="zh-CN"/>
              </w:rPr>
              <w:t>月）。</w:t>
            </w:r>
          </w:p>
          <w:p>
            <w:pPr>
              <w:spacing w:line="360" w:lineRule="auto"/>
              <w:ind w:firstLine="560"/>
              <w:rPr>
                <w:rFonts w:ascii="宋体" w:hAnsi="宋体"/>
                <w:sz w:val="24"/>
                <w:lang w:val="zh-CN"/>
              </w:rPr>
            </w:pPr>
            <w:r>
              <w:rPr>
                <w:rFonts w:hint="eastAsia" w:ascii="宋体" w:hAnsi="宋体"/>
                <w:sz w:val="24"/>
                <w:lang w:val="zh-CN"/>
              </w:rPr>
              <w:t>工程分四个时期：工程筹建期、工程准备期、主体工程施工期、工程完建期，施工总工期不包括筹建期。</w:t>
            </w:r>
          </w:p>
          <w:p>
            <w:pPr>
              <w:spacing w:line="360" w:lineRule="auto"/>
              <w:ind w:firstLine="560"/>
              <w:rPr>
                <w:rFonts w:ascii="宋体" w:hAnsi="宋体"/>
                <w:sz w:val="24"/>
                <w:lang w:val="zh-CN"/>
              </w:rPr>
            </w:pPr>
            <w:r>
              <w:rPr>
                <w:rFonts w:hint="eastAsia" w:ascii="宋体" w:hAnsi="宋体"/>
                <w:sz w:val="24"/>
                <w:lang w:val="zh-CN"/>
              </w:rPr>
              <w:t>1．工程筹建期</w:t>
            </w:r>
          </w:p>
          <w:p>
            <w:pPr>
              <w:spacing w:line="360" w:lineRule="auto"/>
              <w:ind w:firstLine="560"/>
              <w:rPr>
                <w:rFonts w:ascii="宋体" w:hAnsi="宋体"/>
                <w:sz w:val="24"/>
                <w:lang w:val="zh-CN"/>
              </w:rPr>
            </w:pPr>
            <w:r>
              <w:rPr>
                <w:rFonts w:hint="eastAsia" w:ascii="宋体" w:hAnsi="宋体"/>
                <w:sz w:val="24"/>
                <w:lang w:val="zh-CN"/>
              </w:rPr>
              <w:t>主要由建设单位筹建完成对外交通、供电、通信等工作，为承包单位进场开工创造条件。</w:t>
            </w:r>
          </w:p>
          <w:p>
            <w:pPr>
              <w:spacing w:line="360" w:lineRule="auto"/>
              <w:ind w:firstLine="560"/>
              <w:rPr>
                <w:rFonts w:ascii="宋体" w:hAnsi="宋体"/>
                <w:sz w:val="24"/>
                <w:lang w:val="zh-CN"/>
              </w:rPr>
            </w:pPr>
            <w:r>
              <w:rPr>
                <w:rFonts w:hint="eastAsia" w:ascii="宋体" w:hAnsi="宋体"/>
                <w:sz w:val="24"/>
                <w:lang w:val="zh-CN"/>
              </w:rPr>
              <w:t>2．工程准备期</w:t>
            </w:r>
          </w:p>
          <w:p>
            <w:pPr>
              <w:spacing w:line="360" w:lineRule="auto"/>
              <w:ind w:firstLine="560"/>
              <w:rPr>
                <w:rFonts w:ascii="宋体" w:hAnsi="宋体"/>
                <w:sz w:val="24"/>
                <w:lang w:val="zh-CN"/>
              </w:rPr>
            </w:pPr>
            <w:r>
              <w:rPr>
                <w:rFonts w:hint="eastAsia" w:ascii="宋体" w:hAnsi="宋体"/>
                <w:sz w:val="24"/>
                <w:lang w:val="zh-CN"/>
              </w:rPr>
              <w:t>完成场内交通、场地平整、导流工程、临时房屋、施工工厂及辅助企业等必需的临时设施。</w:t>
            </w:r>
          </w:p>
          <w:p>
            <w:pPr>
              <w:spacing w:line="360" w:lineRule="auto"/>
              <w:ind w:firstLine="560"/>
              <w:rPr>
                <w:rFonts w:ascii="宋体" w:hAnsi="宋体"/>
                <w:sz w:val="24"/>
                <w:lang w:val="zh-CN"/>
              </w:rPr>
            </w:pPr>
            <w:r>
              <w:rPr>
                <w:rFonts w:hint="eastAsia" w:ascii="宋体" w:hAnsi="宋体"/>
                <w:sz w:val="24"/>
                <w:lang w:val="zh-CN"/>
              </w:rPr>
              <w:t>3．主体工程施工期</w:t>
            </w:r>
          </w:p>
          <w:p>
            <w:pPr>
              <w:spacing w:line="360" w:lineRule="auto"/>
              <w:ind w:firstLine="560"/>
              <w:rPr>
                <w:rFonts w:ascii="宋体" w:hAnsi="宋体"/>
                <w:sz w:val="24"/>
                <w:lang w:val="zh-CN"/>
              </w:rPr>
            </w:pPr>
            <w:r>
              <w:rPr>
                <w:rFonts w:hint="eastAsia" w:ascii="宋体" w:hAnsi="宋体"/>
                <w:sz w:val="24"/>
                <w:lang w:val="zh-CN"/>
              </w:rPr>
              <w:t>从主体工程开工至工程开始发挥效益的工期。主要由施工单位完成永久建筑。</w:t>
            </w:r>
          </w:p>
          <w:p>
            <w:pPr>
              <w:spacing w:line="360" w:lineRule="auto"/>
              <w:ind w:firstLine="560"/>
              <w:rPr>
                <w:rFonts w:ascii="宋体" w:hAnsi="宋体"/>
                <w:sz w:val="24"/>
                <w:lang w:val="zh-CN"/>
              </w:rPr>
            </w:pPr>
            <w:r>
              <w:rPr>
                <w:rFonts w:hint="eastAsia" w:ascii="宋体" w:hAnsi="宋体"/>
                <w:sz w:val="24"/>
                <w:lang w:val="zh-CN"/>
              </w:rPr>
              <w:t>4．工程完建期</w:t>
            </w:r>
          </w:p>
          <w:p>
            <w:pPr>
              <w:spacing w:line="360" w:lineRule="auto"/>
              <w:ind w:firstLine="480" w:firstLineChars="200"/>
              <w:jc w:val="left"/>
              <w:rPr>
                <w:rFonts w:ascii="Times New Roman" w:hAnsi="Times New Roman" w:cs="Times New Roman"/>
                <w:b/>
                <w:snapToGrid w:val="0"/>
                <w:color w:val="000000" w:themeColor="text1"/>
                <w:kern w:val="0"/>
                <w:sz w:val="24"/>
              </w:rPr>
            </w:pPr>
            <w:r>
              <w:rPr>
                <w:rFonts w:hint="eastAsia" w:ascii="宋体" w:hAnsi="宋体"/>
                <w:sz w:val="24"/>
                <w:lang w:val="zh-CN"/>
              </w:rPr>
              <w:t>自工程开始发挥效益至工程竣工的工期，完成工程的扫尾工作。</w:t>
            </w:r>
          </w:p>
          <w:p>
            <w:pPr>
              <w:spacing w:line="360" w:lineRule="auto"/>
              <w:ind w:firstLine="480" w:firstLineChars="200"/>
              <w:jc w:val="left"/>
              <w:rPr>
                <w:rFonts w:ascii="Times New Roman" w:hAnsi="Times New Roman" w:cs="Times New Roman"/>
                <w:b/>
                <w:snapToGrid w:val="0"/>
                <w:color w:val="000000" w:themeColor="text1"/>
                <w:kern w:val="0"/>
                <w:sz w:val="24"/>
              </w:rPr>
            </w:pPr>
          </w:p>
          <w:p>
            <w:pPr>
              <w:spacing w:line="360" w:lineRule="auto"/>
              <w:ind w:firstLine="480" w:firstLineChars="200"/>
              <w:jc w:val="left"/>
              <w:rPr>
                <w:rFonts w:ascii="Times New Roman" w:hAnsi="Times New Roman" w:cs="Times New Roman"/>
                <w:b/>
                <w:snapToGrid w:val="0"/>
                <w:color w:val="000000" w:themeColor="text1"/>
                <w:kern w:val="0"/>
                <w:sz w:val="24"/>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b/>
                <w:snapToGrid w:val="0"/>
                <w:color w:val="000000" w:themeColor="text1"/>
                <w:kern w:val="0"/>
                <w:sz w:val="24"/>
                <w:lang w:eastAsia="zh-CN"/>
              </w:rPr>
            </w:pPr>
          </w:p>
          <w:p>
            <w:pPr>
              <w:spacing w:line="360" w:lineRule="auto"/>
              <w:ind w:firstLine="480" w:firstLineChars="200"/>
              <w:jc w:val="left"/>
              <w:rPr>
                <w:rFonts w:hint="eastAsia" w:ascii="Times New Roman" w:hAnsi="Times New Roman" w:cs="Times New Roman" w:eastAsiaTheme="minorEastAsia"/>
                <w:b/>
                <w:snapToGrid w:val="0"/>
                <w:color w:val="000000" w:themeColor="text1"/>
                <w:kern w:val="0"/>
                <w:sz w:val="24"/>
                <w:lang w:eastAsia="zh-CN"/>
              </w:rPr>
            </w:pPr>
          </w:p>
          <w:p>
            <w:pPr>
              <w:spacing w:line="360" w:lineRule="auto"/>
              <w:ind w:firstLine="560" w:firstLineChars="200"/>
              <w:rPr>
                <w:rFonts w:ascii="Times New Roman" w:cs="Times New Roman" w:hAnsiTheme="minorEastAsia"/>
                <w:b/>
                <w:color w:val="000000" w:themeColor="text1"/>
                <w:sz w:val="28"/>
                <w:szCs w:val="28"/>
              </w:rPr>
            </w:pPr>
          </w:p>
          <w:p>
            <w:pPr>
              <w:spacing w:line="360" w:lineRule="auto"/>
              <w:ind w:firstLine="480" w:firstLineChars="200"/>
              <w:rPr>
                <w:rFonts w:ascii="Times New Roman" w:hAnsi="Times New Roman" w:cs="Times New Roman"/>
                <w:bCs/>
                <w:color w:val="000000" w:themeColor="text1"/>
                <w:sz w:val="24"/>
              </w:rPr>
            </w:pPr>
          </w:p>
        </w:tc>
      </w:tr>
    </w:tbl>
    <w:p>
      <w:r>
        <w:br w:type="page"/>
      </w:r>
    </w:p>
    <w:tbl>
      <w:tblPr>
        <w:tblStyle w:val="51"/>
        <w:tblW w:w="92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2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1" w:hRule="atLeast"/>
          <w:jc w:val="center"/>
        </w:trPr>
        <w:tc>
          <w:tcPr>
            <w:tcW w:w="9286" w:type="dxa"/>
          </w:tcPr>
          <w:p>
            <w:pPr>
              <w:spacing w:after="120" w:line="44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与本项目有关的原有污染情况及主要环境问题：</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eastAsia="宋体" w:cs="Times New Roman"/>
                <w:sz w:val="24"/>
              </w:rPr>
              <w:t>本项目</w:t>
            </w:r>
            <w:r>
              <w:rPr>
                <w:rFonts w:hint="eastAsia" w:cs="Times New Roman"/>
                <w:sz w:val="24"/>
              </w:rPr>
              <w:t>为饮水工程项目，经现场调查，不存在与本项目有关的原有污染问题。</w:t>
            </w: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pStyle w:val="19"/>
            </w:pPr>
          </w:p>
          <w:p/>
          <w:p>
            <w:pPr>
              <w:pStyle w:val="19"/>
            </w:pPr>
          </w:p>
          <w:p/>
          <w:p>
            <w:pPr>
              <w:pStyle w:val="19"/>
            </w:pPr>
          </w:p>
          <w:p/>
          <w:p>
            <w:pPr>
              <w:pStyle w:val="19"/>
            </w:pPr>
          </w:p>
          <w:p/>
          <w:p>
            <w:pPr>
              <w:pStyle w:val="19"/>
            </w:pPr>
          </w:p>
          <w:p/>
          <w:p>
            <w:pPr>
              <w:pStyle w:val="19"/>
            </w:pPr>
          </w:p>
          <w:p/>
          <w:p>
            <w:pPr>
              <w:pStyle w:val="19"/>
            </w:pPr>
          </w:p>
          <w:p/>
          <w:p/>
          <w:p>
            <w:pPr>
              <w:pStyle w:val="19"/>
            </w:pPr>
          </w:p>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tc>
      </w:tr>
    </w:tbl>
    <w:p>
      <w:pPr>
        <w:tabs>
          <w:tab w:val="left" w:pos="5760"/>
        </w:tabs>
        <w:adjustRightInd w:val="0"/>
        <w:snapToGrid w:val="0"/>
        <w:spacing w:before="156" w:beforeLines="50" w:after="156" w:afterLines="50"/>
        <w:outlineLvl w:val="0"/>
        <w:rPr>
          <w:rFonts w:ascii="Times New Roman" w:hAnsi="Times New Roman" w:cs="Times New Roman"/>
          <w:b/>
          <w:color w:val="000000" w:themeColor="text1"/>
          <w:sz w:val="30"/>
          <w:szCs w:val="30"/>
        </w:rPr>
        <w:sectPr>
          <w:foot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000000" w:themeColor="text1"/>
          <w:sz w:val="30"/>
          <w:szCs w:val="30"/>
        </w:rPr>
      </w:pPr>
      <w:r>
        <w:rPr>
          <w:rFonts w:hint="eastAsia" w:ascii="Times New Roman" w:hAnsi="Times New Roman" w:cs="Times New Roman"/>
          <w:b/>
          <w:color w:val="000000" w:themeColor="text1"/>
          <w:sz w:val="30"/>
          <w:szCs w:val="30"/>
        </w:rPr>
        <w:t>建设项目所在地自然环境社会环境简况                   (</w:t>
      </w:r>
      <w:r>
        <w:rPr>
          <w:rFonts w:hint="eastAsia" w:ascii="Times New Roman" w:hAnsi="Times New Roman" w:cs="Times New Roman"/>
          <w:b/>
          <w:snapToGrid w:val="0"/>
          <w:color w:val="000000" w:themeColor="text1"/>
          <w:kern w:val="0"/>
          <w:sz w:val="30"/>
          <w:szCs w:val="30"/>
        </w:rPr>
        <w:t>表二)</w:t>
      </w:r>
    </w:p>
    <w:tbl>
      <w:tblPr>
        <w:tblStyle w:val="5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9286" w:type="dxa"/>
          </w:tcPr>
          <w:p>
            <w:pPr>
              <w:spacing w:line="360" w:lineRule="auto"/>
              <w:rPr>
                <w:b/>
                <w:bCs/>
                <w:color w:val="000000" w:themeColor="text1"/>
                <w:sz w:val="24"/>
              </w:rPr>
            </w:pPr>
            <w:r>
              <w:rPr>
                <w:rFonts w:hint="eastAsia"/>
                <w:b/>
                <w:bCs/>
                <w:color w:val="000000" w:themeColor="text1"/>
                <w:sz w:val="24"/>
              </w:rPr>
              <w:t>自然环境简况</w:t>
            </w:r>
            <w:r>
              <w:rPr>
                <w:b/>
                <w:bCs/>
                <w:color w:val="000000" w:themeColor="text1"/>
                <w:sz w:val="24"/>
              </w:rPr>
              <w:t>(</w:t>
            </w:r>
            <w:r>
              <w:rPr>
                <w:rFonts w:hint="eastAsia"/>
                <w:b/>
                <w:bCs/>
                <w:color w:val="000000" w:themeColor="text1"/>
                <w:sz w:val="24"/>
              </w:rPr>
              <w:t>地形、地貌、地质、气侯、气象、水文、植被、生物多样性等</w:t>
            </w:r>
            <w:r>
              <w:rPr>
                <w:b/>
                <w:bCs/>
                <w:color w:val="000000" w:themeColor="text1"/>
                <w:sz w:val="24"/>
              </w:rPr>
              <w:t>)</w:t>
            </w:r>
            <w:r>
              <w:rPr>
                <w:rFonts w:hint="eastAsia"/>
                <w:b/>
                <w:bCs/>
                <w:color w:val="000000" w:themeColor="text1"/>
                <w:sz w:val="24"/>
              </w:rPr>
              <w:t>：</w:t>
            </w:r>
          </w:p>
          <w:p>
            <w:pPr>
              <w:spacing w:line="360" w:lineRule="auto"/>
              <w:ind w:right="105" w:rightChars="50"/>
              <w:rPr>
                <w:rFonts w:ascii="Times New Roman" w:hAnsi="Times New Roman" w:cs="Times New Roman"/>
                <w:b/>
                <w:bCs/>
                <w:color w:val="000000" w:themeColor="text1"/>
                <w:sz w:val="24"/>
              </w:rPr>
            </w:pPr>
            <w:r>
              <w:rPr>
                <w:rFonts w:hint="eastAsia" w:ascii="Times New Roman" w:cs="Times New Roman"/>
                <w:b/>
                <w:bCs/>
                <w:color w:val="000000" w:themeColor="text1"/>
                <w:sz w:val="24"/>
              </w:rPr>
              <w:t>一、地理位置</w:t>
            </w:r>
          </w:p>
          <w:p>
            <w:pPr>
              <w:spacing w:line="360" w:lineRule="auto"/>
              <w:ind w:firstLine="480" w:firstLineChars="200"/>
              <w:jc w:val="left"/>
              <w:rPr>
                <w:color w:val="000000"/>
                <w:sz w:val="24"/>
              </w:rPr>
            </w:pPr>
            <w:r>
              <w:rPr>
                <w:color w:val="000000"/>
                <w:sz w:val="24"/>
              </w:rPr>
              <w:t>松潘县位于四川省西北部、阿坝藏族羌族自治州东部，界于东经102°38′35″—104°15′36"，北纬32°06′54"—33°09′35"之间。东与绵阳市的平武县、北川县接壤，东北与九寨沟县相连，南依茂县，西及西南紧靠红原县，西北毗邻若尔盖县。全县东西长149公里，南北宽113公里，幅员面积8486平方公里。</w:t>
            </w:r>
          </w:p>
          <w:p>
            <w:pPr>
              <w:spacing w:line="360" w:lineRule="auto"/>
              <w:ind w:firstLine="480" w:firstLineChars="200"/>
              <w:jc w:val="left"/>
              <w:rPr>
                <w:color w:val="000000"/>
                <w:sz w:val="24"/>
              </w:rPr>
            </w:pPr>
            <w:r>
              <w:rPr>
                <w:color w:val="000000"/>
                <w:sz w:val="24"/>
              </w:rPr>
              <w:t>县城西北经红原县至州府马尔康431公里，距省会成都335公里，距著名的世界自然遗产、国家级风景名胜区黄龙56公里、牟尼沟风景区36公里，距世界自然遗产九寨沟风景名胜区104公里，距九寨黄龙机场28公里，距离县域唯一城镇川主寺17公里，位于四川西部旅游黄金路线的中心位置，“九环线”西线沿岷江纵贯全县。</w:t>
            </w:r>
          </w:p>
          <w:p>
            <w:pPr>
              <w:spacing w:line="360" w:lineRule="auto"/>
              <w:ind w:firstLine="480" w:firstLineChars="200"/>
              <w:jc w:val="left"/>
              <w:rPr>
                <w:sz w:val="24"/>
              </w:rPr>
            </w:pPr>
            <w:r>
              <w:rPr>
                <w:sz w:val="24"/>
              </w:rPr>
              <w:t>松潘县饮用水取水点在川主寺镇瞕金四村。至2016年以来，松潘县多措并举，加大对全县饮用水水源保护工作力度。一是加大对集中式饮用水保护区的规范化整治，严厉打击违法排污行为，开展农村饮用水水源地评估、划定工作，通过设立标识标牌、界桩、保护设施和开展例行监测，确保了饮用水水源安全。二是深入开展农村环境综合整治，实施了生态乡镇的污水处理管网补齐以及贫困村新建农村污水处理和垃圾处理工程。三是对全县地表水水质断面监测、集中式饮用水水源地水质、重点污染源、出入境段面水质、乡镇饮用水水质进行了监测，保障了县域生态环境质量监测等工作的顺利开展。四是严格按照《城镇污水处理厂污染物排放标准》(GB18918-2002）和《污水综合排放标准》要求，定期对县城集中式饮用水水源地、川主寺污水处理厂、黄龙管理局污水处理厂和四川岷江电解锰厂进行监测。通过以上举措，全县水质达标率为100%，集中式饮用水水源地水质达标率为100%。</w:t>
            </w:r>
          </w:p>
          <w:p>
            <w:pPr>
              <w:spacing w:line="360" w:lineRule="auto"/>
              <w:ind w:firstLine="480" w:firstLineChars="200"/>
              <w:rPr>
                <w:rFonts w:ascii="Times New Roman" w:hAnsi="Times New Roman" w:eastAsia="宋体" w:cs="Times New Roman"/>
                <w:sz w:val="24"/>
              </w:rPr>
            </w:pPr>
            <w:r>
              <w:rPr>
                <w:b/>
                <w:color w:val="000000"/>
                <w:sz w:val="24"/>
              </w:rPr>
              <w:t>项目地理位置见附图 1。</w:t>
            </w:r>
          </w:p>
          <w:p>
            <w:pPr>
              <w:spacing w:line="360" w:lineRule="auto"/>
              <w:jc w:val="left"/>
              <w:rPr>
                <w:rFonts w:ascii="Times New Roman" w:hAnsi="Times New Roman" w:cs="Times New Roman"/>
                <w:b/>
                <w:bCs/>
                <w:color w:val="000000" w:themeColor="text1"/>
                <w:kern w:val="0"/>
                <w:sz w:val="24"/>
              </w:rPr>
            </w:pPr>
            <w:r>
              <w:rPr>
                <w:rFonts w:hint="eastAsia" w:ascii="Times New Roman" w:cs="Times New Roman"/>
                <w:b/>
                <w:bCs/>
                <w:color w:val="000000" w:themeColor="text1"/>
                <w:kern w:val="0"/>
                <w:sz w:val="24"/>
              </w:rPr>
              <w:t>二、地形、地貌、地质条件</w:t>
            </w:r>
          </w:p>
          <w:p>
            <w:pPr>
              <w:spacing w:line="360" w:lineRule="auto"/>
              <w:ind w:firstLine="480" w:firstLineChars="200"/>
              <w:rPr>
                <w:color w:val="000000"/>
                <w:sz w:val="24"/>
              </w:rPr>
            </w:pPr>
            <w:r>
              <w:rPr>
                <w:color w:val="000000"/>
                <w:sz w:val="24"/>
              </w:rPr>
              <w:t>松潘县属于四川西部地槽区。在三亿六千万年前的古生代奥陶纪时，是一片广阔的海洋，现今松潘的地层，就是在那种古地理环境中经过长期海相沉积逐渐形成的。从志留纪起才开始出现地层，到中生代三叠纪陆地基本形成。经过印支、燕山、喜马拉雅运动，川西地面不断抬升，形成了现在这样山原交错、复杂多样的地貌特征。</w:t>
            </w:r>
          </w:p>
          <w:p>
            <w:pPr>
              <w:spacing w:line="360" w:lineRule="auto"/>
              <w:ind w:firstLine="480" w:firstLineChars="200"/>
              <w:rPr>
                <w:color w:val="000000"/>
                <w:sz w:val="24"/>
              </w:rPr>
            </w:pPr>
            <w:r>
              <w:rPr>
                <w:color w:val="000000"/>
                <w:sz w:val="24"/>
              </w:rPr>
              <w:t>松潘地层以岷江断裂、雪山断裂为界，分为西秦岭地层分区摩天岭小区和马尔康地层分区金川小区。两个小区地层在岩层、层序和古生物组合等方面有极大的差别。</w:t>
            </w:r>
          </w:p>
          <w:p>
            <w:pPr>
              <w:spacing w:line="360" w:lineRule="auto"/>
              <w:ind w:firstLine="480" w:firstLineChars="200"/>
              <w:rPr>
                <w:color w:val="000000"/>
                <w:sz w:val="24"/>
              </w:rPr>
            </w:pPr>
            <w:r>
              <w:rPr>
                <w:color w:val="000000"/>
                <w:sz w:val="24"/>
              </w:rPr>
              <w:t>1、西秦岭分区摩天岭小区：分布于岷山断裂以东和雪山断裂以北，包括县境东部及北部一部分地区。出露的地层有震旦系、志留系、泥盆系、石炭系、二迭系和三迭系等。本区地层，特别是卜古生代地层发育完全，古生物化石丰富。</w:t>
            </w:r>
          </w:p>
          <w:p>
            <w:pPr>
              <w:spacing w:line="360" w:lineRule="auto"/>
              <w:ind w:firstLine="480" w:firstLineChars="200"/>
              <w:rPr>
                <w:color w:val="000000"/>
                <w:sz w:val="24"/>
              </w:rPr>
            </w:pPr>
            <w:r>
              <w:rPr>
                <w:color w:val="000000"/>
                <w:sz w:val="24"/>
              </w:rPr>
              <w:t>2、马尔康分区金川小区：出露范围占全县大部分地区，包括南部、中部、西部和北部的广大地区。出露的地层有泥盆系、石炭系、二迭系、三迭系和四迭系等。泥盆系分布零星，石炭系上、中、下统俱全；二迭系仅存下统，缺乏上统；三迭系上、中、下统均有出露；第三系以角度不整合覆盖于下伏地层之卜，其余各系之间均为整合或平行不整合关系。该小区地层受区域变质作用影响，但变质程度很低。</w:t>
            </w:r>
          </w:p>
          <w:p>
            <w:pPr>
              <w:spacing w:line="360" w:lineRule="auto"/>
              <w:rPr>
                <w:rFonts w:ascii="Times New Roman" w:hAnsi="Times New Roman" w:cs="Times New Roman"/>
                <w:b/>
                <w:bCs/>
                <w:color w:val="000000" w:themeColor="text1"/>
                <w:kern w:val="0"/>
                <w:sz w:val="24"/>
              </w:rPr>
            </w:pPr>
            <w:r>
              <w:rPr>
                <w:rFonts w:hint="eastAsia" w:ascii="Times New Roman" w:cs="Times New Roman"/>
                <w:b/>
                <w:bCs/>
                <w:color w:val="000000" w:themeColor="text1"/>
                <w:kern w:val="0"/>
                <w:sz w:val="24"/>
              </w:rPr>
              <w:t>三、气候、气象</w:t>
            </w:r>
          </w:p>
          <w:p>
            <w:pPr>
              <w:spacing w:line="360" w:lineRule="auto"/>
              <w:ind w:firstLine="480" w:firstLineChars="200"/>
              <w:rPr>
                <w:color w:val="000000"/>
                <w:sz w:val="24"/>
              </w:rPr>
            </w:pPr>
            <w:r>
              <w:rPr>
                <w:color w:val="000000"/>
                <w:sz w:val="24"/>
              </w:rPr>
              <w:t>松潘深居内陆，海拔高，紧接川西北大草原，受高空西风气流和印度洋西南季风影响，明显具有青藏高原季风气候特征。由于地域辽阔，海拔悬殊，气候具有明显的地域性差异，小气候多样，垂直气候明显。松潘气候的基本特点有以下几点：</w:t>
            </w:r>
          </w:p>
          <w:p>
            <w:pPr>
              <w:spacing w:line="360" w:lineRule="auto"/>
              <w:ind w:firstLine="480" w:firstLineChars="200"/>
              <w:rPr>
                <w:color w:val="000000"/>
                <w:sz w:val="24"/>
              </w:rPr>
            </w:pPr>
            <w:r>
              <w:rPr>
                <w:color w:val="000000"/>
                <w:sz w:val="24"/>
              </w:rPr>
              <w:t>1、温度低，热量不足</w:t>
            </w:r>
          </w:p>
          <w:p>
            <w:pPr>
              <w:spacing w:line="360" w:lineRule="auto"/>
              <w:ind w:firstLine="480" w:firstLineChars="200"/>
              <w:rPr>
                <w:color w:val="000000"/>
                <w:sz w:val="24"/>
              </w:rPr>
            </w:pPr>
            <w:r>
              <w:rPr>
                <w:color w:val="000000"/>
                <w:sz w:val="24"/>
              </w:rPr>
              <w:t>县域境内除地处海拔1900米以下的地区气候较温暖外，大部分地区处于高寒山区，全年无夏，冬季漫长，四季不分明。就是在1900米以下四季较为分明的地区，也是冬长夏短，夏无酷暑，冬季寒冷。据县气象站记载，城区多年平均气温5.7℃，极端最高气温31.3℃，极端最低气温－21.1℃。最热月7月平均气温14.5℃，最冷月1月平均气温－4.3℃。大于或等于0℃的积温2396.3℃，大于或等于10℃的积温1321.9℃。无霜期短，城区多年平均无霜期68天，境内不少地区无绝对无霜期。以城区为例，土地封冻时间长达5个月，最大冻土层50厘米。</w:t>
            </w:r>
          </w:p>
          <w:p>
            <w:pPr>
              <w:spacing w:line="360" w:lineRule="auto"/>
              <w:ind w:firstLine="480" w:firstLineChars="200"/>
              <w:rPr>
                <w:color w:val="000000"/>
                <w:sz w:val="24"/>
              </w:rPr>
            </w:pPr>
            <w:r>
              <w:rPr>
                <w:color w:val="000000"/>
                <w:sz w:val="24"/>
              </w:rPr>
              <w:t>2、日照时间长，光能资源丰富</w:t>
            </w:r>
          </w:p>
          <w:p>
            <w:pPr>
              <w:spacing w:line="360" w:lineRule="auto"/>
              <w:ind w:firstLine="480" w:firstLineChars="200"/>
              <w:rPr>
                <w:color w:val="000000"/>
                <w:sz w:val="24"/>
              </w:rPr>
            </w:pPr>
            <w:r>
              <w:rPr>
                <w:color w:val="000000"/>
                <w:sz w:val="24"/>
              </w:rPr>
              <w:t>松潘地处高原，晴天日数多，日照时间长，太阳辐射强。松城县域全年日照时数多年平均为1822.3小时，日照百分率为41%，冬季的11、12月及次年1月份较高，达到50%以上，最低的6月份也有31%。全年太阳总辐射值为115.633千卡/m</w:t>
            </w:r>
            <w:r>
              <w:rPr>
                <w:color w:val="000000"/>
                <w:sz w:val="24"/>
                <w:vertAlign w:val="superscript"/>
              </w:rPr>
              <w:t>2</w:t>
            </w:r>
            <w:r>
              <w:rPr>
                <w:color w:val="000000"/>
                <w:sz w:val="24"/>
              </w:rPr>
              <w:t>，光合有效辐射值为56.659千卡/m</w:t>
            </w:r>
            <w:r>
              <w:rPr>
                <w:color w:val="000000"/>
                <w:sz w:val="24"/>
                <w:vertAlign w:val="superscript"/>
              </w:rPr>
              <w:t>2</w:t>
            </w:r>
            <w:r>
              <w:rPr>
                <w:color w:val="000000"/>
                <w:sz w:val="24"/>
              </w:rPr>
              <w:t>。在作物生长期的4—9月，光合有效辐射值为33.3千卡/m</w:t>
            </w:r>
            <w:r>
              <w:rPr>
                <w:color w:val="000000"/>
                <w:sz w:val="24"/>
                <w:vertAlign w:val="superscript"/>
              </w:rPr>
              <w:t>2</w:t>
            </w:r>
            <w:r>
              <w:rPr>
                <w:color w:val="000000"/>
                <w:sz w:val="24"/>
              </w:rPr>
              <w:t>，占全年总量的59%。丰富的光能资源有一定的高原增温效应，在较大程度上弥补着高寒山区热量不足的劣势。</w:t>
            </w:r>
          </w:p>
          <w:p>
            <w:pPr>
              <w:spacing w:line="360" w:lineRule="auto"/>
              <w:ind w:firstLine="480" w:firstLineChars="200"/>
              <w:rPr>
                <w:color w:val="000000"/>
                <w:sz w:val="24"/>
              </w:rPr>
            </w:pPr>
            <w:r>
              <w:rPr>
                <w:color w:val="000000"/>
                <w:sz w:val="24"/>
              </w:rPr>
              <w:t>3、雨热同期，降水集中</w:t>
            </w:r>
          </w:p>
          <w:p>
            <w:pPr>
              <w:spacing w:line="360" w:lineRule="auto"/>
              <w:ind w:firstLine="480" w:firstLineChars="200"/>
              <w:rPr>
                <w:color w:val="000000"/>
                <w:sz w:val="24"/>
              </w:rPr>
            </w:pPr>
            <w:r>
              <w:rPr>
                <w:color w:val="000000"/>
                <w:sz w:val="24"/>
              </w:rPr>
              <w:t>冬季气候严寒，降雪稀少，晴天特多，大气干燥。而5～9月，雨量充沛，形成雨热闹期、干雨季分明、降水集中的特征。据县气象站记载，全年降水集中在5～9月，占全年总量的72%，而在11月到次年2月的4个月份的降水量仅占全年的4.7%，即使个别年份降水稍多，也难超过10%。从各地的降水量来看，分布不平衡。松城年平均降水量729.7毫米，为半湿润气候区，少雨的镇坪乡平均降水量只有580.6毫米，为半干旱河谷地带。多雨的施家堡乡，年均降水量可达913.6毫米。</w:t>
            </w:r>
          </w:p>
          <w:p>
            <w:pPr>
              <w:spacing w:line="360" w:lineRule="auto"/>
              <w:ind w:firstLine="480" w:firstLineChars="200"/>
              <w:rPr>
                <w:color w:val="000000"/>
                <w:sz w:val="24"/>
              </w:rPr>
            </w:pPr>
            <w:r>
              <w:rPr>
                <w:color w:val="000000"/>
                <w:sz w:val="24"/>
              </w:rPr>
              <w:t>4、气温年较差小，日较差大</w:t>
            </w:r>
          </w:p>
          <w:p>
            <w:pPr>
              <w:spacing w:line="360" w:lineRule="auto"/>
              <w:ind w:firstLine="480" w:firstLineChars="200"/>
              <w:rPr>
                <w:color w:val="000000"/>
                <w:sz w:val="24"/>
              </w:rPr>
            </w:pPr>
            <w:r>
              <w:rPr>
                <w:color w:val="000000"/>
                <w:sz w:val="24"/>
              </w:rPr>
              <w:t>记载分析，一年内温差为18.8℃，一月内温差在10.1～23.1℃之间，累年平均为14.8℃。日较差大有利于作物对积温的利用。</w:t>
            </w:r>
          </w:p>
          <w:p>
            <w:pPr>
              <w:spacing w:line="360" w:lineRule="auto"/>
              <w:ind w:firstLine="480" w:firstLineChars="200"/>
              <w:rPr>
                <w:color w:val="000000"/>
                <w:sz w:val="24"/>
              </w:rPr>
            </w:pPr>
            <w:r>
              <w:rPr>
                <w:color w:val="000000"/>
                <w:sz w:val="24"/>
              </w:rPr>
              <w:t>5、灾害性天气活动频繁</w:t>
            </w:r>
          </w:p>
          <w:p>
            <w:pPr>
              <w:spacing w:line="360" w:lineRule="auto"/>
              <w:ind w:firstLine="480" w:firstLineChars="200"/>
              <w:rPr>
                <w:rFonts w:ascii="Times New Roman" w:hAnsi="Times New Roman" w:cs="Times New Roman"/>
                <w:color w:val="000000" w:themeColor="text1"/>
                <w:sz w:val="24"/>
              </w:rPr>
            </w:pPr>
            <w:r>
              <w:rPr>
                <w:color w:val="000000"/>
                <w:sz w:val="24"/>
              </w:rPr>
              <w:t>三四月份的寒潮连阴雪，七、八月份的伏旱，九、十月份的连阴雨，以及整个雨季期间的暴雨、冰雹、洪涝等灾害天气，常造成严重的自然灾害。</w:t>
            </w:r>
            <w:r>
              <w:rPr>
                <w:color w:val="000000"/>
                <w:sz w:val="24"/>
              </w:rPr>
              <w:cr/>
            </w:r>
            <w:r>
              <w:rPr>
                <w:rFonts w:hint="eastAsia" w:ascii="Times New Roman" w:cs="Times New Roman"/>
                <w:b/>
                <w:bCs/>
                <w:color w:val="000000" w:themeColor="text1"/>
                <w:sz w:val="24"/>
              </w:rPr>
              <w:t>四、</w:t>
            </w:r>
            <w:r>
              <w:rPr>
                <w:rFonts w:hint="eastAsia" w:ascii="Times New Roman" w:cs="Times New Roman"/>
                <w:b/>
                <w:bCs/>
                <w:color w:val="000000" w:themeColor="text1"/>
                <w:sz w:val="24"/>
                <w:lang w:val="en-US" w:eastAsia="zh-CN"/>
              </w:rPr>
              <w:t>水文</w:t>
            </w:r>
            <w:r>
              <w:rPr>
                <w:rFonts w:hint="eastAsia" w:ascii="Times New Roman" w:cs="Times New Roman"/>
                <w:b/>
                <w:bCs/>
                <w:color w:val="000000" w:themeColor="text1"/>
                <w:sz w:val="24"/>
              </w:rPr>
              <w:t>水系</w:t>
            </w:r>
          </w:p>
          <w:p>
            <w:pPr>
              <w:spacing w:line="360" w:lineRule="auto"/>
              <w:ind w:firstLine="480" w:firstLineChars="200"/>
              <w:rPr>
                <w:rFonts w:hint="default"/>
                <w:bCs/>
                <w:color w:val="000000"/>
                <w:sz w:val="24"/>
                <w:lang w:val="en-US" w:eastAsia="zh-CN"/>
              </w:rPr>
            </w:pPr>
            <w:r>
              <w:rPr>
                <w:rFonts w:hint="eastAsia"/>
                <w:bCs/>
                <w:color w:val="000000"/>
                <w:sz w:val="24"/>
                <w:lang w:val="en-US" w:eastAsia="zh-CN"/>
              </w:rPr>
              <w:t>1、水文</w:t>
            </w:r>
          </w:p>
          <w:p>
            <w:pPr>
              <w:spacing w:line="360" w:lineRule="auto"/>
              <w:ind w:firstLine="480" w:firstLineChars="200"/>
              <w:rPr>
                <w:rFonts w:hint="default" w:eastAsiaTheme="minorEastAsia"/>
                <w:bCs/>
                <w:color w:val="000000"/>
                <w:sz w:val="24"/>
                <w:lang w:val="en-US" w:eastAsia="zh-CN"/>
              </w:rPr>
            </w:pPr>
            <w:r>
              <w:rPr>
                <w:rFonts w:hint="eastAsia"/>
                <w:bCs/>
                <w:color w:val="000000"/>
                <w:sz w:val="24"/>
                <w:lang w:val="en-US" w:eastAsia="zh-CN"/>
              </w:rPr>
              <w:t>本项目工作地处岷江上游以及支流牟泥沟，属于长江水系，</w:t>
            </w:r>
            <w:r>
              <w:rPr>
                <w:rFonts w:hint="eastAsia"/>
                <w:color w:val="000000"/>
                <w:sz w:val="24"/>
              </w:rPr>
              <w:t>水系分布情况见下图。</w:t>
            </w:r>
          </w:p>
          <w:p>
            <w:pPr>
              <w:spacing w:line="360" w:lineRule="auto"/>
              <w:jc w:val="center"/>
            </w:pPr>
            <w:r>
              <w:pict>
                <v:shape id="矩形标注 28" o:spid="_x0000_s3918" o:spt="61" type="#_x0000_t61" style="position:absolute;left:0pt;margin-left:279pt;margin-top:147.65pt;height:21.7pt;width:53.35pt;z-index:204800;mso-width-relative:page;mso-height-relative:page;" filled="f" stroked="t" coordsize="21600,21600" o:gfxdata="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r5drzaAAAACwEAAA8AAAAAAAAAAQAgAAAAIgAAAGRycy9kb3ducmV2LnhtbFBLAQIU&#10;ABQAAAAIAIdO4kCuXGXeKgIAACUEAAAOAAAAAAAAAAEAIAAAACkBAABkcnMvZTJvRG9jLnhtbFBL&#10;BQYAAAAABgAGAFkBAADFBQAAAAA=&#10;" adj="-1465,44757">
                  <v:path/>
                  <v:fill on="f" focussize="0,0"/>
                  <v:stroke weight="1.5pt" color="#FF0000" joinstyle="miter"/>
                  <v:imagedata o:title=""/>
                  <o:lock v:ext="edit" aspectratio="f"/>
                  <v:textbox>
                    <w:txbxContent>
                      <w:p>
                        <w:pPr>
                          <w:spacing w:line="240" w:lineRule="exact"/>
                          <w:ind w:firstLine="0" w:firstLineChars="0"/>
                          <w:rPr>
                            <w:color w:val="FF0000"/>
                          </w:rPr>
                        </w:pPr>
                        <w:r>
                          <w:rPr>
                            <w:rFonts w:hint="eastAsia"/>
                            <w:color w:val="FF0000"/>
                          </w:rPr>
                          <w:t>工作区</w:t>
                        </w:r>
                      </w:p>
                    </w:txbxContent>
                  </v:textbox>
                </v:shape>
              </w:pict>
            </w:r>
            <w:r>
              <w:drawing>
                <wp:inline distT="0" distB="0" distL="114300" distR="114300">
                  <wp:extent cx="5146675" cy="3992245"/>
                  <wp:effectExtent l="0" t="0" r="15875" b="825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1"/>
                          <a:stretch>
                            <a:fillRect/>
                          </a:stretch>
                        </pic:blipFill>
                        <pic:spPr>
                          <a:xfrm>
                            <a:off x="0" y="0"/>
                            <a:ext cx="5146675" cy="39922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图2-1 松潘县水系图</w:t>
            </w:r>
          </w:p>
          <w:p>
            <w:pPr>
              <w:spacing w:line="360" w:lineRule="auto"/>
              <w:ind w:firstLine="480" w:firstLineChars="200"/>
              <w:rPr>
                <w:color w:val="000000"/>
                <w:sz w:val="24"/>
              </w:rPr>
            </w:pPr>
            <w:r>
              <w:rPr>
                <w:rFonts w:hint="eastAsia"/>
                <w:color w:val="000000"/>
                <w:sz w:val="24"/>
              </w:rPr>
              <w:t>岷江又称汶江、都江，有东西二源。东源为弓杠岭的隆板棚，西源为浪架岭，海拔4000m左右，两水在川主寺汇合。岷江纵贯县境南北，流经水晶、山巴、川主寺、十里、进安、青云、安宏、岷江、镇江、镇坪11个乡镇，54个村，在县境内河流长度150km，集水面积4764km²，平均比降11.7%，夏季最大流量127m³/s，冬季最小流量66.5m³/s，主要来源于降水。6～10月为汛期，7至9月降水最多。县境内为高山峡谷，水流湍急，水温低，镇江关一带年平均水温为6.2℃，有大小支流90 余条，主要支流有祁让沟、啊嗡沟、安备沟、漳腊沟、上尼巴河、上纳咪河、若尔沟、大沟、双泉沟、牟尼沟、黄胜关河，是县内最大的常年性河流，为发电、灌溉、人畜饮水的主要河道。</w:t>
            </w:r>
          </w:p>
          <w:p>
            <w:pPr>
              <w:spacing w:line="360" w:lineRule="auto"/>
              <w:ind w:firstLine="482"/>
              <w:rPr>
                <w:sz w:val="24"/>
              </w:rPr>
            </w:pPr>
            <w:r>
              <w:rPr>
                <w:rFonts w:hint="eastAsia"/>
                <w:sz w:val="24"/>
              </w:rPr>
              <w:t>松潘境内沟谷纵横，水文条件复杂，其对泥石流的影响主要表现在沟谷汇水面积大，易汇集较大流量水流，为泥石流创造动力条件，降雨后洪流侧蚀、下切沟谷松散土体及由此引起的崩塌滑坡为泥石流提供物质基础。河流冲刷，洪水、地表、地下水体活动等是地质灾害形成和发育的重要诱因。地表水对坡面的冲刷、下渗，地下水位升高，增加山坡土体的含水量，降低土体的稳定性；河流对坡脚的冲刷、侵蚀，易使边坡失去支撑而失稳。地表径流的变化与降水一致，每年5～9月进入汛期，降水增加地表径流增大，对边坡的冲刷和河流的侧蚀作用增强，是地质灾害频发区。</w:t>
            </w:r>
          </w:p>
          <w:p>
            <w:pPr>
              <w:spacing w:line="360" w:lineRule="auto"/>
              <w:ind w:firstLine="482"/>
              <w:rPr>
                <w:color w:val="000000"/>
                <w:sz w:val="24"/>
              </w:rPr>
            </w:pPr>
            <w:r>
              <w:rPr>
                <w:rFonts w:hint="eastAsia"/>
                <w:sz w:val="24"/>
              </w:rPr>
              <w:t>境内河流水量与大气降雨密切相关，大气降雨是地表水的主要补给来源。影响地质灾害发育的水文因素主要是河水对岸坡的冲刷和洪水涨落形成的动水压力。县域内地势高陡，切割深度较大，沟谷较短小，沟床坡降较大，大量降雨形成的地表迳流易于迳流和排泄，受狭窄河谷条件限制，急剧汇集的大量地表迳流容易形成洪峰流量，河谷洪水位急速上升而造成洪水发生，同时也易引发滑坡、崩塌和泥石流等地质灾害的发生，对河谷沿岸的人民生命财产安全构成危害或威胁。另外在松潘县域内由于农业生产用水需求量大，修建的蓄水埝塘较多，地表水的长期渗透、浸润和软化作用，降低了所在地带斜坡的稳定性。</w:t>
            </w:r>
          </w:p>
          <w:p>
            <w:pPr>
              <w:spacing w:line="360" w:lineRule="auto"/>
              <w:ind w:firstLine="480" w:firstLineChars="200"/>
              <w:rPr>
                <w:rFonts w:hint="default" w:eastAsiaTheme="minorEastAsia"/>
                <w:bCs/>
                <w:color w:val="000000"/>
                <w:sz w:val="24"/>
                <w:lang w:val="en-US" w:eastAsia="zh-CN"/>
              </w:rPr>
            </w:pPr>
            <w:r>
              <w:rPr>
                <w:rFonts w:hint="eastAsia"/>
                <w:bCs/>
                <w:color w:val="000000"/>
                <w:sz w:val="24"/>
                <w:lang w:val="en-US" w:eastAsia="zh-CN"/>
              </w:rPr>
              <w:t>2、水系</w:t>
            </w:r>
          </w:p>
          <w:p>
            <w:pPr>
              <w:spacing w:line="360" w:lineRule="auto"/>
              <w:ind w:firstLine="480" w:firstLineChars="200"/>
              <w:rPr>
                <w:bCs/>
                <w:color w:val="000000"/>
                <w:sz w:val="24"/>
              </w:rPr>
            </w:pPr>
            <w:r>
              <w:rPr>
                <w:bCs/>
                <w:color w:val="000000"/>
                <w:sz w:val="24"/>
              </w:rPr>
              <w:t>松潘是长江上游主要支流——岷江和涪江的发源地。主要河流有5条，分别为岷江、涪江、热务曲、毛儿盖河、白草河。流域面积50平方公里以上的支沟共计约39条，总长1227公里。全县河流径流总量40.2亿立方米。河流受山脉走向控制，河床坡度较大，水势湍急，谷坡陡，比降大，径流强，水能资源丰富。</w:t>
            </w:r>
          </w:p>
          <w:p>
            <w:pPr>
              <w:spacing w:line="360" w:lineRule="auto"/>
              <w:ind w:firstLine="480" w:firstLineChars="200"/>
              <w:rPr>
                <w:bCs/>
                <w:color w:val="000000"/>
                <w:sz w:val="24"/>
              </w:rPr>
            </w:pPr>
            <w:r>
              <w:rPr>
                <w:bCs/>
                <w:color w:val="000000"/>
                <w:sz w:val="24"/>
              </w:rPr>
              <w:t>岷江：发源于弓杠岭，东源隆板棚，西源廊架岭，为松潘第一大河。自北向南贯穿中部全境，县境流长150公里。岷江水系流域面积占全县总面积的77.6%。</w:t>
            </w:r>
          </w:p>
          <w:p>
            <w:pPr>
              <w:spacing w:line="360" w:lineRule="auto"/>
              <w:ind w:firstLine="480" w:firstLineChars="200"/>
              <w:rPr>
                <w:bCs/>
                <w:color w:val="000000"/>
                <w:sz w:val="24"/>
              </w:rPr>
            </w:pPr>
            <w:r>
              <w:rPr>
                <w:bCs/>
                <w:color w:val="000000"/>
                <w:sz w:val="24"/>
              </w:rPr>
              <w:t>涪江：发源于雪宝顶（雪山梁子东麓），自西向东流经小河地区全境，县境流长65公里。涪江水系流域面积占全县总面积的20.6%。</w:t>
            </w:r>
          </w:p>
          <w:p>
            <w:pPr>
              <w:spacing w:line="360" w:lineRule="auto"/>
              <w:ind w:firstLine="480" w:firstLineChars="200"/>
              <w:rPr>
                <w:bCs/>
                <w:color w:val="000000"/>
                <w:sz w:val="24"/>
              </w:rPr>
            </w:pPr>
            <w:r>
              <w:rPr>
                <w:bCs/>
                <w:color w:val="000000"/>
                <w:sz w:val="24"/>
              </w:rPr>
              <w:t>热务曲：即热务河，发源于锣锅旋山，为岷江上游一大支流。山北向南流经热务沟地区全境，全河流长127公里；</w:t>
            </w:r>
          </w:p>
          <w:p>
            <w:pPr>
              <w:spacing w:line="360" w:lineRule="auto"/>
              <w:ind w:firstLine="480" w:firstLineChars="200"/>
              <w:rPr>
                <w:bCs/>
                <w:color w:val="000000"/>
                <w:sz w:val="24"/>
              </w:rPr>
            </w:pPr>
            <w:r>
              <w:rPr>
                <w:bCs/>
                <w:color w:val="000000"/>
                <w:sz w:val="24"/>
              </w:rPr>
              <w:t>毛儿盖河：发源于夏沃隆山麓，由北向南流经毛儿盖地区全境，县境流长91公里；</w:t>
            </w:r>
          </w:p>
          <w:p>
            <w:pPr>
              <w:spacing w:line="360" w:lineRule="auto"/>
              <w:ind w:firstLine="480" w:firstLineChars="200"/>
              <w:rPr>
                <w:bCs/>
                <w:color w:val="000000"/>
                <w:sz w:val="24"/>
              </w:rPr>
            </w:pPr>
            <w:r>
              <w:rPr>
                <w:bCs/>
                <w:color w:val="000000"/>
                <w:sz w:val="24"/>
              </w:rPr>
              <w:t>白草河：发源于桦子岭北侧，为涪江上游一大支流。由西向东南流经白羊乡的15个村，县境流长39公里。</w:t>
            </w:r>
          </w:p>
          <w:p>
            <w:pPr>
              <w:spacing w:line="360" w:lineRule="auto"/>
              <w:ind w:firstLine="480" w:firstLineChars="200"/>
              <w:rPr>
                <w:bCs/>
                <w:color w:val="000000"/>
                <w:sz w:val="24"/>
              </w:rPr>
            </w:pPr>
            <w:r>
              <w:rPr>
                <w:bCs/>
                <w:color w:val="000000"/>
                <w:sz w:val="24"/>
              </w:rPr>
              <w:t>另外县域县境内的湖泊，共有高山湖泊29个，水域总面积2.67平方公里，多分布于海拔3800以上地区。湖泊主要集中于两个地区，西部以毛儿盖的上下羊拱海为主的湖泊有8个，最大的上羊拱海面积630亩。东部红星岩处的湖泊有8个。牟尼沟境内的头道海和二道海，面积在10亩以上。</w:t>
            </w:r>
          </w:p>
          <w:p>
            <w:pPr>
              <w:spacing w:line="360" w:lineRule="auto"/>
              <w:ind w:firstLine="480" w:firstLineChars="200"/>
              <w:rPr>
                <w:bCs/>
                <w:color w:val="000000"/>
                <w:sz w:val="24"/>
              </w:rPr>
            </w:pPr>
            <w:r>
              <w:rPr>
                <w:bCs/>
                <w:color w:val="000000"/>
                <w:sz w:val="24"/>
              </w:rPr>
              <w:t>松潘境内河川溪沟密布，流量充沛，水能资源丰富。全县水能资源的理论蕴藏量为75万千瓦，可开发量11.85万千瓦。已开发量0.62万千瓦，仅占可开发量的5.1%。发展小水电，其潜力很大。</w:t>
            </w:r>
          </w:p>
          <w:p>
            <w:pPr>
              <w:spacing w:line="360" w:lineRule="auto"/>
              <w:ind w:firstLine="480" w:firstLineChars="200"/>
              <w:rPr>
                <w:bCs/>
                <w:color w:val="000000"/>
                <w:sz w:val="24"/>
              </w:rPr>
            </w:pPr>
            <w:r>
              <w:rPr>
                <w:bCs/>
                <w:color w:val="000000"/>
                <w:sz w:val="24"/>
              </w:rPr>
              <w:t>本项目</w:t>
            </w:r>
            <w:r>
              <w:rPr>
                <w:rFonts w:hint="eastAsia"/>
                <w:bCs/>
                <w:color w:val="000000"/>
                <w:sz w:val="24"/>
                <w:lang w:val="en-US" w:eastAsia="zh-CN"/>
              </w:rPr>
              <w:t>所在区域</w:t>
            </w:r>
            <w:r>
              <w:rPr>
                <w:bCs/>
                <w:color w:val="000000"/>
                <w:sz w:val="24"/>
              </w:rPr>
              <w:t>地表水为</w:t>
            </w:r>
            <w:r>
              <w:rPr>
                <w:rFonts w:hint="eastAsia"/>
                <w:bCs/>
                <w:color w:val="000000"/>
                <w:sz w:val="24"/>
                <w:lang w:val="en-US" w:eastAsia="zh-CN"/>
              </w:rPr>
              <w:t>岷江水系，</w:t>
            </w:r>
            <w:r>
              <w:rPr>
                <w:bCs/>
                <w:color w:val="000000"/>
                <w:sz w:val="24"/>
              </w:rPr>
              <w:t>其水域功能为行洪和灌溉，</w:t>
            </w:r>
            <w:r>
              <w:rPr>
                <w:rFonts w:hint="eastAsia"/>
                <w:bCs/>
                <w:color w:val="000000"/>
                <w:sz w:val="24"/>
                <w:lang w:val="en-US" w:eastAsia="zh-CN"/>
              </w:rPr>
              <w:t>本项目</w:t>
            </w:r>
            <w:r>
              <w:rPr>
                <w:bCs/>
                <w:color w:val="000000"/>
                <w:sz w:val="24"/>
              </w:rPr>
              <w:t>下游</w:t>
            </w:r>
            <w:r>
              <w:rPr>
                <w:rFonts w:hint="eastAsia"/>
                <w:bCs/>
                <w:color w:val="000000"/>
                <w:sz w:val="24"/>
                <w:lang w:val="en-US" w:eastAsia="zh-CN"/>
              </w:rPr>
              <w:t>评价区域内</w:t>
            </w:r>
            <w:r>
              <w:rPr>
                <w:bCs/>
                <w:color w:val="000000"/>
                <w:sz w:val="24"/>
              </w:rPr>
              <w:t>无集中饮用水源。</w:t>
            </w:r>
          </w:p>
          <w:p>
            <w:pPr>
              <w:spacing w:line="360" w:lineRule="auto"/>
              <w:rPr>
                <w:rFonts w:ascii="Times New Roman" w:hAnsi="Times New Roman" w:cs="Times New Roman"/>
                <w:b/>
                <w:bCs/>
                <w:color w:val="000000" w:themeColor="text1"/>
                <w:kern w:val="0"/>
                <w:sz w:val="24"/>
              </w:rPr>
            </w:pPr>
            <w:r>
              <w:rPr>
                <w:rFonts w:hint="eastAsia" w:ascii="Times New Roman" w:cs="Times New Roman"/>
                <w:b/>
                <w:bCs/>
                <w:color w:val="000000" w:themeColor="text1"/>
                <w:kern w:val="0"/>
                <w:sz w:val="24"/>
              </w:rPr>
              <w:t>五、旅游资源</w:t>
            </w:r>
          </w:p>
          <w:p>
            <w:pPr>
              <w:spacing w:line="360" w:lineRule="auto"/>
              <w:ind w:firstLine="480" w:firstLineChars="200"/>
              <w:rPr>
                <w:color w:val="000000"/>
                <w:sz w:val="24"/>
              </w:rPr>
            </w:pPr>
            <w:r>
              <w:rPr>
                <w:color w:val="000000"/>
                <w:sz w:val="24"/>
              </w:rPr>
              <w:t xml:space="preserve">松潘历史文化和自然景观资源都极为丰富。自然景观资源以拥有世界自然遗产、世界人与生物圈保护区、绿色环球21、国家级5A景区四项桂冠的黄龙风景名胜区为核心，被誉为“人间瑶池”、“人间仙境”、“浓缩的锦绣中华”；另外，牟尼沟、丹云峡、奇峡沟、雪宝顶、红星岩、大草原等自然风光也吸引着大量的游客。 </w:t>
            </w:r>
          </w:p>
          <w:p>
            <w:pPr>
              <w:spacing w:line="360" w:lineRule="auto"/>
              <w:ind w:firstLine="480" w:firstLineChars="200"/>
              <w:rPr>
                <w:color w:val="000000"/>
                <w:sz w:val="24"/>
              </w:rPr>
            </w:pPr>
            <w:r>
              <w:rPr>
                <w:color w:val="000000"/>
                <w:sz w:val="24"/>
              </w:rPr>
              <w:t>松潘悠久的历史、多样的人口组成，构成了多元共融、历史积淀的独具特色的文化形态。各类古遗迹、古遗址、民族村寨散布松潘境内，四川省历史文化名城松潘古城，体现古代军事争战的国家级文物保护单位松潘古城墙和代表宗教文化的寺院、图腾象征等，都蕴含了极其丰富的文化意义；以红军长征纪念碑碑园、“毛尔盖会议”和“沙窝会议”遗址为载体的红色旅游资源已成为重要的爱国主义教育基地。这些丰富的历史、宗教、文化遗址以及红色旅游资源，是促进松潘县经济增长和社会发展的重要资源，合理有效地开发利用，以此启动文化旅游板块，弥补单纯以自然景观旅游的松潘旅游业的不足，是松潘旅游业可持续发展的必然选择。</w:t>
            </w:r>
          </w:p>
          <w:p>
            <w:pPr>
              <w:spacing w:line="360" w:lineRule="auto"/>
              <w:rPr>
                <w:rFonts w:ascii="Times New Roman" w:hAnsi="Times New Roman" w:cs="Times New Roman"/>
                <w:b/>
                <w:bCs/>
                <w:color w:val="000000" w:themeColor="text1"/>
                <w:sz w:val="24"/>
              </w:rPr>
            </w:pPr>
            <w:r>
              <w:rPr>
                <w:rFonts w:hint="eastAsia" w:ascii="Times New Roman" w:cs="Times New Roman"/>
                <w:b/>
                <w:bCs/>
                <w:color w:val="000000" w:themeColor="text1"/>
                <w:sz w:val="24"/>
              </w:rPr>
              <w:t>六、动植物资源</w:t>
            </w:r>
          </w:p>
          <w:p>
            <w:pPr>
              <w:spacing w:line="360" w:lineRule="auto"/>
              <w:ind w:firstLine="480" w:firstLineChars="200"/>
              <w:rPr>
                <w:color w:val="000000"/>
                <w:sz w:val="24"/>
              </w:rPr>
            </w:pPr>
            <w:r>
              <w:rPr>
                <w:color w:val="000000"/>
                <w:sz w:val="24"/>
              </w:rPr>
              <w:t>松潘县动植物资源丰富，主要牲畜有牦牛、犏牛、黄杂牛、马、骡、驴、绵羊、山羊、猪等；2009年底各类牲畜存栏26.3万头（匹、只）。野生动物种类繁多，仅脊椎动物就有258种，其中：鸟类110种；兽类120种；爬行类14种；两栖类6种；鱼类8种。有大熊猫、金丝猴、云豹、牛羚等国家一级保护珍稀动物10余种，猕猴、大灵猫、盘羊、岩羊、蓝马鸡等国家二级保护动物30余种。松潘的农作物主要为玉米、小麦、胡豆、青稞、洋芋，低海拔地区可一年两熟或三年两熟；有乔木树种230多种，以优质用材林云杉、冷杉、桦木为主。灌丛以竹、沙棘、柳、杜鹃为主。牦牛资源：牦牛肉是世界公认的绿色食品，松潘非常适宜牦牛等优质牲畜的养殖。全县牦牛存栏9.9万头，年出栏3.5万头。野生中药材资源：松潘县盛产贝母、天麻、冬虫夏草、大黄、黄芪等野生中药材，总蕴藏量在250万公斤以上。贝母：川贝母是享誉世界的名贵中药材，松潘贝母是川贝母的代表。我县贝母人工种植技术基本成熟，已发展贝母种子基地20亩、种植基地1000亩。计划种植2万亩。“三木药材”：我县“三木药材”即杜仲、厚朴、黄柏，种植面积已达2.1万余亩，年产量在100万公斤以上。计划种植3.5万亩、年产量达200万公斤以上，建成阿坝州最大的“三木药材”基地。</w:t>
            </w:r>
          </w:p>
          <w:p>
            <w:pPr>
              <w:spacing w:line="360" w:lineRule="auto"/>
              <w:ind w:firstLine="480" w:firstLineChars="200"/>
              <w:rPr>
                <w:sz w:val="24"/>
              </w:rPr>
            </w:pPr>
            <w:r>
              <w:rPr>
                <w:sz w:val="24"/>
              </w:rPr>
              <w:t>岷江上游共有鱼类28种，分隶于4目8科16属：鲑形目的鲑科1属1种；鲤形目的鳅科3属10种，鲤科4属5种。平鳍鳅科2属2种；鲶形目的鲶科1属2种，钝头跪科1属2种，鮡科3属5种；鲈形目的吓虎鱼科1属I种。在岷江上游鱼类中，鲤形目鱼类的种类较多，有17种，占色类总种数的60.71 %；其次鳃形目有9种，占32.14%。这两个目的种类占岷江上游鱼类总种数的92.86%。</w:t>
            </w:r>
          </w:p>
          <w:p>
            <w:pPr>
              <w:spacing w:line="360" w:lineRule="auto"/>
              <w:ind w:firstLine="480" w:firstLineChars="200"/>
              <w:rPr>
                <w:sz w:val="24"/>
              </w:rPr>
            </w:pPr>
            <w:r>
              <w:rPr>
                <w:sz w:val="24"/>
              </w:rPr>
              <w:t>岷江上游有珍稀和特有鱼类及保护鱼类10多种。其中网家和四川省重点保护种类有虎嘉鱼、多带高原鳅、重口裂腹鱼、松潘裸鲤、青石爬鮡和四川鮡等6种。目前虎嘉鱼、青石爬鮡和四川鮡等种类的种群数甚少，在这一段濒临绝迹。如不采取有效措施加以保护，这种鱼的模式标本产地将不复见其踪影。</w:t>
            </w:r>
          </w:p>
          <w:p>
            <w:pPr>
              <w:spacing w:line="360" w:lineRule="auto"/>
              <w:rPr>
                <w:rFonts w:ascii="Times New Roman" w:hAnsi="Times New Roman" w:cs="Times New Roman"/>
                <w:b/>
                <w:bCs/>
                <w:color w:val="000000" w:themeColor="text1"/>
                <w:sz w:val="24"/>
              </w:rPr>
            </w:pPr>
            <w:r>
              <w:rPr>
                <w:rFonts w:hint="eastAsia" w:ascii="Times New Roman" w:cs="Times New Roman"/>
                <w:b/>
                <w:bCs/>
                <w:color w:val="000000" w:themeColor="text1"/>
                <w:sz w:val="24"/>
              </w:rPr>
              <w:t>七、水利工程</w:t>
            </w:r>
          </w:p>
          <w:p>
            <w:pPr>
              <w:adjustRightInd w:val="0"/>
              <w:snapToGrid w:val="0"/>
              <w:spacing w:line="360" w:lineRule="auto"/>
              <w:ind w:firstLine="480" w:firstLineChars="200"/>
              <w:rPr>
                <w:sz w:val="24"/>
              </w:rPr>
            </w:pPr>
            <w:r>
              <w:rPr>
                <w:sz w:val="24"/>
              </w:rPr>
              <w:t>岷江水资源的利用，据1973年资料：农田灌溉50亿立方米，工业用水6.7亿立方米：加工漂木10.4亿立方米（木材年漂运量是50万立方米）。岷江干支流水能理论蕴藏量为1332万千瓦（不包括大渡河、青衣江），其中干流为821.7万千瓦，而灌县至乐山段即育106.3万千瓦。乐山以下287万于瓦。岷江上游河道比降大，汶川至灌县平均每公里河长有水能资源2.5万千瓦。岷江干流上可以作为电站位置的有30处，上游有虹桥关、西宁关、龙滩、五星堡、莲花岩、十里沟、石鼓、桃关等处，据干流梯级开发规划，共有引水式、河床式梯级5处，其中映秀湾电站已经建成；支流黑水河、杂谷脑河、渔子溪、寿江、白沙河还有9个梯级，其中渔子溪一级电站业已建成。</w:t>
            </w:r>
          </w:p>
          <w:p>
            <w:pPr>
              <w:adjustRightInd w:val="0"/>
              <w:snapToGrid w:val="0"/>
              <w:spacing w:line="360" w:lineRule="auto"/>
              <w:ind w:firstLine="480" w:firstLineChars="200"/>
              <w:rPr>
                <w:sz w:val="24"/>
              </w:rPr>
            </w:pPr>
            <w:r>
              <w:rPr>
                <w:sz w:val="24"/>
              </w:rPr>
              <w:pict>
                <v:line id="_x0000_s3913" o:spid="_x0000_s3913" o:spt="20" style="position:absolute;left:0pt;margin-left:-6.6pt;margin-top:9.85pt;height:1.55pt;width:465.7pt;z-index:251858944;mso-width-relative:page;mso-height-relative:page;" filled="t" coordsize="21600,21600">
                  <v:path arrowok="t"/>
                  <v:fill on="t" focussize="0,0"/>
                  <v:stroke/>
                  <v:imagedata o:title=""/>
                  <o:lock v:ext="edit"/>
                </v:line>
              </w:pict>
            </w:r>
          </w:p>
          <w:p>
            <w:pPr>
              <w:adjustRightInd w:val="0"/>
              <w:snapToGrid w:val="0"/>
              <w:spacing w:line="360" w:lineRule="auto"/>
              <w:ind w:firstLine="480" w:firstLineChars="200"/>
              <w:rPr>
                <w:rFonts w:ascii="Times New Roman" w:hAnsi="Times New Roman" w:cs="Times New Roman"/>
                <w:b/>
                <w:bCs/>
                <w:color w:val="000000" w:themeColor="text1"/>
                <w:sz w:val="24"/>
              </w:rPr>
            </w:pPr>
            <w:r>
              <w:rPr>
                <w:rFonts w:hint="eastAsia" w:ascii="Times New Roman" w:hAnsi="Times New Roman" w:cs="Times New Roman"/>
                <w:b/>
                <w:bCs/>
                <w:color w:val="000000" w:themeColor="text1"/>
                <w:sz w:val="24"/>
              </w:rPr>
              <w:t>社会经济概况</w:t>
            </w:r>
          </w:p>
          <w:p>
            <w:pPr>
              <w:adjustRightInd w:val="0"/>
              <w:snapToGrid w:val="0"/>
              <w:spacing w:line="360" w:lineRule="auto"/>
              <w:ind w:firstLine="480" w:firstLineChars="200"/>
              <w:rPr>
                <w:rFonts w:ascii="Times New Roman" w:hAnsi="Times New Roman" w:cs="Times New Roman"/>
                <w:bCs/>
                <w:color w:val="000000" w:themeColor="text1"/>
                <w:sz w:val="24"/>
              </w:rPr>
            </w:pPr>
            <w:r>
              <w:rPr>
                <w:rFonts w:hint="eastAsia" w:ascii="Times New Roman" w:hAnsi="Times New Roman" w:cs="Times New Roman"/>
                <w:bCs/>
                <w:color w:val="000000" w:themeColor="text1"/>
                <w:sz w:val="24"/>
              </w:rPr>
              <w:t>松潘县是高原山区县，属老、少、边、穷、病地区，地域辽阔，人口稀少，是多民族杂居地，境内有2个镇，23个乡，142个村，306个村民小组，387个自然村。全县绝大部分村寨居住在高半山，且居民居住极其分散，高山村寨交通不便，通讯不畅，信息闭塞，生活水平普遍低下。到2017年末，全县总人口74648人，由22个民族构成，藏族占43.53%、羌族占10.38%、回族占15.04%、汉族占30.95%、其他民族占0.1%。非农业人口14567人，农业人口60081人；人口自然增长率6.08‰。全县辖2镇23个乡、142个村、4个居民委员会、306个村民小组，有2个建置镇:川主寺镇、进安镇，2个回族乡：十里乡、进安乡，进安镇为县府所在地。2017年实现地方生产总值107520万元、增长25%。固定资产投资达到466249万元、增长49%。规模以上工业增加值完成7680万元、增长60%。实现旅游综合收入235300万元、增长27%，接待游客210万人次、增长16%。社会消费品零售总额达到29835万元、增长8%。实现财政一般预算收入8395万元、增长25%。城镇登记失业率控制在4%以内。农牧民人均纯收入达到4602元，城镇居民人均可支配收入达到18747元。人口自然增长率控制在6.5‰以内。</w:t>
            </w:r>
          </w:p>
          <w:p>
            <w:pPr>
              <w:adjustRightInd w:val="0"/>
              <w:snapToGrid w:val="0"/>
              <w:spacing w:line="360" w:lineRule="auto"/>
              <w:ind w:firstLine="480" w:firstLineChars="200"/>
              <w:rPr>
                <w:rFonts w:ascii="Times New Roman" w:hAnsi="Times New Roman" w:cs="Times New Roman"/>
                <w:bCs/>
                <w:color w:val="000000" w:themeColor="text1"/>
                <w:sz w:val="24"/>
              </w:rPr>
            </w:pPr>
            <w:r>
              <w:rPr>
                <w:rFonts w:hint="eastAsia" w:ascii="Times New Roman" w:hAnsi="Times New Roman" w:cs="Times New Roman"/>
                <w:bCs/>
                <w:color w:val="000000" w:themeColor="text1"/>
                <w:sz w:val="24"/>
              </w:rPr>
              <w:t>本工程位于安宏乡境内，安宏乡位于松潘县境南部，距县府14公里。面积125平方公里，人口0.4万。辖10个村委会。安宏乡农业主产小麦、青稞、蚕豆；牧业以猪、牛、羊为主。境内有丰富的森林资源，产松贝、雪莲等中药材，有扎嘎峡谷和扎嘎瀑布。改革开放以来，安宏乡经济主要靠旅游方面，其辖区内牟尼沟风景区旅游，为全乡带来经济收入。</w:t>
            </w:r>
          </w:p>
          <w:p>
            <w:pPr>
              <w:adjustRightInd w:val="0"/>
              <w:snapToGrid w:val="0"/>
              <w:spacing w:line="360" w:lineRule="auto"/>
              <w:ind w:firstLine="480" w:firstLineChars="200"/>
              <w:rPr>
                <w:rFonts w:ascii="Times New Roman" w:hAnsi="Times New Roman" w:cs="Times New Roman"/>
                <w:bCs/>
                <w:color w:val="000000" w:themeColor="text1"/>
                <w:sz w:val="24"/>
              </w:rPr>
            </w:pPr>
          </w:p>
          <w:p>
            <w:pPr>
              <w:adjustRightInd w:val="0"/>
              <w:snapToGrid w:val="0"/>
              <w:spacing w:line="360" w:lineRule="auto"/>
              <w:ind w:firstLine="480" w:firstLineChars="200"/>
              <w:rPr>
                <w:rFonts w:ascii="Times New Roman" w:hAnsi="Times New Roman" w:cs="Times New Roman"/>
                <w:bCs/>
                <w:color w:val="000000" w:themeColor="text1"/>
                <w:sz w:val="24"/>
              </w:rPr>
            </w:pPr>
          </w:p>
          <w:p>
            <w:pPr>
              <w:adjustRightInd w:val="0"/>
              <w:snapToGrid w:val="0"/>
              <w:spacing w:line="360" w:lineRule="auto"/>
              <w:ind w:firstLine="480" w:firstLineChars="200"/>
              <w:rPr>
                <w:rFonts w:ascii="Times New Roman" w:hAnsi="Times New Roman" w:cs="Times New Roman"/>
                <w:bCs/>
                <w:color w:val="000000" w:themeColor="text1"/>
                <w:sz w:val="24"/>
              </w:rPr>
            </w:pPr>
          </w:p>
          <w:p>
            <w:pPr>
              <w:adjustRightInd w:val="0"/>
              <w:snapToGrid w:val="0"/>
              <w:spacing w:line="360" w:lineRule="auto"/>
              <w:ind w:firstLine="480" w:firstLineChars="200"/>
              <w:rPr>
                <w:rFonts w:ascii="Times New Roman" w:hAnsi="Times New Roman" w:cs="Times New Roman"/>
                <w:bCs/>
                <w:color w:val="000000" w:themeColor="text1"/>
                <w:sz w:val="24"/>
              </w:rPr>
            </w:pPr>
          </w:p>
          <w:p>
            <w:pPr>
              <w:adjustRightInd w:val="0"/>
              <w:snapToGrid w:val="0"/>
              <w:spacing w:line="360" w:lineRule="auto"/>
              <w:ind w:firstLine="480" w:firstLineChars="200"/>
              <w:rPr>
                <w:rFonts w:ascii="Times New Roman" w:hAnsi="Times New Roman" w:cs="Times New Roman"/>
                <w:bCs/>
                <w:color w:val="000000" w:themeColor="text1"/>
                <w:sz w:val="24"/>
              </w:rPr>
            </w:pPr>
          </w:p>
          <w:p>
            <w:pPr>
              <w:adjustRightInd w:val="0"/>
              <w:snapToGrid w:val="0"/>
              <w:spacing w:line="360" w:lineRule="auto"/>
              <w:rPr>
                <w:rFonts w:ascii="Times New Roman" w:hAnsi="Times New Roman" w:cs="Times New Roman"/>
                <w:bCs/>
                <w:color w:val="000000" w:themeColor="text1"/>
                <w:sz w:val="24"/>
              </w:rPr>
            </w:pPr>
          </w:p>
          <w:p>
            <w:pPr>
              <w:rPr>
                <w:rFonts w:ascii="Times New Roman" w:hAnsi="Times New Roman" w:cs="Times New Roman"/>
                <w:bCs/>
                <w:color w:val="000000" w:themeColor="text1"/>
                <w:sz w:val="24"/>
              </w:rPr>
            </w:pPr>
          </w:p>
        </w:tc>
      </w:tr>
    </w:tbl>
    <w:p>
      <w:pPr>
        <w:spacing w:line="360" w:lineRule="auto"/>
        <w:ind w:firstLine="480" w:firstLineChars="200"/>
        <w:rPr>
          <w:rFonts w:ascii="Times New Roman" w:hAnsi="Times New Roman" w:cs="Times New Roman"/>
          <w:color w:val="000000" w:themeColor="text1"/>
          <w:sz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000000" w:themeColor="text1"/>
          <w:sz w:val="30"/>
          <w:szCs w:val="30"/>
        </w:rPr>
      </w:pPr>
      <w:r>
        <w:rPr>
          <w:rFonts w:hint="eastAsia" w:ascii="Times New Roman" w:hAnsi="Times New Roman" w:cs="Times New Roman"/>
          <w:b/>
          <w:color w:val="000000" w:themeColor="text1"/>
          <w:sz w:val="30"/>
          <w:szCs w:val="30"/>
        </w:rPr>
        <w:t>环境质量状况                                        (</w:t>
      </w:r>
      <w:r>
        <w:rPr>
          <w:rFonts w:hint="eastAsia" w:ascii="Times New Roman" w:hAnsi="Times New Roman" w:cs="Times New Roman"/>
          <w:b/>
          <w:snapToGrid w:val="0"/>
          <w:color w:val="000000" w:themeColor="text1"/>
          <w:kern w:val="0"/>
          <w:sz w:val="30"/>
          <w:szCs w:val="30"/>
        </w:rPr>
        <w:t>表三)</w:t>
      </w:r>
    </w:p>
    <w:tbl>
      <w:tblPr>
        <w:tblStyle w:val="5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9639" w:type="dxa"/>
          </w:tcPr>
          <w:p>
            <w:pPr>
              <w:spacing w:line="360" w:lineRule="auto"/>
              <w:rPr>
                <w:rFonts w:ascii="Times New Roman" w:hAnsi="Times New Roman" w:cs="Times New Roman"/>
                <w:b/>
                <w:color w:val="000000" w:themeColor="text1"/>
                <w:sz w:val="28"/>
                <w:szCs w:val="28"/>
              </w:rPr>
            </w:pPr>
            <w:r>
              <w:rPr>
                <w:rFonts w:ascii="Times New Roman" w:hAnsi="t" w:cs="Times New Roman"/>
                <w:b/>
                <w:color w:val="000000" w:themeColor="text1"/>
                <w:sz w:val="28"/>
                <w:szCs w:val="28"/>
              </w:rPr>
              <w:t>建设项目所在地区域环境质量现状及主要环境问题</w:t>
            </w:r>
            <w:r>
              <w:rPr>
                <w:rFonts w:ascii="Times New Roman" w:hAnsi="Times New Roman" w:cs="Times New Roman"/>
                <w:b/>
                <w:color w:val="000000" w:themeColor="text1"/>
                <w:sz w:val="28"/>
                <w:szCs w:val="28"/>
              </w:rPr>
              <w:t>(</w:t>
            </w:r>
            <w:r>
              <w:rPr>
                <w:rFonts w:ascii="Times New Roman" w:hAnsi="t" w:cs="Times New Roman"/>
                <w:b/>
                <w:color w:val="000000" w:themeColor="text1"/>
                <w:sz w:val="28"/>
                <w:szCs w:val="28"/>
              </w:rPr>
              <w:t>环境空气、地表水、地下水、声环境、生态环境等</w:t>
            </w:r>
            <w:r>
              <w:rPr>
                <w:rFonts w:ascii="Times New Roman" w:hAnsi="Times New Roman" w:cs="Times New Roman"/>
                <w:b/>
                <w:color w:val="000000" w:themeColor="text1"/>
                <w:sz w:val="28"/>
                <w:szCs w:val="28"/>
              </w:rPr>
              <w:t>)</w:t>
            </w:r>
            <w:r>
              <w:rPr>
                <w:rFonts w:ascii="Times New Roman" w:hAnsi="t" w:cs="Times New Roman"/>
                <w:b/>
                <w:color w:val="000000" w:themeColor="text1"/>
                <w:sz w:val="28"/>
                <w:szCs w:val="28"/>
              </w:rPr>
              <w:t>：</w:t>
            </w:r>
            <w:bookmarkStart w:id="3" w:name="OLE_LINK1"/>
            <w:bookmarkStart w:id="4" w:name="OLE_LINK2"/>
          </w:p>
          <w:p>
            <w:pPr>
              <w:spacing w:line="360" w:lineRule="auto"/>
              <w:rPr>
                <w:rFonts w:ascii="Times New Roman" w:hAnsi="t" w:cs="Times New Roman"/>
                <w:b/>
                <w:color w:val="000000" w:themeColor="text1"/>
                <w:sz w:val="24"/>
              </w:rPr>
            </w:pPr>
            <w:r>
              <w:rPr>
                <w:rFonts w:ascii="Times New Roman" w:hAnsi="t" w:cs="Times New Roman"/>
                <w:b/>
                <w:color w:val="000000" w:themeColor="text1"/>
                <w:sz w:val="24"/>
              </w:rPr>
              <w:t>一、空气环境质量</w:t>
            </w:r>
          </w:p>
          <w:bookmarkEnd w:id="3"/>
          <w:bookmarkEnd w:id="4"/>
          <w:p>
            <w:pPr>
              <w:pStyle w:val="309"/>
              <w:ind w:firstLine="480"/>
              <w:rPr>
                <w:snapToGrid w:val="0"/>
              </w:rPr>
            </w:pPr>
            <w:r>
              <w:rPr>
                <w:rFonts w:hint="eastAsia"/>
                <w:snapToGrid w:val="0"/>
              </w:rPr>
              <w:t>根据《环境影响评价技术导则 大气环境》（HJ2.2-2018），环境空气质量现状调查与评价中规定，项目所在区域达标判定，优先选用国家或地方生态环境主管部门公开发布的评价基准年环境质量公告或环境质量报告中的数据或结论。</w:t>
            </w:r>
          </w:p>
          <w:p>
            <w:pPr>
              <w:spacing w:line="360" w:lineRule="auto"/>
              <w:ind w:firstLine="480" w:firstLineChars="200"/>
              <w:rPr>
                <w:rFonts w:ascii="Times New Roman" w:hAnsi="Times New Roman" w:eastAsia="宋体" w:cs="Times New Roman"/>
                <w:snapToGrid w:val="0"/>
                <w:sz w:val="24"/>
                <w:szCs w:val="21"/>
              </w:rPr>
            </w:pPr>
            <w:r>
              <w:rPr>
                <w:rFonts w:hint="eastAsia" w:ascii="Times New Roman" w:hAnsi="Times New Roman" w:eastAsia="宋体" w:cs="Times New Roman"/>
                <w:snapToGrid w:val="0"/>
                <w:sz w:val="24"/>
                <w:szCs w:val="21"/>
              </w:rPr>
              <w:t>本项目位于松潘县安宏乡，所在地行政区划属于阿坝州，因此，本次评价选引用2020年4月阿坝州生态环境局发布的《阿坝州环境质量报告书（2019年）》中阿坝州环境空气中六项基本污染物SO</w:t>
            </w:r>
            <w:r>
              <w:rPr>
                <w:rFonts w:hint="eastAsia" w:ascii="Times New Roman" w:hAnsi="Times New Roman" w:eastAsia="宋体" w:cs="Times New Roman"/>
                <w:snapToGrid w:val="0"/>
                <w:sz w:val="24"/>
                <w:szCs w:val="21"/>
                <w:vertAlign w:val="subscript"/>
              </w:rPr>
              <w:t>2</w:t>
            </w:r>
            <w:r>
              <w:rPr>
                <w:rFonts w:hint="eastAsia" w:ascii="Times New Roman" w:hAnsi="Times New Roman" w:eastAsia="宋体" w:cs="Times New Roman"/>
                <w:snapToGrid w:val="0"/>
                <w:sz w:val="24"/>
                <w:szCs w:val="21"/>
              </w:rPr>
              <w:t>、NO</w:t>
            </w:r>
            <w:r>
              <w:rPr>
                <w:rFonts w:hint="eastAsia" w:ascii="Times New Roman" w:hAnsi="Times New Roman" w:eastAsia="宋体" w:cs="Times New Roman"/>
                <w:snapToGrid w:val="0"/>
                <w:sz w:val="24"/>
                <w:szCs w:val="21"/>
                <w:vertAlign w:val="subscript"/>
              </w:rPr>
              <w:t>2</w:t>
            </w:r>
            <w:r>
              <w:rPr>
                <w:rFonts w:hint="eastAsia" w:ascii="Times New Roman" w:hAnsi="Times New Roman" w:eastAsia="宋体" w:cs="Times New Roman"/>
                <w:snapToGrid w:val="0"/>
                <w:sz w:val="24"/>
                <w:szCs w:val="21"/>
              </w:rPr>
              <w:t>、PM</w:t>
            </w:r>
            <w:r>
              <w:rPr>
                <w:rFonts w:hint="eastAsia" w:ascii="Times New Roman" w:hAnsi="Times New Roman" w:eastAsia="宋体" w:cs="Times New Roman"/>
                <w:snapToGrid w:val="0"/>
                <w:sz w:val="24"/>
                <w:szCs w:val="21"/>
                <w:vertAlign w:val="subscript"/>
              </w:rPr>
              <w:t>10</w:t>
            </w:r>
            <w:r>
              <w:rPr>
                <w:rFonts w:hint="eastAsia" w:ascii="Times New Roman" w:hAnsi="Times New Roman" w:eastAsia="宋体" w:cs="Times New Roman"/>
                <w:snapToGrid w:val="0"/>
                <w:sz w:val="24"/>
                <w:szCs w:val="21"/>
              </w:rPr>
              <w:t>、PM</w:t>
            </w:r>
            <w:r>
              <w:rPr>
                <w:rFonts w:hint="eastAsia" w:ascii="Times New Roman" w:hAnsi="Times New Roman" w:eastAsia="宋体" w:cs="Times New Roman"/>
                <w:snapToGrid w:val="0"/>
                <w:sz w:val="24"/>
                <w:szCs w:val="21"/>
                <w:vertAlign w:val="subscript"/>
              </w:rPr>
              <w:t>2.5</w:t>
            </w:r>
            <w:r>
              <w:rPr>
                <w:rFonts w:hint="eastAsia" w:ascii="Times New Roman" w:hAnsi="Times New Roman" w:eastAsia="宋体" w:cs="Times New Roman"/>
                <w:snapToGrid w:val="0"/>
                <w:sz w:val="24"/>
                <w:szCs w:val="21"/>
              </w:rPr>
              <w:t>、CO、O</w:t>
            </w:r>
            <w:r>
              <w:rPr>
                <w:rFonts w:hint="eastAsia" w:ascii="Times New Roman" w:hAnsi="Times New Roman" w:eastAsia="宋体" w:cs="Times New Roman"/>
                <w:snapToGrid w:val="0"/>
                <w:sz w:val="24"/>
                <w:szCs w:val="21"/>
                <w:vertAlign w:val="subscript"/>
              </w:rPr>
              <w:t>3</w:t>
            </w:r>
            <w:r>
              <w:rPr>
                <w:rFonts w:hint="eastAsia" w:ascii="Times New Roman" w:hAnsi="Times New Roman" w:eastAsia="宋体" w:cs="Times New Roman"/>
                <w:snapToGrid w:val="0"/>
                <w:sz w:val="24"/>
                <w:szCs w:val="21"/>
              </w:rPr>
              <w:t>的检测结果，对区域环境空气质量现状进行说明。根据《阿坝州2019年环境质量公报》，2019年，全州13个县（市）环境空气质量按照《环境空气质量标准》（GB3095-2012）评价，全年环境空气质量平均达标率为100%。</w:t>
            </w:r>
          </w:p>
          <w:p>
            <w:pPr>
              <w:spacing w:line="360" w:lineRule="auto"/>
              <w:ind w:firstLine="480" w:firstLineChars="200"/>
              <w:rPr>
                <w:rFonts w:ascii="Times New Roman" w:hAnsi="Times New Roman" w:eastAsia="宋体" w:cs="Times New Roman"/>
                <w:snapToGrid w:val="0"/>
                <w:sz w:val="24"/>
                <w:szCs w:val="21"/>
              </w:rPr>
            </w:pPr>
            <w:r>
              <w:rPr>
                <w:rFonts w:hint="eastAsia" w:ascii="Times New Roman" w:hAnsi="Times New Roman" w:eastAsia="宋体" w:cs="Times New Roman"/>
                <w:snapToGrid w:val="0"/>
                <w:sz w:val="24"/>
                <w:szCs w:val="21"/>
              </w:rPr>
              <w:t>根据《阿坝州环境质量报告书（2019年）》的数据，2019年阿坝州环境空气质量如下：</w:t>
            </w:r>
          </w:p>
          <w:p>
            <w:pPr>
              <w:pStyle w:val="78"/>
              <w:adjustRightInd w:val="0"/>
              <w:snapToGrid w:val="0"/>
              <w:spacing w:line="360" w:lineRule="auto"/>
              <w:ind w:firstLine="480" w:firstLineChars="200"/>
              <w:rPr>
                <w:color w:val="auto"/>
              </w:rPr>
            </w:pPr>
            <w:r>
              <w:rPr>
                <w:rFonts w:hint="eastAsia"/>
                <w:color w:val="auto"/>
              </w:rPr>
              <w:t>1、二氧化硫（</w:t>
            </w:r>
            <w:r>
              <w:rPr>
                <w:rFonts w:hint="eastAsia" w:ascii="Times New Roman" w:hAnsi="Times New Roman"/>
                <w:snapToGrid w:val="0"/>
                <w:color w:val="auto"/>
                <w:szCs w:val="21"/>
              </w:rPr>
              <w:t>SO</w:t>
            </w:r>
            <w:r>
              <w:rPr>
                <w:rFonts w:hint="eastAsia" w:ascii="Times New Roman" w:hAnsi="Times New Roman"/>
                <w:snapToGrid w:val="0"/>
                <w:color w:val="auto"/>
                <w:szCs w:val="21"/>
                <w:vertAlign w:val="subscript"/>
              </w:rPr>
              <w:t>2</w:t>
            </w:r>
            <w:r>
              <w:rPr>
                <w:rFonts w:hint="eastAsia"/>
                <w:color w:val="auto"/>
              </w:rPr>
              <w:t>）</w:t>
            </w:r>
          </w:p>
          <w:p>
            <w:pPr>
              <w:pStyle w:val="78"/>
              <w:adjustRightInd w:val="0"/>
              <w:snapToGrid w:val="0"/>
              <w:spacing w:line="360" w:lineRule="auto"/>
              <w:ind w:firstLine="480" w:firstLineChars="200"/>
              <w:rPr>
                <w:color w:val="auto"/>
              </w:rPr>
            </w:pPr>
            <w:r>
              <w:rPr>
                <w:rFonts w:hint="eastAsia"/>
                <w:color w:val="auto"/>
              </w:rPr>
              <w:t>2019年，全州13个县（市）城区二氧化硫年平均浓度范围为4-17微克/立方米，全州年平均浓度为9微克/立方米。13个县（市）年平均浓度均达标。</w:t>
            </w:r>
          </w:p>
          <w:p>
            <w:pPr>
              <w:pStyle w:val="78"/>
              <w:adjustRightInd w:val="0"/>
              <w:snapToGrid w:val="0"/>
              <w:spacing w:line="360" w:lineRule="auto"/>
              <w:ind w:firstLine="480" w:firstLineChars="200"/>
              <w:rPr>
                <w:color w:val="auto"/>
              </w:rPr>
            </w:pPr>
            <w:r>
              <w:rPr>
                <w:rFonts w:hint="eastAsia"/>
                <w:color w:val="auto"/>
              </w:rPr>
              <w:t>2、二氧化氮（</w:t>
            </w:r>
            <w:r>
              <w:rPr>
                <w:rFonts w:hint="eastAsia" w:ascii="Times New Roman" w:hAnsi="Times New Roman"/>
                <w:snapToGrid w:val="0"/>
                <w:color w:val="auto"/>
                <w:szCs w:val="21"/>
              </w:rPr>
              <w:t>NO</w:t>
            </w:r>
            <w:r>
              <w:rPr>
                <w:rFonts w:hint="eastAsia" w:ascii="Times New Roman" w:hAnsi="Times New Roman"/>
                <w:snapToGrid w:val="0"/>
                <w:color w:val="auto"/>
                <w:szCs w:val="21"/>
                <w:vertAlign w:val="subscript"/>
              </w:rPr>
              <w:t>2</w:t>
            </w:r>
            <w:r>
              <w:rPr>
                <w:rFonts w:hint="eastAsia"/>
                <w:color w:val="auto"/>
              </w:rPr>
              <w:t>）</w:t>
            </w:r>
          </w:p>
          <w:p>
            <w:pPr>
              <w:pStyle w:val="78"/>
              <w:adjustRightInd w:val="0"/>
              <w:snapToGrid w:val="0"/>
              <w:spacing w:line="360" w:lineRule="auto"/>
              <w:ind w:firstLine="480" w:firstLineChars="200"/>
              <w:rPr>
                <w:color w:val="auto"/>
              </w:rPr>
            </w:pPr>
            <w:r>
              <w:rPr>
                <w:rFonts w:hint="eastAsia"/>
                <w:color w:val="auto"/>
              </w:rPr>
              <w:t>2019年，全州13个县（市）城区二氧化氮年平均浓度范围为5-18微克/立方米，全州年平均浓度为11微克/立方米。13个县（市）年平均浓度均达标。</w:t>
            </w:r>
          </w:p>
          <w:p>
            <w:pPr>
              <w:pStyle w:val="78"/>
              <w:adjustRightInd w:val="0"/>
              <w:snapToGrid w:val="0"/>
              <w:spacing w:line="360" w:lineRule="auto"/>
              <w:ind w:firstLine="480" w:firstLineChars="200"/>
              <w:rPr>
                <w:color w:val="auto"/>
              </w:rPr>
            </w:pPr>
            <w:r>
              <w:rPr>
                <w:rFonts w:hint="eastAsia"/>
                <w:color w:val="auto"/>
              </w:rPr>
              <w:t>3、可吸入颗粒物（</w:t>
            </w:r>
            <w:r>
              <w:rPr>
                <w:rFonts w:hint="eastAsia" w:ascii="Times New Roman" w:hAnsi="Times New Roman"/>
                <w:snapToGrid w:val="0"/>
                <w:color w:val="auto"/>
                <w:szCs w:val="21"/>
              </w:rPr>
              <w:t>PM</w:t>
            </w:r>
            <w:r>
              <w:rPr>
                <w:rFonts w:hint="eastAsia" w:ascii="Times New Roman" w:hAnsi="Times New Roman"/>
                <w:snapToGrid w:val="0"/>
                <w:color w:val="auto"/>
                <w:szCs w:val="21"/>
                <w:vertAlign w:val="subscript"/>
              </w:rPr>
              <w:t>10</w:t>
            </w:r>
            <w:r>
              <w:rPr>
                <w:rFonts w:hint="eastAsia"/>
                <w:color w:val="auto"/>
              </w:rPr>
              <w:t>）</w:t>
            </w:r>
          </w:p>
          <w:p>
            <w:pPr>
              <w:pStyle w:val="78"/>
              <w:adjustRightInd w:val="0"/>
              <w:snapToGrid w:val="0"/>
              <w:spacing w:line="360" w:lineRule="auto"/>
              <w:ind w:firstLine="480" w:firstLineChars="200"/>
              <w:rPr>
                <w:color w:val="auto"/>
              </w:rPr>
            </w:pPr>
            <w:r>
              <w:rPr>
                <w:rFonts w:hint="eastAsia"/>
                <w:color w:val="auto"/>
              </w:rPr>
              <w:t>2019年，全州13个县（市）城区可吸入颗粒物（PM</w:t>
            </w:r>
            <w:r>
              <w:rPr>
                <w:rFonts w:hint="eastAsia"/>
                <w:color w:val="auto"/>
                <w:vertAlign w:val="subscript"/>
              </w:rPr>
              <w:t>10</w:t>
            </w:r>
            <w:r>
              <w:rPr>
                <w:rFonts w:hint="eastAsia"/>
                <w:color w:val="auto"/>
              </w:rPr>
              <w:t>）年平均浓度范围为15-43微克/立方米，全州年平均浓度为25微克/立方米。13个县（市）年平均浓度均达标。</w:t>
            </w:r>
          </w:p>
          <w:p>
            <w:pPr>
              <w:pStyle w:val="78"/>
              <w:adjustRightInd w:val="0"/>
              <w:snapToGrid w:val="0"/>
              <w:spacing w:line="360" w:lineRule="auto"/>
              <w:ind w:firstLine="480" w:firstLineChars="200"/>
              <w:rPr>
                <w:color w:val="auto"/>
              </w:rPr>
            </w:pPr>
            <w:r>
              <w:rPr>
                <w:rFonts w:hint="eastAsia"/>
                <w:color w:val="auto"/>
              </w:rPr>
              <w:t>4、细颗粒物（</w:t>
            </w:r>
            <w:r>
              <w:rPr>
                <w:rFonts w:hint="eastAsia" w:ascii="Times New Roman" w:hAnsi="Times New Roman"/>
                <w:snapToGrid w:val="0"/>
                <w:color w:val="auto"/>
                <w:szCs w:val="21"/>
              </w:rPr>
              <w:t>PM</w:t>
            </w:r>
            <w:r>
              <w:rPr>
                <w:rFonts w:hint="eastAsia" w:ascii="Times New Roman" w:hAnsi="Times New Roman"/>
                <w:snapToGrid w:val="0"/>
                <w:color w:val="auto"/>
                <w:szCs w:val="21"/>
                <w:vertAlign w:val="subscript"/>
              </w:rPr>
              <w:t>2.5</w:t>
            </w:r>
            <w:r>
              <w:rPr>
                <w:rFonts w:hint="eastAsia"/>
                <w:color w:val="auto"/>
              </w:rPr>
              <w:t>）</w:t>
            </w:r>
          </w:p>
          <w:p>
            <w:pPr>
              <w:pStyle w:val="78"/>
              <w:adjustRightInd w:val="0"/>
              <w:snapToGrid w:val="0"/>
              <w:spacing w:line="360" w:lineRule="auto"/>
              <w:ind w:firstLine="480" w:firstLineChars="200"/>
              <w:rPr>
                <w:color w:val="auto"/>
              </w:rPr>
            </w:pPr>
            <w:r>
              <w:rPr>
                <w:rFonts w:hint="eastAsia"/>
                <w:color w:val="auto"/>
              </w:rPr>
              <w:t>2019年，全州13个县（市）城区细颗粒物（PM</w:t>
            </w:r>
            <w:r>
              <w:rPr>
                <w:rFonts w:hint="eastAsia"/>
                <w:color w:val="auto"/>
                <w:vertAlign w:val="subscript"/>
              </w:rPr>
              <w:t>2.5</w:t>
            </w:r>
            <w:r>
              <w:rPr>
                <w:rFonts w:hint="eastAsia"/>
                <w:color w:val="auto"/>
              </w:rPr>
              <w:t>）年平均浓度范围为7-20微克/立方米，全州年平均浓度为13微克/立方米。13个县（市）年平均浓度均达标。</w:t>
            </w:r>
          </w:p>
          <w:p>
            <w:pPr>
              <w:pStyle w:val="78"/>
              <w:adjustRightInd w:val="0"/>
              <w:snapToGrid w:val="0"/>
              <w:spacing w:line="360" w:lineRule="auto"/>
              <w:ind w:firstLine="480" w:firstLineChars="200"/>
              <w:rPr>
                <w:color w:val="auto"/>
              </w:rPr>
            </w:pPr>
            <w:r>
              <w:rPr>
                <w:rFonts w:hint="eastAsia"/>
                <w:color w:val="auto"/>
              </w:rPr>
              <w:t>5、臭氧（</w:t>
            </w:r>
            <w:r>
              <w:rPr>
                <w:rFonts w:hint="eastAsia" w:ascii="Times New Roman" w:hAnsi="Times New Roman"/>
                <w:snapToGrid w:val="0"/>
                <w:color w:val="auto"/>
                <w:szCs w:val="21"/>
              </w:rPr>
              <w:t>O</w:t>
            </w:r>
            <w:r>
              <w:rPr>
                <w:rFonts w:hint="eastAsia" w:ascii="Times New Roman" w:hAnsi="Times New Roman"/>
                <w:snapToGrid w:val="0"/>
                <w:color w:val="auto"/>
                <w:szCs w:val="21"/>
                <w:vertAlign w:val="subscript"/>
              </w:rPr>
              <w:t>3</w:t>
            </w:r>
            <w:r>
              <w:rPr>
                <w:rFonts w:hint="eastAsia"/>
                <w:color w:val="auto"/>
              </w:rPr>
              <w:t>）</w:t>
            </w:r>
          </w:p>
          <w:p>
            <w:pPr>
              <w:pStyle w:val="78"/>
              <w:adjustRightInd w:val="0"/>
              <w:snapToGrid w:val="0"/>
              <w:spacing w:line="360" w:lineRule="auto"/>
              <w:ind w:firstLine="480" w:firstLineChars="200"/>
              <w:rPr>
                <w:color w:val="auto"/>
              </w:rPr>
            </w:pPr>
            <w:r>
              <w:rPr>
                <w:rFonts w:hint="eastAsia"/>
                <w:color w:val="auto"/>
              </w:rPr>
              <w:t>2019年，全州13个县（市）城区臭氧日最大8小时滑动平均值的第90百分位数浓度范围为82-124微克/立方米，全州年平均浓度为106微克/立方米。13个县（市）日最大8小时滑动平均值的第90百分位数浓度均达标。</w:t>
            </w:r>
          </w:p>
          <w:p>
            <w:pPr>
              <w:pStyle w:val="78"/>
              <w:adjustRightInd w:val="0"/>
              <w:snapToGrid w:val="0"/>
              <w:spacing w:line="360" w:lineRule="auto"/>
              <w:ind w:firstLine="480" w:firstLineChars="200"/>
              <w:rPr>
                <w:color w:val="auto"/>
              </w:rPr>
            </w:pPr>
            <w:r>
              <w:rPr>
                <w:rFonts w:hint="eastAsia"/>
                <w:color w:val="auto"/>
              </w:rPr>
              <w:t>6、一氧化碳（CO）</w:t>
            </w:r>
          </w:p>
          <w:p>
            <w:pPr>
              <w:pStyle w:val="78"/>
              <w:adjustRightInd w:val="0"/>
              <w:snapToGrid w:val="0"/>
              <w:spacing w:line="360" w:lineRule="auto"/>
              <w:ind w:firstLine="480" w:firstLineChars="200"/>
              <w:rPr>
                <w:color w:val="auto"/>
              </w:rPr>
            </w:pPr>
            <w:r>
              <w:rPr>
                <w:rFonts w:hint="eastAsia"/>
                <w:color w:val="auto"/>
              </w:rPr>
              <w:t>2019年，全州13个县（市）城区一氧化碳24小时平均第95百分位数浓度范围为0.6-2.8微克/立方米，全州年平均浓度为1.2微克/立方米。13个县（市）24小时平均第95百分位数浓度均达标。</w:t>
            </w:r>
          </w:p>
          <w:p>
            <w:pPr>
              <w:pStyle w:val="7"/>
              <w:spacing w:before="0" w:after="0" w:line="360" w:lineRule="auto"/>
              <w:jc w:val="center"/>
              <w:rPr>
                <w:rFonts w:ascii="Times New Roman" w:hAnsi="t" w:cs="Times New Roman"/>
                <w:sz w:val="24"/>
              </w:rPr>
            </w:pPr>
            <w:r>
              <w:rPr>
                <w:rFonts w:hint="eastAsia" w:ascii="Times New Roman" w:hAnsi="t" w:cs="Times New Roman"/>
                <w:sz w:val="24"/>
              </w:rPr>
              <w:drawing>
                <wp:inline distT="0" distB="0" distL="114300" distR="114300">
                  <wp:extent cx="4714875" cy="3667125"/>
                  <wp:effectExtent l="0" t="0" r="9525" b="9525"/>
                  <wp:docPr id="2" name="图片 2" descr="1592203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2203290(1)"/>
                          <pic:cNvPicPr>
                            <a:picLocks noChangeAspect="1"/>
                          </pic:cNvPicPr>
                        </pic:nvPicPr>
                        <pic:blipFill>
                          <a:blip r:embed="rId12" cstate="print"/>
                          <a:stretch>
                            <a:fillRect/>
                          </a:stretch>
                        </pic:blipFill>
                        <pic:spPr>
                          <a:xfrm>
                            <a:off x="0" y="0"/>
                            <a:ext cx="4714875" cy="3667125"/>
                          </a:xfrm>
                          <a:prstGeom prst="rect">
                            <a:avLst/>
                          </a:prstGeom>
                        </pic:spPr>
                      </pic:pic>
                    </a:graphicData>
                  </a:graphic>
                </wp:inline>
              </w:drawing>
            </w:r>
          </w:p>
          <w:p>
            <w:pPr>
              <w:pStyle w:val="7"/>
              <w:spacing w:before="0" w:after="0" w:line="360" w:lineRule="auto"/>
              <w:ind w:firstLine="470" w:firstLineChars="196"/>
              <w:rPr>
                <w:rFonts w:asciiTheme="minorEastAsia" w:hAnsiTheme="minorEastAsia"/>
                <w:b w:val="0"/>
                <w:sz w:val="24"/>
                <w:szCs w:val="24"/>
              </w:rPr>
            </w:pPr>
            <w:r>
              <w:rPr>
                <w:rFonts w:hint="eastAsia" w:ascii="Times New Roman" w:hAnsi="t" w:cs="Times New Roman"/>
                <w:sz w:val="24"/>
              </w:rPr>
              <w:t>综上所述，本项目所在区域内环境质量均达标，因此本项目属于达标区域。</w:t>
            </w:r>
          </w:p>
          <w:p>
            <w:pPr>
              <w:spacing w:line="360" w:lineRule="auto"/>
              <w:rPr>
                <w:rFonts w:ascii="Times New Roman" w:cs="Times New Roman"/>
                <w:b/>
                <w:bCs/>
                <w:color w:val="000000" w:themeColor="text1"/>
                <w:sz w:val="24"/>
              </w:rPr>
            </w:pPr>
            <w:r>
              <w:rPr>
                <w:rFonts w:hint="eastAsia" w:ascii="Times New Roman" w:cs="Times New Roman"/>
                <w:b/>
                <w:bCs/>
                <w:color w:val="000000" w:themeColor="text1"/>
                <w:sz w:val="24"/>
              </w:rPr>
              <w:t>二、地表水环境质量</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为了了解本项目地区的地表水环境质量现状，本次评价采用阿坝州生态环境局发布的“阿坝州环境质量报告书（2019年）”的地表水环境质量现状的有关数据及结论对本项目所在地区地表水环境质量现状进行说明。</w:t>
            </w:r>
          </w:p>
          <w:p>
            <w:pPr>
              <w:spacing w:line="360" w:lineRule="auto"/>
              <w:ind w:firstLine="480" w:firstLineChars="200"/>
              <w:rPr>
                <w:rFonts w:cs="Times New Roman" w:asciiTheme="minorEastAsia" w:hAnsiTheme="minorEastAsia"/>
                <w:color w:val="000000" w:themeColor="text1"/>
                <w:sz w:val="24"/>
              </w:rPr>
            </w:pPr>
            <w:r>
              <w:rPr>
                <w:rFonts w:hint="eastAsia" w:ascii="Times New Roman" w:hAnsi="Times New Roman" w:cs="Times New Roman"/>
                <w:color w:val="000000" w:themeColor="text1"/>
                <w:sz w:val="24"/>
              </w:rPr>
              <w:t>全州水质：2019年，全州32个河流监测断面，水质断面达标率为100%，其中5个国控监测断面达标率为100%，2个省控监测断面水质达标率为100%，</w:t>
            </w:r>
            <w:r>
              <w:rPr>
                <w:rFonts w:hint="eastAsia" w:cs="Times New Roman" w:asciiTheme="minorEastAsia" w:hAnsiTheme="minorEastAsia"/>
                <w:color w:val="000000" w:themeColor="text1"/>
                <w:sz w:val="24"/>
              </w:rPr>
              <w:t>25个县控监测断面达标率为100%。</w:t>
            </w:r>
          </w:p>
          <w:p>
            <w:pPr>
              <w:spacing w:line="360" w:lineRule="auto"/>
              <w:ind w:firstLine="480" w:firstLineChars="200"/>
              <w:rPr>
                <w:rFonts w:cs="Times New Roman" w:asciiTheme="minorEastAsia" w:hAnsiTheme="minorEastAsia"/>
                <w:color w:val="000000" w:themeColor="text1"/>
                <w:sz w:val="24"/>
              </w:rPr>
            </w:pPr>
            <w:r>
              <w:rPr>
                <w:rFonts w:hint="eastAsia" w:cs="Times New Roman" w:asciiTheme="minorEastAsia" w:hAnsiTheme="minorEastAsia"/>
                <w:color w:val="000000" w:themeColor="text1"/>
                <w:sz w:val="24"/>
              </w:rPr>
              <w:t>6个出州断面：嘉陵江青龙桥（九寨沟县流入甘肃省）、嘉陵江冻列乡（若尔盖县流入甘肃省）、黄河泽修村（若尔盖县流入甘肃省）、岷江映秀（汶川县流入成都市）、岷江新格乡松矶砂石场（小金县流入甘孜州）和马尔邦碉王山庄（金川县流入甘孜州）均达到</w:t>
            </w:r>
            <w:r>
              <w:rPr>
                <w:rFonts w:hint="eastAsia" w:ascii="黑体" w:hAnsi="黑体" w:eastAsia="黑体" w:cs="黑体"/>
                <w:color w:val="000000" w:themeColor="text1"/>
                <w:sz w:val="24"/>
              </w:rPr>
              <w:t>Ⅱ</w:t>
            </w:r>
            <w:r>
              <w:rPr>
                <w:rFonts w:hint="eastAsia" w:cs="Times New Roman" w:asciiTheme="minorEastAsia" w:hAnsiTheme="minorEastAsia"/>
                <w:color w:val="000000" w:themeColor="text1"/>
                <w:sz w:val="24"/>
              </w:rPr>
              <w:t>类水质，水质全部达标。</w:t>
            </w:r>
          </w:p>
          <w:p>
            <w:pPr>
              <w:pStyle w:val="2"/>
            </w:pPr>
            <w:r>
              <w:rPr>
                <w:rFonts w:hint="eastAsia" w:cs="Times New Roman" w:asciiTheme="minorEastAsia" w:hAnsiTheme="minorEastAsia"/>
                <w:color w:val="000000" w:themeColor="text1"/>
                <w:sz w:val="24"/>
              </w:rPr>
              <w:t>全州32个地表水监测断面，10个监测断面达到</w:t>
            </w:r>
            <w:r>
              <w:rPr>
                <w:rFonts w:hint="eastAsia" w:ascii="宋体" w:hAnsi="宋体" w:eastAsia="宋体" w:cs="宋体"/>
                <w:color w:val="000000" w:themeColor="text1"/>
                <w:sz w:val="24"/>
              </w:rPr>
              <w:t>Ⅰ</w:t>
            </w:r>
            <w:r>
              <w:rPr>
                <w:rFonts w:hint="eastAsia" w:cs="Times New Roman" w:asciiTheme="minorEastAsia" w:hAnsiTheme="minorEastAsia"/>
                <w:color w:val="000000" w:themeColor="text1"/>
                <w:sz w:val="24"/>
              </w:rPr>
              <w:t>类水质，22个监测断面达到</w:t>
            </w:r>
            <w:r>
              <w:rPr>
                <w:rFonts w:hint="eastAsia" w:ascii="黑体" w:hAnsi="黑体" w:eastAsia="黑体" w:cs="黑体"/>
                <w:color w:val="000000" w:themeColor="text1"/>
                <w:sz w:val="24"/>
              </w:rPr>
              <w:t>Ⅱ</w:t>
            </w:r>
            <w:r>
              <w:rPr>
                <w:rFonts w:hint="eastAsia" w:cs="Times New Roman" w:asciiTheme="minorEastAsia" w:hAnsiTheme="minorEastAsia"/>
                <w:color w:val="000000" w:themeColor="text1"/>
                <w:sz w:val="24"/>
              </w:rPr>
              <w:t>类水质。</w:t>
            </w:r>
          </w:p>
          <w:p>
            <w:pPr>
              <w:spacing w:line="360" w:lineRule="auto"/>
              <w:jc w:val="center"/>
              <w:rPr>
                <w:rFonts w:cs="Times New Roman" w:asciiTheme="minorEastAsia" w:hAnsiTheme="minorEastAsia"/>
                <w:color w:val="000000" w:themeColor="text1"/>
                <w:sz w:val="24"/>
              </w:rPr>
            </w:pPr>
            <w:r>
              <w:rPr>
                <w:rFonts w:hint="eastAsia" w:cs="Times New Roman" w:asciiTheme="minorEastAsia" w:hAnsiTheme="minorEastAsia"/>
                <w:color w:val="000000" w:themeColor="text1"/>
                <w:sz w:val="24"/>
              </w:rPr>
              <w:drawing>
                <wp:inline distT="0" distB="0" distL="114300" distR="114300">
                  <wp:extent cx="4619625" cy="3267075"/>
                  <wp:effectExtent l="0" t="0" r="9525" b="9525"/>
                  <wp:docPr id="3" name="图片 3" descr="159220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2206857(1)"/>
                          <pic:cNvPicPr>
                            <a:picLocks noChangeAspect="1"/>
                          </pic:cNvPicPr>
                        </pic:nvPicPr>
                        <pic:blipFill>
                          <a:blip r:embed="rId13" cstate="print"/>
                          <a:stretch>
                            <a:fillRect/>
                          </a:stretch>
                        </pic:blipFill>
                        <pic:spPr>
                          <a:xfrm>
                            <a:off x="0" y="0"/>
                            <a:ext cx="4619625" cy="3267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图3-</w:t>
            </w:r>
            <w:r>
              <w:rPr>
                <w:rFonts w:hint="eastAsia" w:asciiTheme="minorEastAsia" w:hAnsiTheme="minorEastAsia" w:cstheme="minorEastAsia"/>
                <w:b/>
                <w:sz w:val="21"/>
                <w:szCs w:val="21"/>
                <w:lang w:val="en-US" w:eastAsia="zh-CN"/>
              </w:rPr>
              <w:t>1</w:t>
            </w:r>
            <w:r>
              <w:rPr>
                <w:rFonts w:hint="eastAsia" w:asciiTheme="minorEastAsia" w:hAnsiTheme="minorEastAsia" w:eastAsiaTheme="minorEastAsia" w:cstheme="minorEastAsia"/>
                <w:b/>
                <w:sz w:val="21"/>
                <w:szCs w:val="21"/>
                <w:lang w:val="en-US" w:eastAsia="zh-CN"/>
              </w:rPr>
              <w:t xml:space="preserve"> 2019年阿坝州地表水水质状况空间图</w:t>
            </w:r>
          </w:p>
          <w:p>
            <w:pPr>
              <w:spacing w:line="360" w:lineRule="auto"/>
              <w:ind w:firstLine="480" w:firstLineChars="200"/>
              <w:rPr>
                <w:rFonts w:cs="Times New Roman" w:asciiTheme="minorEastAsia" w:hAnsiTheme="minorEastAsia"/>
                <w:color w:val="000000" w:themeColor="text1"/>
                <w:sz w:val="24"/>
              </w:rPr>
            </w:pPr>
            <w:r>
              <w:rPr>
                <w:rFonts w:hint="eastAsia" w:cs="Times New Roman" w:asciiTheme="minorEastAsia" w:hAnsiTheme="minorEastAsia"/>
                <w:color w:val="000000" w:themeColor="text1"/>
                <w:sz w:val="24"/>
              </w:rPr>
              <w:t>2019年，三大水系水质总体保持优，黄河流域3个断面，达标率为100%；岷江流域22个断面，达标率为100%，嘉陵江流域7个断面，达标率为100%。</w:t>
            </w:r>
          </w:p>
          <w:p>
            <w:pPr>
              <w:widowControl/>
              <w:jc w:val="center"/>
              <w:rPr>
                <w:rFonts w:ascii="宋体" w:hAnsi="宋体" w:eastAsia="宋体" w:cs="宋体"/>
                <w:kern w:val="0"/>
                <w:sz w:val="24"/>
              </w:rPr>
            </w:pPr>
            <w:r>
              <w:rPr>
                <w:rFonts w:ascii="宋体" w:hAnsi="宋体" w:eastAsia="宋体" w:cs="宋体"/>
                <w:kern w:val="0"/>
                <w:sz w:val="24"/>
              </w:rPr>
              <w:drawing>
                <wp:inline distT="0" distB="0" distL="114300" distR="114300">
                  <wp:extent cx="3829050" cy="241935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4" cstate="print"/>
                          <a:stretch>
                            <a:fillRect/>
                          </a:stretch>
                        </pic:blipFill>
                        <pic:spPr>
                          <a:xfrm>
                            <a:off x="0" y="0"/>
                            <a:ext cx="3829050" cy="24193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图3-2 2019年三大水系水质类别比例分布情况</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本项目位于四川省阿坝藏族羌族自治州松潘县安宏乡，项目所在区域属于岷江水系，地表水水质达标率100%。因此，本项目所在区水质情况良好，尚有一定环境容量。</w:t>
            </w:r>
          </w:p>
          <w:p>
            <w:pPr>
              <w:spacing w:line="360" w:lineRule="auto"/>
              <w:ind w:firstLine="480" w:firstLineChars="200"/>
              <w:rPr>
                <w:rFonts w:ascii="Times New Roman" w:cs="Times New Roman"/>
                <w:color w:val="000000" w:themeColor="text1"/>
                <w:sz w:val="24"/>
              </w:rPr>
            </w:pPr>
            <w:r>
              <w:rPr>
                <w:rFonts w:hint="eastAsia" w:ascii="Times New Roman" w:hAnsi="Times New Roman" w:cs="Times New Roman"/>
                <w:color w:val="000000" w:themeColor="text1"/>
                <w:sz w:val="24"/>
              </w:rPr>
              <w:t>为详细掌握区域内地表水环境质量现状情况，本次地表水现状评价引用四川华皓检测技术有限公司于2019年7月1日——6日对项目所在地区域内地表水进行实测，监测的数据如下</w:t>
            </w:r>
            <w:r>
              <w:rPr>
                <w:rFonts w:hint="eastAsia" w:ascii="Times New Roman" w:cs="Times New Roman"/>
                <w:color w:val="000000" w:themeColor="text1"/>
                <w:sz w:val="24"/>
              </w:rPr>
              <w:t>。</w:t>
            </w:r>
          </w:p>
          <w:p>
            <w:pPr>
              <w:spacing w:line="360" w:lineRule="auto"/>
              <w:ind w:firstLine="480" w:firstLineChars="200"/>
              <w:jc w:val="left"/>
              <w:rPr>
                <w:rFonts w:ascii="Times New Roman" w:hAnsi="Times New Roman" w:cs="Times New Roman"/>
                <w:color w:val="000000" w:themeColor="text1"/>
                <w:sz w:val="24"/>
              </w:rPr>
            </w:pPr>
            <w:r>
              <w:rPr>
                <w:rFonts w:hint="eastAsia" w:ascii="Times New Roman" w:cs="Times New Roman" w:hAnsiTheme="minorEastAsia"/>
                <w:bCs/>
                <w:color w:val="000000" w:themeColor="text1"/>
                <w:sz w:val="24"/>
              </w:rPr>
              <w:t>1</w:t>
            </w:r>
            <w:r>
              <w:rPr>
                <w:rFonts w:ascii="Times New Roman" w:cs="Times New Roman" w:hAnsiTheme="minorEastAsia"/>
                <w:bCs/>
                <w:color w:val="000000" w:themeColor="text1"/>
                <w:sz w:val="24"/>
              </w:rPr>
              <w:t>、监测项目：</w:t>
            </w:r>
            <w:r>
              <w:rPr>
                <w:rFonts w:ascii="Times New Roman" w:hAnsi="Times New Roman" w:cs="Times New Roman"/>
                <w:color w:val="000000" w:themeColor="text1"/>
                <w:sz w:val="24"/>
              </w:rPr>
              <w:t>pH</w:t>
            </w:r>
            <w:r>
              <w:rPr>
                <w:rFonts w:ascii="Times New Roman" w:cs="Times New Roman" w:hAnsiTheme="minorEastAsia"/>
                <w:color w:val="000000" w:themeColor="text1"/>
                <w:sz w:val="24"/>
              </w:rPr>
              <w:t>、</w:t>
            </w:r>
            <w:r>
              <w:rPr>
                <w:rFonts w:hint="eastAsia" w:ascii="Times New Roman" w:cs="Times New Roman" w:hAnsiTheme="minorEastAsia"/>
                <w:color w:val="000000" w:themeColor="text1"/>
                <w:sz w:val="24"/>
              </w:rPr>
              <w:t>SS、</w:t>
            </w:r>
            <w:r>
              <w:rPr>
                <w:rFonts w:ascii="Times New Roman" w:cs="Times New Roman" w:hAnsiTheme="minorEastAsia"/>
                <w:color w:val="000000" w:themeColor="text1"/>
                <w:sz w:val="24"/>
              </w:rPr>
              <w:t>化学需氧量、五日生化需氧量、氨氮、总磷</w:t>
            </w:r>
            <w:r>
              <w:rPr>
                <w:rFonts w:hint="eastAsia" w:ascii="Times New Roman" w:cs="Times New Roman" w:hAnsiTheme="minorEastAsia"/>
                <w:color w:val="000000" w:themeColor="text1"/>
                <w:sz w:val="24"/>
              </w:rPr>
              <w:t>、石油类</w:t>
            </w:r>
            <w:r>
              <w:rPr>
                <w:rFonts w:ascii="Times New Roman" w:cs="Times New Roman" w:hAnsiTheme="minorEastAsia"/>
                <w:color w:val="000000" w:themeColor="text1"/>
                <w:sz w:val="24"/>
              </w:rPr>
              <w:t>共</w:t>
            </w:r>
            <w:r>
              <w:rPr>
                <w:rFonts w:hint="eastAsia" w:ascii="Times New Roman" w:hAnsi="Times New Roman" w:cs="Times New Roman"/>
                <w:color w:val="000000" w:themeColor="text1"/>
                <w:sz w:val="24"/>
              </w:rPr>
              <w:t>7</w:t>
            </w:r>
            <w:r>
              <w:rPr>
                <w:rFonts w:ascii="Times New Roman" w:cs="Times New Roman" w:hAnsiTheme="minorEastAsia"/>
                <w:color w:val="000000" w:themeColor="text1"/>
                <w:sz w:val="24"/>
              </w:rPr>
              <w:t>项。</w:t>
            </w:r>
          </w:p>
          <w:p>
            <w:pPr>
              <w:spacing w:line="360" w:lineRule="auto"/>
              <w:ind w:firstLine="480" w:firstLineChars="200"/>
              <w:jc w:val="left"/>
              <w:textAlignment w:val="baseline"/>
              <w:rPr>
                <w:rFonts w:ascii="Times New Roman" w:hAnsi="Times New Roman" w:cs="Times New Roman"/>
                <w:color w:val="000000" w:themeColor="text1"/>
                <w:sz w:val="24"/>
              </w:rPr>
            </w:pPr>
            <w:r>
              <w:rPr>
                <w:rFonts w:hint="eastAsia" w:ascii="Times New Roman" w:hAnsi="Times New Roman" w:cs="Times New Roman"/>
                <w:bCs/>
                <w:color w:val="000000" w:themeColor="text1"/>
                <w:sz w:val="24"/>
              </w:rPr>
              <w:t>2</w:t>
            </w:r>
            <w:r>
              <w:rPr>
                <w:rFonts w:ascii="Times New Roman" w:cs="Times New Roman" w:hAnsiTheme="minorEastAsia"/>
                <w:bCs/>
                <w:color w:val="000000" w:themeColor="text1"/>
                <w:sz w:val="24"/>
              </w:rPr>
              <w:t>、监测断面：</w:t>
            </w:r>
            <w:r>
              <w:rPr>
                <w:rFonts w:ascii="Times New Roman" w:cs="Times New Roman" w:hAnsiTheme="minorEastAsia"/>
                <w:color w:val="000000" w:themeColor="text1"/>
                <w:sz w:val="24"/>
              </w:rPr>
              <w:t>共设置</w:t>
            </w:r>
            <w:r>
              <w:rPr>
                <w:rFonts w:hint="eastAsia" w:ascii="Times New Roman" w:hAnsi="Times New Roman" w:cs="Times New Roman"/>
                <w:color w:val="000000" w:themeColor="text1"/>
                <w:sz w:val="24"/>
              </w:rPr>
              <w:t>3</w:t>
            </w:r>
            <w:r>
              <w:rPr>
                <w:rFonts w:ascii="Times New Roman" w:cs="Times New Roman" w:hAnsiTheme="minorEastAsia"/>
                <w:color w:val="000000" w:themeColor="text1"/>
                <w:sz w:val="24"/>
              </w:rPr>
              <w:t>个监测断面，具体为：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表3-1  地表水体监测断面布设一览表</w:t>
            </w:r>
          </w:p>
          <w:tbl>
            <w:tblPr>
              <w:tblStyle w:val="51"/>
              <w:tblW w:w="93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3270"/>
              <w:gridCol w:w="43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监测点位</w:t>
                  </w:r>
                </w:p>
              </w:tc>
              <w:tc>
                <w:tcPr>
                  <w:tcW w:w="3270" w:type="dxa"/>
                  <w:tcBorders>
                    <w:tl2br w:val="nil"/>
                    <w:tr2bl w:val="nil"/>
                  </w:tcBorders>
                  <w:vAlign w:val="center"/>
                </w:tcPr>
                <w:p>
                  <w:pPr>
                    <w:spacing w:line="360" w:lineRule="auto"/>
                    <w:ind w:firstLine="20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监测水体</w:t>
                  </w:r>
                </w:p>
              </w:tc>
              <w:tc>
                <w:tcPr>
                  <w:tcW w:w="4370" w:type="dxa"/>
                  <w:tcBorders>
                    <w:tl2br w:val="nil"/>
                    <w:tr2bl w:val="nil"/>
                  </w:tcBorders>
                  <w:vAlign w:val="center"/>
                </w:tcPr>
                <w:p>
                  <w:pPr>
                    <w:spacing w:line="360" w:lineRule="auto"/>
                    <w:ind w:firstLine="20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断面位置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3270"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岷江</w:t>
                  </w:r>
                </w:p>
              </w:tc>
              <w:tc>
                <w:tcPr>
                  <w:tcW w:w="4370" w:type="dxa"/>
                  <w:tcBorders>
                    <w:tl2br w:val="nil"/>
                    <w:tr2bl w:val="nil"/>
                  </w:tcBorders>
                  <w:vAlign w:val="center"/>
                </w:tcPr>
                <w:p>
                  <w:pPr>
                    <w:pStyle w:val="311"/>
                    <w:ind w:left="4"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安</w:t>
                  </w:r>
                  <w:r>
                    <w:rPr>
                      <w:rFonts w:hint="eastAsia" w:ascii="宋体" w:hAnsi="宋体" w:eastAsia="宋体" w:cs="宋体"/>
                      <w:sz w:val="21"/>
                      <w:szCs w:val="21"/>
                      <w:lang w:eastAsia="zh-CN"/>
                    </w:rPr>
                    <w:t>宏</w:t>
                  </w:r>
                  <w:r>
                    <w:rPr>
                      <w:rFonts w:ascii="宋体" w:hAnsi="宋体" w:eastAsia="宋体" w:cs="宋体"/>
                      <w:sz w:val="21"/>
                      <w:szCs w:val="21"/>
                      <w:lang w:eastAsia="zh-CN"/>
                    </w:rPr>
                    <w:t>乡岷江断面上游</w:t>
                  </w:r>
                  <w:r>
                    <w:rPr>
                      <w:rFonts w:ascii="Times New Roman"/>
                      <w:sz w:val="21"/>
                      <w:lang w:eastAsia="zh-CN"/>
                    </w:rPr>
                    <w:t>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3270"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岷江</w:t>
                  </w:r>
                </w:p>
              </w:tc>
              <w:tc>
                <w:tcPr>
                  <w:tcW w:w="4370" w:type="dxa"/>
                  <w:tcBorders>
                    <w:tl2br w:val="nil"/>
                    <w:tr2bl w:val="nil"/>
                  </w:tcBorders>
                  <w:vAlign w:val="center"/>
                </w:tcPr>
                <w:p>
                  <w:pPr>
                    <w:pStyle w:val="311"/>
                    <w:ind w:left="4"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安宏乡岷江断面下游</w:t>
                  </w:r>
                  <w:r>
                    <w:rPr>
                      <w:rFonts w:ascii="Times New Roman"/>
                      <w:sz w:val="21"/>
                      <w:lang w:eastAsia="zh-CN"/>
                    </w:rPr>
                    <w:t>1500m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w:t>
                  </w:r>
                </w:p>
              </w:tc>
              <w:tc>
                <w:tcPr>
                  <w:tcW w:w="3270"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牟泥沟</w:t>
                  </w:r>
                </w:p>
              </w:tc>
              <w:tc>
                <w:tcPr>
                  <w:tcW w:w="4370" w:type="dxa"/>
                  <w:tcBorders>
                    <w:tl2br w:val="nil"/>
                    <w:tr2bl w:val="nil"/>
                  </w:tcBorders>
                  <w:vAlign w:val="center"/>
                </w:tcPr>
                <w:p>
                  <w:pPr>
                    <w:spacing w:line="360" w:lineRule="auto"/>
                    <w:ind w:firstLine="200"/>
                    <w:jc w:val="center"/>
                    <w:rPr>
                      <w:rFonts w:ascii="Times New Roman" w:cs="Times New Roman"/>
                      <w:color w:val="000000" w:themeColor="text1"/>
                      <w:szCs w:val="21"/>
                    </w:rPr>
                  </w:pPr>
                  <w:r>
                    <w:rPr>
                      <w:rFonts w:ascii="宋体" w:hAnsi="宋体" w:eastAsia="宋体" w:cs="宋体"/>
                      <w:szCs w:val="21"/>
                    </w:rPr>
                    <w:t>三联村施工点上游</w:t>
                  </w:r>
                  <w:r>
                    <w:rPr>
                      <w:rFonts w:ascii="Times New Roman" w:hAnsi="Times New Roman" w:eastAsia="Times New Roman" w:cs="Times New Roman"/>
                      <w:szCs w:val="21"/>
                    </w:rPr>
                    <w:t>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p>
              </w:tc>
              <w:tc>
                <w:tcPr>
                  <w:tcW w:w="3270"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牟泥沟</w:t>
                  </w:r>
                </w:p>
              </w:tc>
              <w:tc>
                <w:tcPr>
                  <w:tcW w:w="4370" w:type="dxa"/>
                  <w:tcBorders>
                    <w:tl2br w:val="nil"/>
                    <w:tr2bl w:val="nil"/>
                  </w:tcBorders>
                  <w:vAlign w:val="center"/>
                </w:tcPr>
                <w:p>
                  <w:pPr>
                    <w:pStyle w:val="311"/>
                    <w:ind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三联村施工点下游</w:t>
                  </w:r>
                  <w:r>
                    <w:rPr>
                      <w:rFonts w:ascii="Times New Roman"/>
                      <w:lang w:eastAsia="zh-CN"/>
                    </w:rPr>
                    <w:t>1500m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p>
              </w:tc>
              <w:tc>
                <w:tcPr>
                  <w:tcW w:w="3270"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牟泥沟</w:t>
                  </w:r>
                </w:p>
              </w:tc>
              <w:tc>
                <w:tcPr>
                  <w:tcW w:w="4370" w:type="dxa"/>
                  <w:tcBorders>
                    <w:tl2br w:val="nil"/>
                    <w:tr2bl w:val="nil"/>
                  </w:tcBorders>
                  <w:vAlign w:val="center"/>
                </w:tcPr>
                <w:p>
                  <w:pPr>
                    <w:pStyle w:val="311"/>
                    <w:ind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肖包寺施工点下游</w:t>
                  </w:r>
                  <w:r>
                    <w:rPr>
                      <w:rFonts w:ascii="Times New Roman"/>
                      <w:lang w:eastAsia="zh-CN"/>
                    </w:rPr>
                    <w:t>1500m</w:t>
                  </w:r>
                </w:p>
              </w:tc>
            </w:tr>
          </w:tbl>
          <w:p>
            <w:pPr>
              <w:spacing w:line="360" w:lineRule="auto"/>
              <w:ind w:firstLine="480" w:firstLineChars="200"/>
              <w:jc w:val="left"/>
              <w:textAlignment w:val="baseline"/>
              <w:rPr>
                <w:rFonts w:ascii="Times New Roman" w:hAnsi="Times New Roman" w:cs="Times New Roman"/>
                <w:color w:val="000000" w:themeColor="text1"/>
                <w:sz w:val="24"/>
              </w:rPr>
            </w:pPr>
            <w:r>
              <w:rPr>
                <w:rFonts w:ascii="Times New Roman" w:hAnsi="Times New Roman" w:cs="Times New Roman"/>
                <w:bCs/>
                <w:color w:val="000000" w:themeColor="text1"/>
                <w:sz w:val="24"/>
              </w:rPr>
              <w:t>3</w:t>
            </w:r>
            <w:r>
              <w:rPr>
                <w:rFonts w:ascii="Times New Roman" w:cs="Times New Roman" w:hAnsiTheme="minorEastAsia"/>
                <w:bCs/>
                <w:color w:val="000000" w:themeColor="text1"/>
                <w:sz w:val="24"/>
              </w:rPr>
              <w:t>、采样时间：</w:t>
            </w:r>
            <w:r>
              <w:rPr>
                <w:rFonts w:ascii="Times New Roman" w:hAnsi="Times New Roman" w:cs="Times New Roman"/>
                <w:color w:val="000000" w:themeColor="text1"/>
                <w:sz w:val="24"/>
              </w:rPr>
              <w:t>201</w:t>
            </w:r>
            <w:r>
              <w:rPr>
                <w:rFonts w:hint="eastAsia" w:ascii="Times New Roman" w:hAnsi="Times New Roman" w:cs="Times New Roman"/>
                <w:color w:val="000000" w:themeColor="text1"/>
                <w:sz w:val="24"/>
              </w:rPr>
              <w:t>9</w:t>
            </w:r>
            <w:r>
              <w:rPr>
                <w:rFonts w:ascii="Times New Roman" w:cs="Times New Roman" w:hAnsiTheme="minorEastAsia"/>
                <w:color w:val="000000" w:themeColor="text1"/>
                <w:sz w:val="24"/>
              </w:rPr>
              <w:t>年</w:t>
            </w:r>
            <w:r>
              <w:rPr>
                <w:rFonts w:hint="eastAsia" w:ascii="Times New Roman" w:hAnsi="Times New Roman" w:cs="Times New Roman"/>
                <w:color w:val="000000" w:themeColor="text1"/>
                <w:sz w:val="24"/>
              </w:rPr>
              <w:t>7</w:t>
            </w:r>
            <w:r>
              <w:rPr>
                <w:rFonts w:ascii="Times New Roman" w:cs="Times New Roman" w:hAnsiTheme="minorEastAsia"/>
                <w:color w:val="000000" w:themeColor="text1"/>
                <w:sz w:val="24"/>
              </w:rPr>
              <w:t>月</w:t>
            </w:r>
            <w:r>
              <w:rPr>
                <w:rFonts w:hint="eastAsia" w:ascii="Times New Roman" w:hAnsi="Times New Roman" w:cs="Times New Roman"/>
                <w:color w:val="000000" w:themeColor="text1"/>
                <w:sz w:val="24"/>
              </w:rPr>
              <w:t>1</w:t>
            </w:r>
            <w:r>
              <w:rPr>
                <w:rFonts w:ascii="Times New Roman" w:cs="Times New Roman" w:hAnsiTheme="minorEastAsia"/>
                <w:color w:val="000000" w:themeColor="text1"/>
                <w:sz w:val="24"/>
              </w:rPr>
              <w:t>日</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cs="Times New Roman" w:hAnsiTheme="minorEastAsia"/>
                <w:color w:val="000000" w:themeColor="text1"/>
                <w:sz w:val="24"/>
              </w:rPr>
              <w:t>日。</w:t>
            </w:r>
          </w:p>
          <w:p>
            <w:pPr>
              <w:spacing w:line="360" w:lineRule="auto"/>
              <w:ind w:firstLine="480" w:firstLineChars="200"/>
              <w:jc w:val="left"/>
              <w:textAlignment w:val="baseline"/>
              <w:rPr>
                <w:rFonts w:ascii="Times New Roman" w:hAnsi="Times New Roman" w:cs="Times New Roman"/>
                <w:color w:val="000000" w:themeColor="text1"/>
                <w:sz w:val="24"/>
              </w:rPr>
            </w:pPr>
            <w:r>
              <w:rPr>
                <w:rFonts w:ascii="Times New Roman" w:hAnsi="Times New Roman" w:cs="Times New Roman"/>
                <w:bCs/>
                <w:color w:val="000000" w:themeColor="text1"/>
                <w:sz w:val="24"/>
              </w:rPr>
              <w:t>4</w:t>
            </w:r>
            <w:r>
              <w:rPr>
                <w:rFonts w:ascii="Times New Roman" w:cs="Times New Roman" w:hAnsiTheme="minorEastAsia"/>
                <w:bCs/>
                <w:color w:val="000000" w:themeColor="text1"/>
                <w:sz w:val="24"/>
              </w:rPr>
              <w:t>、采样及监测方法：</w:t>
            </w:r>
            <w:r>
              <w:rPr>
                <w:rFonts w:ascii="Times New Roman" w:cs="Times New Roman" w:hAnsiTheme="minorEastAsia"/>
                <w:color w:val="000000" w:themeColor="text1"/>
                <w:sz w:val="24"/>
              </w:rPr>
              <w:t>按《地表水环境质量标准》（</w:t>
            </w:r>
            <w:r>
              <w:rPr>
                <w:rFonts w:ascii="Times New Roman" w:hAnsi="Times New Roman" w:cs="Times New Roman"/>
                <w:color w:val="000000" w:themeColor="text1"/>
                <w:sz w:val="24"/>
              </w:rPr>
              <w:t>GB3838-2002</w:t>
            </w:r>
            <w:r>
              <w:rPr>
                <w:rFonts w:ascii="Times New Roman" w:cs="Times New Roman" w:hAnsiTheme="minorEastAsia"/>
                <w:color w:val="000000" w:themeColor="text1"/>
                <w:sz w:val="24"/>
              </w:rPr>
              <w:t>）推荐的方法进行。</w:t>
            </w:r>
          </w:p>
          <w:p>
            <w:pPr>
              <w:tabs>
                <w:tab w:val="left" w:pos="2105"/>
              </w:tabs>
              <w:spacing w:line="360" w:lineRule="auto"/>
              <w:ind w:firstLine="480" w:firstLineChars="200"/>
              <w:jc w:val="left"/>
              <w:rPr>
                <w:rFonts w:ascii="Times New Roman" w:hAnsi="Times New Roman" w:cs="Times New Roman"/>
                <w:bCs/>
                <w:color w:val="000000" w:themeColor="text1"/>
                <w:sz w:val="24"/>
              </w:rPr>
            </w:pPr>
            <w:r>
              <w:rPr>
                <w:rFonts w:ascii="Times New Roman" w:hAnsi="Times New Roman" w:cs="Times New Roman"/>
                <w:bCs/>
                <w:color w:val="000000" w:themeColor="text1"/>
                <w:sz w:val="24"/>
              </w:rPr>
              <w:t>5</w:t>
            </w:r>
            <w:r>
              <w:rPr>
                <w:rFonts w:ascii="Times New Roman" w:cs="Times New Roman" w:hAnsiTheme="minorEastAsia"/>
                <w:bCs/>
                <w:color w:val="000000" w:themeColor="text1"/>
                <w:sz w:val="24"/>
              </w:rPr>
              <w:t>、评价标准</w:t>
            </w:r>
          </w:p>
          <w:p>
            <w:pPr>
              <w:spacing w:line="360" w:lineRule="auto"/>
              <w:ind w:firstLine="480" w:firstLineChars="200"/>
              <w:jc w:val="left"/>
              <w:rPr>
                <w:rFonts w:ascii="Times New Roman" w:cs="Times New Roman" w:hAnsiTheme="minorEastAsia"/>
                <w:color w:val="000000" w:themeColor="text1"/>
                <w:sz w:val="24"/>
              </w:rPr>
            </w:pPr>
            <w:r>
              <w:rPr>
                <w:rFonts w:ascii="Times New Roman" w:cs="Times New Roman" w:hAnsiTheme="minorEastAsia"/>
                <w:color w:val="000000" w:themeColor="text1"/>
                <w:sz w:val="24"/>
              </w:rPr>
              <w:t>地表水执行《地表水环境质量标准》</w:t>
            </w:r>
            <w:r>
              <w:rPr>
                <w:rFonts w:ascii="Times New Roman" w:hAnsi="Times New Roman" w:cs="Times New Roman"/>
                <w:color w:val="000000" w:themeColor="text1"/>
                <w:sz w:val="24"/>
              </w:rPr>
              <w:t>GB3838-2002</w:t>
            </w:r>
            <w:r>
              <w:rPr>
                <w:rFonts w:ascii="Times New Roman" w:cs="Times New Roman" w:hAnsiTheme="minorEastAsia"/>
                <w:color w:val="000000" w:themeColor="text1"/>
                <w:sz w:val="24"/>
              </w:rPr>
              <w:t>中水域标准。具体标准为</w:t>
            </w:r>
            <w:r>
              <w:rPr>
                <w:rFonts w:hint="eastAsia" w:ascii="Times New Roman" w:cs="Times New Roman" w:hAnsiTheme="minorEastAsia"/>
                <w:color w:val="000000" w:themeColor="text1"/>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表3-2  各点位执行《地表水环境质量标准》GB3838-2002中标准类别</w:t>
            </w:r>
          </w:p>
          <w:tbl>
            <w:tblPr>
              <w:tblStyle w:val="51"/>
              <w:tblW w:w="93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3270"/>
              <w:gridCol w:w="43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25"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bCs/>
                      <w:color w:val="000000" w:themeColor="text1"/>
                      <w:szCs w:val="21"/>
                    </w:rPr>
                  </w:pPr>
                  <w:r>
                    <w:rPr>
                      <w:rFonts w:ascii="Times New Roman" w:cs="Times New Roman" w:hAnsiTheme="minorEastAsia"/>
                      <w:bCs/>
                      <w:color w:val="000000" w:themeColor="text1"/>
                      <w:szCs w:val="21"/>
                    </w:rPr>
                    <w:t>监测点位</w:t>
                  </w:r>
                </w:p>
              </w:tc>
              <w:tc>
                <w:tcPr>
                  <w:tcW w:w="3270" w:type="dxa"/>
                  <w:tcBorders>
                    <w:tl2br w:val="nil"/>
                    <w:tr2bl w:val="nil"/>
                  </w:tcBorders>
                  <w:vAlign w:val="center"/>
                </w:tcPr>
                <w:p>
                  <w:pPr>
                    <w:spacing w:line="360" w:lineRule="auto"/>
                    <w:ind w:firstLine="200"/>
                    <w:jc w:val="center"/>
                    <w:rPr>
                      <w:rFonts w:ascii="Times New Roman" w:hAnsi="Times New Roman" w:cs="Times New Roman"/>
                      <w:bCs/>
                      <w:color w:val="000000" w:themeColor="text1"/>
                      <w:szCs w:val="21"/>
                    </w:rPr>
                  </w:pPr>
                  <w:r>
                    <w:rPr>
                      <w:rFonts w:hint="eastAsia" w:ascii="Times New Roman" w:cs="Times New Roman" w:hAnsiTheme="minorEastAsia"/>
                      <w:bCs/>
                      <w:color w:val="000000" w:themeColor="text1"/>
                      <w:szCs w:val="21"/>
                    </w:rPr>
                    <w:t>水体</w:t>
                  </w:r>
                  <w:r>
                    <w:rPr>
                      <w:rFonts w:ascii="Times New Roman" w:cs="Times New Roman" w:hAnsiTheme="minorEastAsia"/>
                      <w:bCs/>
                      <w:color w:val="000000" w:themeColor="text1"/>
                      <w:szCs w:val="21"/>
                    </w:rPr>
                    <w:t>断面</w:t>
                  </w:r>
                </w:p>
              </w:tc>
              <w:tc>
                <w:tcPr>
                  <w:tcW w:w="4370" w:type="dxa"/>
                  <w:tcBorders>
                    <w:tl2br w:val="nil"/>
                    <w:tr2bl w:val="nil"/>
                  </w:tcBorders>
                  <w:vAlign w:val="center"/>
                </w:tcPr>
                <w:p>
                  <w:pPr>
                    <w:spacing w:line="360" w:lineRule="auto"/>
                    <w:ind w:firstLine="200"/>
                    <w:jc w:val="center"/>
                    <w:rPr>
                      <w:rFonts w:ascii="Times New Roman" w:hAnsi="Times New Roman" w:cs="Times New Roman"/>
                      <w:bCs/>
                      <w:color w:val="000000" w:themeColor="text1"/>
                      <w:szCs w:val="21"/>
                    </w:rPr>
                  </w:pPr>
                  <w:r>
                    <w:rPr>
                      <w:rFonts w:hint="eastAsia" w:ascii="Times New Roman" w:cs="Times New Roman" w:hAnsiTheme="minorEastAsia"/>
                      <w:bCs/>
                      <w:color w:val="000000" w:themeColor="text1"/>
                      <w:szCs w:val="21"/>
                    </w:rPr>
                    <w:t>类别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3270" w:type="dxa"/>
                  <w:tcBorders>
                    <w:tl2br w:val="nil"/>
                    <w:tr2bl w:val="nil"/>
                  </w:tcBorders>
                  <w:vAlign w:val="center"/>
                </w:tcPr>
                <w:p>
                  <w:pPr>
                    <w:pStyle w:val="311"/>
                    <w:ind w:left="4"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安</w:t>
                  </w:r>
                  <w:r>
                    <w:rPr>
                      <w:rFonts w:hint="eastAsia" w:ascii="宋体" w:hAnsi="宋体" w:eastAsia="宋体" w:cs="宋体"/>
                      <w:sz w:val="21"/>
                      <w:szCs w:val="21"/>
                      <w:lang w:eastAsia="zh-CN"/>
                    </w:rPr>
                    <w:t>宏</w:t>
                  </w:r>
                  <w:r>
                    <w:rPr>
                      <w:rFonts w:ascii="宋体" w:hAnsi="宋体" w:eastAsia="宋体" w:cs="宋体"/>
                      <w:sz w:val="21"/>
                      <w:szCs w:val="21"/>
                      <w:lang w:eastAsia="zh-CN"/>
                    </w:rPr>
                    <w:t>乡岷江断面上游</w:t>
                  </w:r>
                  <w:r>
                    <w:rPr>
                      <w:rFonts w:ascii="Times New Roman"/>
                      <w:sz w:val="21"/>
                      <w:lang w:eastAsia="zh-CN"/>
                    </w:rPr>
                    <w:t>500m</w:t>
                  </w:r>
                </w:p>
              </w:tc>
              <w:tc>
                <w:tcPr>
                  <w:tcW w:w="4370" w:type="dxa"/>
                  <w:tcBorders>
                    <w:tl2br w:val="nil"/>
                    <w:tr2bl w:val="nil"/>
                  </w:tcBorders>
                  <w:vAlign w:val="center"/>
                </w:tcPr>
                <w:p>
                  <w:pPr>
                    <w:pStyle w:val="311"/>
                    <w:ind w:left="4" w:firstLine="210"/>
                    <w:jc w:val="center"/>
                    <w:rPr>
                      <w:rFonts w:cs="Times New Roman" w:asciiTheme="minorEastAsia" w:hAnsiTheme="minorEastAsia"/>
                      <w:color w:val="000000" w:themeColor="text1"/>
                      <w:szCs w:val="21"/>
                      <w:lang w:eastAsia="zh-CN"/>
                    </w:rPr>
                  </w:pPr>
                  <w:r>
                    <w:rPr>
                      <w:rFonts w:hint="eastAsia" w:cs="Times New Roman" w:asciiTheme="minorEastAsia" w:hAnsiTheme="minorEastAsia"/>
                      <w:color w:val="000000" w:themeColor="text1"/>
                      <w:szCs w:val="21"/>
                      <w:lang w:eastAsia="zh-CN"/>
                    </w:rPr>
                    <w:t>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3270" w:type="dxa"/>
                  <w:tcBorders>
                    <w:tl2br w:val="nil"/>
                    <w:tr2bl w:val="nil"/>
                  </w:tcBorders>
                  <w:vAlign w:val="center"/>
                </w:tcPr>
                <w:p>
                  <w:pPr>
                    <w:pStyle w:val="311"/>
                    <w:ind w:left="4"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安宏乡岷江断面下游</w:t>
                  </w:r>
                  <w:r>
                    <w:rPr>
                      <w:rFonts w:ascii="Times New Roman"/>
                      <w:sz w:val="21"/>
                      <w:lang w:eastAsia="zh-CN"/>
                    </w:rPr>
                    <w:t>1500m</w:t>
                  </w:r>
                </w:p>
              </w:tc>
              <w:tc>
                <w:tcPr>
                  <w:tcW w:w="4370" w:type="dxa"/>
                  <w:tcBorders>
                    <w:tl2br w:val="nil"/>
                    <w:tr2bl w:val="nil"/>
                  </w:tcBorders>
                  <w:vAlign w:val="center"/>
                </w:tcPr>
                <w:p>
                  <w:pPr>
                    <w:pStyle w:val="311"/>
                    <w:ind w:left="4" w:firstLine="210"/>
                    <w:jc w:val="center"/>
                    <w:rPr>
                      <w:rFonts w:cs="Times New Roman" w:asciiTheme="minorEastAsia" w:hAnsiTheme="minorEastAsia"/>
                      <w:color w:val="000000" w:themeColor="text1"/>
                      <w:szCs w:val="21"/>
                      <w:lang w:eastAsia="zh-CN"/>
                    </w:rPr>
                  </w:pPr>
                  <w:r>
                    <w:rPr>
                      <w:rFonts w:hint="eastAsia" w:cs="Times New Roman" w:asciiTheme="minorEastAsia" w:hAnsiTheme="minorEastAsia"/>
                      <w:color w:val="000000" w:themeColor="text1"/>
                      <w:szCs w:val="21"/>
                      <w:lang w:eastAsia="zh-CN"/>
                    </w:rPr>
                    <w:t>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w:t>
                  </w:r>
                </w:p>
              </w:tc>
              <w:tc>
                <w:tcPr>
                  <w:tcW w:w="3270" w:type="dxa"/>
                  <w:tcBorders>
                    <w:tl2br w:val="nil"/>
                    <w:tr2bl w:val="nil"/>
                  </w:tcBorders>
                  <w:vAlign w:val="center"/>
                </w:tcPr>
                <w:p>
                  <w:pPr>
                    <w:spacing w:line="360" w:lineRule="auto"/>
                    <w:ind w:firstLine="200"/>
                    <w:jc w:val="center"/>
                    <w:rPr>
                      <w:rFonts w:ascii="Times New Roman" w:cs="Times New Roman"/>
                      <w:color w:val="000000" w:themeColor="text1"/>
                      <w:szCs w:val="21"/>
                    </w:rPr>
                  </w:pPr>
                  <w:r>
                    <w:rPr>
                      <w:rFonts w:ascii="宋体" w:hAnsi="宋体" w:eastAsia="宋体" w:cs="宋体"/>
                      <w:szCs w:val="21"/>
                    </w:rPr>
                    <w:t>三联村施工点上游</w:t>
                  </w:r>
                  <w:r>
                    <w:rPr>
                      <w:rFonts w:ascii="Times New Roman" w:hAnsi="Times New Roman" w:eastAsia="Times New Roman" w:cs="Times New Roman"/>
                      <w:szCs w:val="21"/>
                    </w:rPr>
                    <w:t>500m</w:t>
                  </w:r>
                </w:p>
              </w:tc>
              <w:tc>
                <w:tcPr>
                  <w:tcW w:w="4370" w:type="dxa"/>
                  <w:tcBorders>
                    <w:tl2br w:val="nil"/>
                    <w:tr2bl w:val="nil"/>
                  </w:tcBorders>
                  <w:vAlign w:val="center"/>
                </w:tcPr>
                <w:p>
                  <w:pPr>
                    <w:pStyle w:val="311"/>
                    <w:ind w:left="4" w:firstLine="210"/>
                    <w:jc w:val="center"/>
                    <w:rPr>
                      <w:rFonts w:cs="Times New Roman" w:asciiTheme="minorEastAsia" w:hAnsiTheme="minorEastAsia"/>
                      <w:color w:val="000000" w:themeColor="text1"/>
                      <w:szCs w:val="21"/>
                      <w:lang w:eastAsia="zh-CN"/>
                    </w:rPr>
                  </w:pPr>
                  <w:r>
                    <w:rPr>
                      <w:rFonts w:hint="eastAsia" w:cs="Times New Roman" w:asciiTheme="minorEastAsia" w:hAnsiTheme="minorEastAsia"/>
                      <w:color w:val="000000" w:themeColor="text1"/>
                      <w:szCs w:val="21"/>
                      <w:lang w:eastAsia="zh-CN"/>
                    </w:rPr>
                    <w:t>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p>
              </w:tc>
              <w:tc>
                <w:tcPr>
                  <w:tcW w:w="3270" w:type="dxa"/>
                  <w:tcBorders>
                    <w:tl2br w:val="nil"/>
                    <w:tr2bl w:val="nil"/>
                  </w:tcBorders>
                  <w:vAlign w:val="center"/>
                </w:tcPr>
                <w:p>
                  <w:pPr>
                    <w:pStyle w:val="311"/>
                    <w:ind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三联村施工点下游</w:t>
                  </w:r>
                  <w:r>
                    <w:rPr>
                      <w:rFonts w:ascii="Times New Roman"/>
                      <w:lang w:eastAsia="zh-CN"/>
                    </w:rPr>
                    <w:t>1500m</w:t>
                  </w:r>
                </w:p>
              </w:tc>
              <w:tc>
                <w:tcPr>
                  <w:tcW w:w="4370" w:type="dxa"/>
                  <w:tcBorders>
                    <w:tl2br w:val="nil"/>
                    <w:tr2bl w:val="nil"/>
                  </w:tcBorders>
                  <w:vAlign w:val="center"/>
                </w:tcPr>
                <w:p>
                  <w:pPr>
                    <w:pStyle w:val="311"/>
                    <w:ind w:left="4" w:firstLine="210"/>
                    <w:jc w:val="center"/>
                    <w:rPr>
                      <w:rFonts w:cs="Times New Roman" w:asciiTheme="minorEastAsia" w:hAnsiTheme="minorEastAsia"/>
                      <w:color w:val="000000" w:themeColor="text1"/>
                      <w:szCs w:val="21"/>
                      <w:lang w:eastAsia="zh-CN"/>
                    </w:rPr>
                  </w:pPr>
                  <w:r>
                    <w:rPr>
                      <w:rFonts w:hint="eastAsia" w:cs="Times New Roman" w:asciiTheme="minorEastAsia" w:hAnsiTheme="minorEastAsia"/>
                      <w:color w:val="000000" w:themeColor="text1"/>
                      <w:szCs w:val="21"/>
                      <w:lang w:eastAsia="zh-CN"/>
                    </w:rPr>
                    <w:t>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spacing w:line="360" w:lineRule="auto"/>
                    <w:ind w:firstLine="20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p>
              </w:tc>
              <w:tc>
                <w:tcPr>
                  <w:tcW w:w="3270" w:type="dxa"/>
                  <w:tcBorders>
                    <w:tl2br w:val="nil"/>
                    <w:tr2bl w:val="nil"/>
                  </w:tcBorders>
                  <w:vAlign w:val="center"/>
                </w:tcPr>
                <w:p>
                  <w:pPr>
                    <w:pStyle w:val="311"/>
                    <w:ind w:firstLine="210"/>
                    <w:jc w:val="center"/>
                    <w:rPr>
                      <w:rFonts w:ascii="Times New Roman" w:cs="Times New Roman"/>
                      <w:color w:val="000000" w:themeColor="text1"/>
                      <w:szCs w:val="21"/>
                      <w:lang w:eastAsia="zh-CN"/>
                    </w:rPr>
                  </w:pPr>
                  <w:r>
                    <w:rPr>
                      <w:rFonts w:ascii="宋体" w:hAnsi="宋体" w:eastAsia="宋体" w:cs="宋体"/>
                      <w:sz w:val="21"/>
                      <w:szCs w:val="21"/>
                      <w:lang w:eastAsia="zh-CN"/>
                    </w:rPr>
                    <w:t>肖包寺施工点下游</w:t>
                  </w:r>
                  <w:r>
                    <w:rPr>
                      <w:rFonts w:ascii="Times New Roman"/>
                      <w:lang w:eastAsia="zh-CN"/>
                    </w:rPr>
                    <w:t>1500m</w:t>
                  </w:r>
                </w:p>
              </w:tc>
              <w:tc>
                <w:tcPr>
                  <w:tcW w:w="4370" w:type="dxa"/>
                  <w:tcBorders>
                    <w:tl2br w:val="nil"/>
                    <w:tr2bl w:val="nil"/>
                  </w:tcBorders>
                  <w:vAlign w:val="center"/>
                </w:tcPr>
                <w:p>
                  <w:pPr>
                    <w:pStyle w:val="311"/>
                    <w:ind w:left="4" w:firstLine="210"/>
                    <w:jc w:val="center"/>
                    <w:rPr>
                      <w:rFonts w:cs="Times New Roman" w:asciiTheme="minorEastAsia" w:hAnsiTheme="minorEastAsia"/>
                      <w:color w:val="000000" w:themeColor="text1"/>
                      <w:szCs w:val="21"/>
                      <w:lang w:eastAsia="zh-CN"/>
                    </w:rPr>
                  </w:pPr>
                  <w:r>
                    <w:rPr>
                      <w:rFonts w:hint="eastAsia" w:cs="Times New Roman" w:asciiTheme="minorEastAsia" w:hAnsiTheme="minorEastAsia"/>
                      <w:color w:val="000000" w:themeColor="text1"/>
                      <w:szCs w:val="21"/>
                      <w:lang w:eastAsia="zh-CN"/>
                    </w:rPr>
                    <w:t>Ⅱ</w:t>
                  </w:r>
                </w:p>
              </w:tc>
            </w:tr>
          </w:tbl>
          <w:p>
            <w:pPr>
              <w:tabs>
                <w:tab w:val="left" w:pos="2105"/>
              </w:tabs>
              <w:spacing w:line="360" w:lineRule="auto"/>
              <w:ind w:firstLine="480" w:firstLineChars="200"/>
              <w:jc w:val="left"/>
              <w:rPr>
                <w:rFonts w:hint="default" w:ascii="Times New Roman" w:hAnsi="Times New Roman" w:cs="Times New Roman" w:eastAsiaTheme="minorEastAsia"/>
                <w:bCs/>
                <w:color w:val="000000" w:themeColor="text1"/>
                <w:sz w:val="24"/>
                <w:lang w:val="en-US" w:eastAsia="zh-CN"/>
              </w:rPr>
            </w:pPr>
            <w:r>
              <w:rPr>
                <w:rFonts w:hint="eastAsia" w:ascii="Times New Roman" w:hAnsi="Times New Roman" w:cs="Times New Roman"/>
                <w:bCs/>
                <w:color w:val="000000" w:themeColor="text1"/>
                <w:sz w:val="24"/>
                <w:lang w:val="en-US" w:eastAsia="zh-CN"/>
              </w:rPr>
              <w:t>6、评价方法</w:t>
            </w:r>
          </w:p>
          <w:p>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采用单项标准指数法。标准指数P</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计算表达式：</w:t>
            </w:r>
          </w:p>
          <w:p>
            <w:pPr>
              <w:spacing w:line="360" w:lineRule="auto"/>
              <w:ind w:firstLine="1200" w:firstLineChars="500"/>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P</w:t>
            </w:r>
            <w:r>
              <w:rPr>
                <w:rFonts w:hint="eastAsia" w:asciiTheme="minorEastAsia" w:hAnsiTheme="minorEastAsia" w:eastAsiaTheme="minorEastAsia" w:cstheme="minorEastAsia"/>
                <w:bCs/>
                <w:kern w:val="0"/>
                <w:sz w:val="24"/>
                <w:szCs w:val="24"/>
                <w:vertAlign w:val="subscript"/>
              </w:rPr>
              <w:t>i</w:t>
            </w:r>
            <w:r>
              <w:rPr>
                <w:rFonts w:hint="eastAsia" w:asciiTheme="minorEastAsia" w:hAnsiTheme="minorEastAsia" w:eastAsiaTheme="minorEastAsia" w:cstheme="minorEastAsia"/>
                <w:bCs/>
                <w:kern w:val="0"/>
                <w:sz w:val="24"/>
                <w:szCs w:val="24"/>
              </w:rPr>
              <w:t>=C</w:t>
            </w:r>
            <w:r>
              <w:rPr>
                <w:rFonts w:hint="eastAsia" w:asciiTheme="minorEastAsia" w:hAnsiTheme="minorEastAsia" w:eastAsiaTheme="minorEastAsia" w:cstheme="minorEastAsia"/>
                <w:bCs/>
                <w:kern w:val="0"/>
                <w:sz w:val="24"/>
                <w:szCs w:val="24"/>
                <w:vertAlign w:val="subscript"/>
              </w:rPr>
              <w:t>i</w:t>
            </w:r>
            <w:r>
              <w:rPr>
                <w:rFonts w:hint="eastAsia" w:asciiTheme="minorEastAsia" w:hAnsiTheme="minorEastAsia" w:eastAsiaTheme="minorEastAsia" w:cstheme="minorEastAsia"/>
                <w:bCs/>
                <w:kern w:val="0"/>
                <w:sz w:val="24"/>
                <w:szCs w:val="24"/>
              </w:rPr>
              <w:t>/Co</w:t>
            </w:r>
            <w:r>
              <w:rPr>
                <w:rFonts w:hint="eastAsia" w:asciiTheme="minorEastAsia" w:hAnsiTheme="minorEastAsia" w:eastAsiaTheme="minorEastAsia" w:cstheme="minorEastAsia"/>
                <w:bCs/>
                <w:kern w:val="0"/>
                <w:sz w:val="24"/>
                <w:szCs w:val="24"/>
                <w:vertAlign w:val="subscript"/>
              </w:rPr>
              <w:t>i</w:t>
            </w:r>
          </w:p>
          <w:p>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 式中：P</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——i种污染物标准指数值；</w:t>
            </w:r>
          </w:p>
          <w:p>
            <w:pPr>
              <w:spacing w:line="360" w:lineRule="auto"/>
              <w:ind w:firstLine="1200" w:firstLineChars="5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C</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——i种污染物实测浓度值，mg/L；</w:t>
            </w:r>
          </w:p>
          <w:p>
            <w:pPr>
              <w:spacing w:line="360" w:lineRule="auto"/>
              <w:ind w:firstLine="1200" w:firstLineChars="5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Co</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——i种污染物标准浓度值，mg/L。</w:t>
            </w:r>
          </w:p>
          <w:p>
            <w:pPr>
              <w:spacing w:line="36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pH的标准指数为：</w:t>
            </w:r>
          </w:p>
          <w:p>
            <w:pPr>
              <w:spacing w:line="360" w:lineRule="auto"/>
              <w:ind w:firstLine="1200" w:firstLineChars="5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P</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=(pH</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-7.0)/( pH</w:t>
            </w:r>
            <w:r>
              <w:rPr>
                <w:rFonts w:hint="eastAsia" w:asciiTheme="minorEastAsia" w:hAnsiTheme="minorEastAsia" w:eastAsiaTheme="minorEastAsia" w:cstheme="minorEastAsia"/>
                <w:kern w:val="0"/>
                <w:sz w:val="24"/>
                <w:szCs w:val="24"/>
                <w:vertAlign w:val="subscript"/>
              </w:rPr>
              <w:t>S</w:t>
            </w:r>
            <w:r>
              <w:rPr>
                <w:rFonts w:hint="eastAsia" w:asciiTheme="minorEastAsia" w:hAnsiTheme="minorEastAsia" w:eastAsiaTheme="minorEastAsia" w:cstheme="minorEastAsia"/>
                <w:kern w:val="0"/>
                <w:sz w:val="24"/>
                <w:szCs w:val="24"/>
              </w:rPr>
              <w:t xml:space="preserve"> -7.0)         当pH&gt;7.0时</w:t>
            </w:r>
          </w:p>
          <w:p>
            <w:pPr>
              <w:spacing w:line="360" w:lineRule="auto"/>
              <w:ind w:firstLine="1200" w:firstLineChars="5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P</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=(7.0- pH</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)/( 7.0 -pH</w:t>
            </w:r>
            <w:r>
              <w:rPr>
                <w:rFonts w:hint="eastAsia" w:asciiTheme="minorEastAsia" w:hAnsiTheme="minorEastAsia" w:eastAsiaTheme="minorEastAsia" w:cstheme="minorEastAsia"/>
                <w:kern w:val="0"/>
                <w:sz w:val="24"/>
                <w:szCs w:val="24"/>
                <w:vertAlign w:val="subscript"/>
              </w:rPr>
              <w:t>S</w:t>
            </w:r>
            <w:r>
              <w:rPr>
                <w:rFonts w:hint="eastAsia" w:asciiTheme="minorEastAsia" w:hAnsiTheme="minorEastAsia" w:eastAsiaTheme="minorEastAsia" w:cstheme="minorEastAsia"/>
                <w:kern w:val="0"/>
                <w:sz w:val="24"/>
                <w:szCs w:val="24"/>
              </w:rPr>
              <w:t>)        当pH≤7.0时</w:t>
            </w:r>
          </w:p>
          <w:p>
            <w:pPr>
              <w:spacing w:line="36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式中：P</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 xml:space="preserve"> ------为pH因子的标准质量指数值；</w:t>
            </w:r>
          </w:p>
          <w:p>
            <w:pPr>
              <w:spacing w:line="360" w:lineRule="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           pH</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 xml:space="preserve">  ------为pH的实测pH值；</w:t>
            </w:r>
          </w:p>
          <w:p>
            <w:pPr>
              <w:spacing w:line="360" w:lineRule="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           pH</w:t>
            </w:r>
            <w:r>
              <w:rPr>
                <w:rFonts w:hint="eastAsia" w:asciiTheme="minorEastAsia" w:hAnsiTheme="minorEastAsia" w:eastAsiaTheme="minorEastAsia" w:cstheme="minorEastAsia"/>
                <w:kern w:val="0"/>
                <w:sz w:val="24"/>
                <w:szCs w:val="24"/>
                <w:vertAlign w:val="subscript"/>
              </w:rPr>
              <w:t>S</w:t>
            </w:r>
            <w:r>
              <w:rPr>
                <w:rFonts w:hint="eastAsia" w:asciiTheme="minorEastAsia" w:hAnsiTheme="minorEastAsia" w:eastAsiaTheme="minorEastAsia" w:cstheme="minorEastAsia"/>
                <w:kern w:val="0"/>
                <w:sz w:val="24"/>
                <w:szCs w:val="24"/>
              </w:rPr>
              <w:t xml:space="preserve">  ------为pH的评价标准上限值或下限值。</w:t>
            </w:r>
          </w:p>
          <w:p>
            <w:pPr>
              <w:spacing w:line="360" w:lineRule="auto"/>
              <w:ind w:firstLine="600" w:firstLineChars="25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当P</w:t>
            </w:r>
            <w:r>
              <w:rPr>
                <w:rFonts w:hint="eastAsia" w:asciiTheme="minorEastAsia" w:hAnsiTheme="minorEastAsia" w:eastAsiaTheme="minorEastAsia" w:cstheme="minorEastAsia"/>
                <w:kern w:val="0"/>
                <w:sz w:val="24"/>
                <w:szCs w:val="24"/>
                <w:vertAlign w:val="subscript"/>
              </w:rPr>
              <w:t>i</w:t>
            </w:r>
            <w:r>
              <w:rPr>
                <w:rFonts w:hint="eastAsia" w:asciiTheme="minorEastAsia" w:hAnsiTheme="minorEastAsia" w:eastAsiaTheme="minorEastAsia" w:cstheme="minorEastAsia"/>
                <w:kern w:val="0"/>
                <w:sz w:val="24"/>
                <w:szCs w:val="24"/>
              </w:rPr>
              <w:t>值大于1.0时，表明地表水体已受到该项评价因子所表征的污染物的污染，Pi值越大，水体受污染程度越重，否则反之。</w:t>
            </w:r>
          </w:p>
          <w:p>
            <w:pPr>
              <w:tabs>
                <w:tab w:val="left" w:pos="2105"/>
              </w:tabs>
              <w:spacing w:line="360" w:lineRule="auto"/>
              <w:ind w:firstLine="480" w:firstLineChars="200"/>
              <w:jc w:val="left"/>
              <w:rPr>
                <w:rFonts w:ascii="Times New Roman" w:hAnsi="Times New Roman" w:cs="Times New Roman"/>
                <w:bCs/>
                <w:color w:val="000000" w:themeColor="text1"/>
                <w:sz w:val="24"/>
              </w:rPr>
            </w:pPr>
            <w:r>
              <w:rPr>
                <w:rFonts w:hint="eastAsia" w:ascii="Times New Roman" w:hAnsi="Times New Roman" w:cs="Times New Roman"/>
                <w:bCs/>
                <w:color w:val="000000" w:themeColor="text1"/>
                <w:sz w:val="24"/>
                <w:lang w:val="en-US" w:eastAsia="zh-CN"/>
              </w:rPr>
              <w:t>7、</w:t>
            </w:r>
            <w:r>
              <w:rPr>
                <w:rFonts w:ascii="Times New Roman" w:cs="Times New Roman" w:hAnsiTheme="minorEastAsia"/>
                <w:bCs/>
                <w:color w:val="000000" w:themeColor="text1"/>
                <w:sz w:val="24"/>
              </w:rPr>
              <w:t>监测结果</w:t>
            </w:r>
          </w:p>
          <w:p>
            <w:pPr>
              <w:spacing w:line="360" w:lineRule="auto"/>
              <w:ind w:firstLine="480" w:firstLineChars="200"/>
              <w:jc w:val="left"/>
              <w:textAlignment w:val="baseline"/>
              <w:rPr>
                <w:rFonts w:ascii="Times New Roman" w:hAnsi="Times New Roman" w:cs="Times New Roman"/>
                <w:color w:val="000000" w:themeColor="text1"/>
                <w:sz w:val="24"/>
              </w:rPr>
            </w:pPr>
            <w:r>
              <w:rPr>
                <w:rFonts w:ascii="Times New Roman" w:cs="Times New Roman" w:hAnsiTheme="minorEastAsia"/>
                <w:color w:val="000000" w:themeColor="text1"/>
                <w:sz w:val="24"/>
              </w:rPr>
              <w:t>地表水现状监测结果统计表见表</w:t>
            </w:r>
            <w:r>
              <w:rPr>
                <w:rFonts w:ascii="Times New Roman" w:hAnsi="Times New Roman" w:cs="Times New Roman"/>
                <w:color w:val="000000" w:themeColor="text1"/>
                <w:sz w:val="24"/>
              </w:rPr>
              <w:t>3-</w:t>
            </w:r>
            <w:r>
              <w:rPr>
                <w:rFonts w:hint="eastAsia" w:ascii="Times New Roman" w:hAnsi="Times New Roman" w:cs="Times New Roman"/>
                <w:color w:val="000000" w:themeColor="text1"/>
                <w:sz w:val="24"/>
              </w:rPr>
              <w:t>3</w:t>
            </w:r>
            <w:r>
              <w:rPr>
                <w:rFonts w:ascii="Times New Roman" w:cs="Times New Roman" w:hAnsiTheme="minorEastAsia"/>
                <w:color w:val="000000" w:themeColor="text1"/>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表3-3 地表水环境现状监测结果统计表       单位：mg/L</w:t>
            </w:r>
          </w:p>
          <w:tbl>
            <w:tblPr>
              <w:tblStyle w:val="310"/>
              <w:tblW w:w="0" w:type="auto"/>
              <w:tblInd w:w="1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1521"/>
              <w:gridCol w:w="1538"/>
              <w:gridCol w:w="1562"/>
              <w:gridCol w:w="1550"/>
              <w:gridCol w:w="16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restart"/>
                  <w:tcBorders>
                    <w:tl2br w:val="nil"/>
                    <w:tr2bl w:val="nil"/>
                  </w:tcBorders>
                  <w:vAlign w:val="center"/>
                </w:tcPr>
                <w:p>
                  <w:pPr>
                    <w:pStyle w:val="311"/>
                    <w:jc w:val="center"/>
                    <w:rPr>
                      <w:rFonts w:ascii="宋体" w:hAnsi="宋体" w:eastAsia="宋体" w:cs="宋体"/>
                      <w:b/>
                      <w:sz w:val="21"/>
                      <w:szCs w:val="21"/>
                      <w:lang w:eastAsia="zh-CN"/>
                    </w:rPr>
                  </w:pPr>
                  <w:r>
                    <w:rPr>
                      <w:rFonts w:ascii="宋体" w:hAnsi="宋体" w:eastAsia="宋体" w:cs="宋体"/>
                      <w:b/>
                      <w:sz w:val="21"/>
                      <w:szCs w:val="21"/>
                      <w:lang w:eastAsia="zh-CN"/>
                    </w:rPr>
                    <w:t>监测点位</w:t>
                  </w:r>
                </w:p>
              </w:tc>
              <w:tc>
                <w:tcPr>
                  <w:tcW w:w="1521" w:type="dxa"/>
                  <w:vMerge w:val="restart"/>
                  <w:tcBorders>
                    <w:tl2br w:val="nil"/>
                    <w:tr2bl w:val="nil"/>
                  </w:tcBorders>
                  <w:vAlign w:val="center"/>
                </w:tcPr>
                <w:p>
                  <w:pPr>
                    <w:pStyle w:val="311"/>
                    <w:jc w:val="center"/>
                    <w:rPr>
                      <w:rFonts w:ascii="宋体" w:hAnsi="宋体" w:eastAsia="宋体" w:cs="宋体"/>
                      <w:b/>
                      <w:sz w:val="21"/>
                      <w:szCs w:val="21"/>
                      <w:lang w:eastAsia="zh-CN"/>
                    </w:rPr>
                  </w:pPr>
                  <w:r>
                    <w:rPr>
                      <w:rFonts w:ascii="宋体" w:hAnsi="宋体" w:eastAsia="宋体" w:cs="宋体"/>
                      <w:b/>
                      <w:sz w:val="21"/>
                      <w:szCs w:val="21"/>
                      <w:lang w:eastAsia="zh-CN"/>
                    </w:rPr>
                    <w:t>检测项目</w:t>
                  </w:r>
                </w:p>
              </w:tc>
              <w:tc>
                <w:tcPr>
                  <w:tcW w:w="4650" w:type="dxa"/>
                  <w:gridSpan w:val="3"/>
                  <w:tcBorders>
                    <w:tl2br w:val="nil"/>
                    <w:tr2bl w:val="nil"/>
                  </w:tcBorders>
                  <w:vAlign w:val="center"/>
                </w:tcPr>
                <w:p>
                  <w:pPr>
                    <w:pStyle w:val="311"/>
                    <w:jc w:val="center"/>
                    <w:rPr>
                      <w:rFonts w:ascii="宋体" w:hAnsi="宋体" w:eastAsia="宋体" w:cs="宋体"/>
                      <w:b/>
                      <w:sz w:val="21"/>
                      <w:szCs w:val="21"/>
                      <w:lang w:eastAsia="zh-CN"/>
                    </w:rPr>
                  </w:pPr>
                  <w:r>
                    <w:rPr>
                      <w:rFonts w:ascii="宋体" w:hAnsi="宋体" w:eastAsia="宋体" w:cs="宋体"/>
                      <w:b/>
                      <w:sz w:val="21"/>
                      <w:szCs w:val="21"/>
                      <w:lang w:eastAsia="zh-CN"/>
                    </w:rPr>
                    <w:t>检测结果</w:t>
                  </w:r>
                </w:p>
              </w:tc>
              <w:tc>
                <w:tcPr>
                  <w:tcW w:w="1625" w:type="dxa"/>
                  <w:vMerge w:val="restart"/>
                  <w:tcBorders>
                    <w:tl2br w:val="nil"/>
                    <w:tr2bl w:val="nil"/>
                  </w:tcBorders>
                  <w:vAlign w:val="center"/>
                </w:tcPr>
                <w:p>
                  <w:pPr>
                    <w:pStyle w:val="311"/>
                    <w:jc w:val="center"/>
                    <w:rPr>
                      <w:rFonts w:ascii="宋体" w:hAnsi="宋体" w:eastAsia="宋体" w:cs="宋体"/>
                      <w:b/>
                      <w:bCs/>
                      <w:sz w:val="24"/>
                      <w:szCs w:val="24"/>
                      <w:lang w:eastAsia="zh-CN"/>
                    </w:rPr>
                  </w:pPr>
                </w:p>
                <w:p>
                  <w:pPr>
                    <w:pStyle w:val="311"/>
                    <w:jc w:val="center"/>
                    <w:rPr>
                      <w:rFonts w:ascii="宋体" w:hAnsi="宋体" w:eastAsia="宋体" w:cs="宋体"/>
                      <w:b/>
                      <w:sz w:val="21"/>
                      <w:szCs w:val="21"/>
                      <w:lang w:eastAsia="zh-CN"/>
                    </w:rPr>
                  </w:pPr>
                  <w:r>
                    <w:rPr>
                      <w:rFonts w:ascii="宋体" w:hAnsi="宋体" w:eastAsia="宋体" w:cs="宋体"/>
                      <w:b/>
                      <w:sz w:val="21"/>
                      <w:szCs w:val="21"/>
                      <w:lang w:eastAsia="zh-CN"/>
                    </w:rPr>
                    <w:t>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vMerge w:val="continue"/>
                  <w:tcBorders>
                    <w:tl2br w:val="nil"/>
                    <w:tr2bl w:val="nil"/>
                  </w:tcBorders>
                  <w:vAlign w:val="center"/>
                </w:tcPr>
                <w:p>
                  <w:pPr>
                    <w:jc w:val="center"/>
                    <w:rPr>
                      <w:lang w:eastAsia="en-US"/>
                    </w:rPr>
                  </w:pPr>
                </w:p>
              </w:tc>
              <w:tc>
                <w:tcPr>
                  <w:tcW w:w="1538" w:type="dxa"/>
                  <w:tcBorders>
                    <w:tl2br w:val="nil"/>
                    <w:tr2bl w:val="nil"/>
                  </w:tcBorders>
                  <w:vAlign w:val="center"/>
                </w:tcPr>
                <w:p>
                  <w:pPr>
                    <w:pStyle w:val="311"/>
                    <w:jc w:val="center"/>
                    <w:rPr>
                      <w:rFonts w:ascii="宋体" w:hAnsi="宋体" w:eastAsia="宋体" w:cs="宋体"/>
                      <w:b/>
                      <w:sz w:val="21"/>
                      <w:szCs w:val="21"/>
                      <w:lang w:eastAsia="zh-CN"/>
                    </w:rPr>
                  </w:pPr>
                  <w:r>
                    <w:rPr>
                      <w:rFonts w:ascii="Times New Roman" w:hAnsi="Times New Roman" w:eastAsia="Times New Roman" w:cs="Times New Roman"/>
                      <w:b/>
                      <w:sz w:val="21"/>
                      <w:szCs w:val="21"/>
                      <w:lang w:eastAsia="zh-CN"/>
                    </w:rPr>
                    <w:t>0</w:t>
                  </w:r>
                  <w:r>
                    <w:rPr>
                      <w:rFonts w:hint="eastAsia" w:ascii="Times New Roman" w:hAnsi="Times New Roman" w:cs="Times New Roman"/>
                      <w:b/>
                      <w:sz w:val="21"/>
                      <w:szCs w:val="21"/>
                      <w:lang w:eastAsia="zh-CN"/>
                    </w:rPr>
                    <w:t>7</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月</w:t>
                  </w:r>
                  <w:r>
                    <w:rPr>
                      <w:rFonts w:ascii="宋体" w:hAnsi="宋体" w:eastAsia="宋体" w:cs="宋体"/>
                      <w:b/>
                      <w:spacing w:val="-51"/>
                      <w:sz w:val="21"/>
                      <w:szCs w:val="21"/>
                      <w:lang w:eastAsia="zh-CN"/>
                    </w:rPr>
                    <w:t xml:space="preserve"> </w:t>
                  </w:r>
                  <w:r>
                    <w:rPr>
                      <w:rFonts w:ascii="Times New Roman" w:hAnsi="Times New Roman" w:eastAsia="Times New Roman" w:cs="Times New Roman"/>
                      <w:b/>
                      <w:sz w:val="21"/>
                      <w:szCs w:val="21"/>
                      <w:lang w:eastAsia="zh-CN"/>
                    </w:rPr>
                    <w:t>1</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日</w:t>
                  </w:r>
                </w:p>
              </w:tc>
              <w:tc>
                <w:tcPr>
                  <w:tcW w:w="1562" w:type="dxa"/>
                  <w:tcBorders>
                    <w:tl2br w:val="nil"/>
                    <w:tr2bl w:val="nil"/>
                  </w:tcBorders>
                  <w:vAlign w:val="center"/>
                </w:tcPr>
                <w:p>
                  <w:pPr>
                    <w:pStyle w:val="311"/>
                    <w:jc w:val="center"/>
                    <w:rPr>
                      <w:rFonts w:ascii="宋体" w:hAnsi="宋体" w:eastAsia="宋体" w:cs="宋体"/>
                      <w:b/>
                      <w:sz w:val="21"/>
                      <w:szCs w:val="21"/>
                      <w:lang w:eastAsia="zh-CN"/>
                    </w:rPr>
                  </w:pPr>
                  <w:r>
                    <w:rPr>
                      <w:rFonts w:ascii="Times New Roman" w:hAnsi="Times New Roman" w:eastAsia="Times New Roman" w:cs="Times New Roman"/>
                      <w:b/>
                      <w:sz w:val="21"/>
                      <w:szCs w:val="21"/>
                      <w:lang w:eastAsia="zh-CN"/>
                    </w:rPr>
                    <w:t>0</w:t>
                  </w:r>
                  <w:r>
                    <w:rPr>
                      <w:rFonts w:hint="eastAsia" w:ascii="Times New Roman" w:hAnsi="Times New Roman" w:cs="Times New Roman"/>
                      <w:b/>
                      <w:sz w:val="21"/>
                      <w:szCs w:val="21"/>
                      <w:lang w:eastAsia="zh-CN"/>
                    </w:rPr>
                    <w:t>7</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月</w:t>
                  </w:r>
                  <w:r>
                    <w:rPr>
                      <w:rFonts w:ascii="Times New Roman" w:hAnsi="Times New Roman" w:eastAsia="Times New Roman" w:cs="Times New Roman"/>
                      <w:b/>
                      <w:sz w:val="21"/>
                      <w:szCs w:val="21"/>
                      <w:lang w:eastAsia="zh-CN"/>
                    </w:rPr>
                    <w:t>22</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日</w:t>
                  </w:r>
                </w:p>
              </w:tc>
              <w:tc>
                <w:tcPr>
                  <w:tcW w:w="1550" w:type="dxa"/>
                  <w:tcBorders>
                    <w:tl2br w:val="nil"/>
                    <w:tr2bl w:val="nil"/>
                  </w:tcBorders>
                  <w:vAlign w:val="center"/>
                </w:tcPr>
                <w:p>
                  <w:pPr>
                    <w:pStyle w:val="311"/>
                    <w:jc w:val="center"/>
                    <w:rPr>
                      <w:rFonts w:ascii="宋体" w:hAnsi="宋体" w:eastAsia="宋体" w:cs="宋体"/>
                      <w:b/>
                      <w:sz w:val="21"/>
                      <w:szCs w:val="21"/>
                      <w:lang w:eastAsia="zh-CN"/>
                    </w:rPr>
                  </w:pPr>
                  <w:r>
                    <w:rPr>
                      <w:rFonts w:ascii="Times New Roman" w:hAnsi="Times New Roman" w:eastAsia="Times New Roman" w:cs="Times New Roman"/>
                      <w:b/>
                      <w:sz w:val="21"/>
                      <w:szCs w:val="21"/>
                      <w:lang w:eastAsia="zh-CN"/>
                    </w:rPr>
                    <w:t>0</w:t>
                  </w:r>
                  <w:r>
                    <w:rPr>
                      <w:rFonts w:hint="eastAsia" w:ascii="Times New Roman" w:hAnsi="Times New Roman" w:cs="Times New Roman"/>
                      <w:b/>
                      <w:sz w:val="21"/>
                      <w:szCs w:val="21"/>
                      <w:lang w:eastAsia="zh-CN"/>
                    </w:rPr>
                    <w:t>7</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月</w:t>
                  </w:r>
                  <w:r>
                    <w:rPr>
                      <w:rFonts w:ascii="宋体" w:hAnsi="宋体" w:eastAsia="宋体" w:cs="宋体"/>
                      <w:b/>
                      <w:spacing w:val="-54"/>
                      <w:sz w:val="21"/>
                      <w:szCs w:val="21"/>
                      <w:lang w:eastAsia="zh-CN"/>
                    </w:rPr>
                    <w:t xml:space="preserve"> </w:t>
                  </w:r>
                  <w:r>
                    <w:rPr>
                      <w:rFonts w:ascii="Times New Roman" w:hAnsi="Times New Roman" w:eastAsia="Times New Roman" w:cs="Times New Roman"/>
                      <w:b/>
                      <w:sz w:val="21"/>
                      <w:szCs w:val="21"/>
                      <w:lang w:eastAsia="zh-CN"/>
                    </w:rPr>
                    <w:t>3</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日</w:t>
                  </w:r>
                </w:p>
              </w:tc>
              <w:tc>
                <w:tcPr>
                  <w:tcW w:w="1625" w:type="dxa"/>
                  <w:vMerge w:val="continue"/>
                  <w:tcBorders>
                    <w:tl2br w:val="nil"/>
                    <w:tr2bl w:val="nil"/>
                  </w:tcBorders>
                  <w:vAlign w:val="center"/>
                </w:tcPr>
                <w:p>
                  <w:pPr>
                    <w:jc w:val="center"/>
                    <w:rPr>
                      <w:lang w:eastAsia="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restart"/>
                  <w:tcBorders>
                    <w:tl2br w:val="nil"/>
                    <w:tr2bl w:val="nil"/>
                  </w:tcBorders>
                  <w:vAlign w:val="center"/>
                </w:tcPr>
                <w:p>
                  <w:pPr>
                    <w:pStyle w:val="311"/>
                    <w:ind w:left="149"/>
                    <w:jc w:val="center"/>
                    <w:rPr>
                      <w:rFonts w:hint="eastAsia" w:ascii="Times New Roman" w:hAnsi="Times New Roman" w:eastAsia="宋体" w:cs="Times New Roman"/>
                      <w:sz w:val="21"/>
                      <w:szCs w:val="21"/>
                      <w:lang w:eastAsia="zh-CN"/>
                    </w:rPr>
                  </w:pPr>
                  <w:r>
                    <w:rPr>
                      <w:rFonts w:ascii="宋体" w:hAnsi="宋体" w:eastAsia="宋体" w:cs="宋体"/>
                      <w:sz w:val="21"/>
                      <w:szCs w:val="21"/>
                    </w:rPr>
                    <w:t>三联村施工点上游</w:t>
                  </w:r>
                  <w:r>
                    <w:rPr>
                      <w:rFonts w:ascii="Times New Roman" w:hAnsi="Times New Roman" w:eastAsia="Times New Roman" w:cs="Times New Roman"/>
                      <w:sz w:val="21"/>
                      <w:szCs w:val="21"/>
                    </w:rPr>
                    <w:t>500m</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eastAsia="zh-CN"/>
                    </w:rPr>
                    <w:t>）</w:t>
                  </w:r>
                </w:p>
              </w:tc>
              <w:tc>
                <w:tcPr>
                  <w:tcW w:w="1521" w:type="dxa"/>
                  <w:tcBorders>
                    <w:tl2br w:val="nil"/>
                    <w:tr2bl w:val="nil"/>
                  </w:tcBorders>
                  <w:vAlign w:val="center"/>
                </w:tcPr>
                <w:p>
                  <w:pPr>
                    <w:pStyle w:val="311"/>
                    <w:spacing w:before="91"/>
                    <w:jc w:val="center"/>
                    <w:rPr>
                      <w:rFonts w:ascii="Times New Roman" w:hAnsi="Times New Roman" w:eastAsia="Times New Roman" w:cs="Times New Roman"/>
                      <w:sz w:val="21"/>
                      <w:szCs w:val="21"/>
                    </w:rPr>
                  </w:pPr>
                  <w:r>
                    <w:rPr>
                      <w:rFonts w:ascii="Times New Roman"/>
                      <w:sz w:val="21"/>
                    </w:rPr>
                    <w:t>pH</w:t>
                  </w:r>
                </w:p>
              </w:tc>
              <w:tc>
                <w:tcPr>
                  <w:tcW w:w="1538" w:type="dxa"/>
                  <w:tcBorders>
                    <w:tl2br w:val="nil"/>
                    <w:tr2bl w:val="nil"/>
                  </w:tcBorders>
                  <w:vAlign w:val="center"/>
                </w:tcPr>
                <w:p>
                  <w:pPr>
                    <w:pStyle w:val="311"/>
                    <w:spacing w:before="91"/>
                    <w:ind w:left="1"/>
                    <w:jc w:val="center"/>
                    <w:rPr>
                      <w:rFonts w:ascii="Times New Roman" w:hAnsi="Times New Roman" w:eastAsia="Times New Roman" w:cs="Times New Roman"/>
                      <w:sz w:val="21"/>
                      <w:szCs w:val="21"/>
                    </w:rPr>
                  </w:pPr>
                  <w:r>
                    <w:rPr>
                      <w:rFonts w:ascii="Times New Roman"/>
                      <w:sz w:val="21"/>
                    </w:rPr>
                    <w:t>8.05</w:t>
                  </w:r>
                </w:p>
              </w:tc>
              <w:tc>
                <w:tcPr>
                  <w:tcW w:w="1562" w:type="dxa"/>
                  <w:tcBorders>
                    <w:tl2br w:val="nil"/>
                    <w:tr2bl w:val="nil"/>
                  </w:tcBorders>
                  <w:vAlign w:val="center"/>
                </w:tcPr>
                <w:p>
                  <w:pPr>
                    <w:pStyle w:val="311"/>
                    <w:spacing w:before="91"/>
                    <w:jc w:val="center"/>
                    <w:rPr>
                      <w:rFonts w:ascii="Times New Roman" w:hAnsi="Times New Roman" w:eastAsia="Times New Roman" w:cs="Times New Roman"/>
                      <w:sz w:val="21"/>
                      <w:szCs w:val="21"/>
                    </w:rPr>
                  </w:pPr>
                  <w:r>
                    <w:rPr>
                      <w:rFonts w:ascii="Times New Roman"/>
                      <w:sz w:val="21"/>
                    </w:rPr>
                    <w:t>8.13</w:t>
                  </w:r>
                </w:p>
              </w:tc>
              <w:tc>
                <w:tcPr>
                  <w:tcW w:w="1550" w:type="dxa"/>
                  <w:tcBorders>
                    <w:tl2br w:val="nil"/>
                    <w:tr2bl w:val="nil"/>
                  </w:tcBorders>
                  <w:vAlign w:val="center"/>
                </w:tcPr>
                <w:p>
                  <w:pPr>
                    <w:pStyle w:val="311"/>
                    <w:spacing w:before="91"/>
                    <w:ind w:left="2"/>
                    <w:jc w:val="center"/>
                    <w:rPr>
                      <w:rFonts w:ascii="Times New Roman" w:hAnsi="Times New Roman" w:eastAsia="Times New Roman" w:cs="Times New Roman"/>
                      <w:sz w:val="21"/>
                      <w:szCs w:val="21"/>
                    </w:rPr>
                  </w:pPr>
                  <w:r>
                    <w:rPr>
                      <w:rFonts w:ascii="Times New Roman"/>
                      <w:sz w:val="21"/>
                    </w:rPr>
                    <w:t>7.98</w:t>
                  </w:r>
                </w:p>
              </w:tc>
              <w:tc>
                <w:tcPr>
                  <w:tcW w:w="1625" w:type="dxa"/>
                  <w:tcBorders>
                    <w:tl2br w:val="nil"/>
                    <w:tr2bl w:val="nil"/>
                  </w:tcBorders>
                  <w:vAlign w:val="center"/>
                </w:tcPr>
                <w:p>
                  <w:pPr>
                    <w:pStyle w:val="311"/>
                    <w:spacing w:before="41"/>
                    <w:ind w:left="232"/>
                    <w:jc w:val="center"/>
                    <w:rPr>
                      <w:rFonts w:ascii="宋体" w:hAnsi="宋体" w:eastAsia="宋体" w:cs="宋体"/>
                      <w:sz w:val="21"/>
                      <w:szCs w:val="21"/>
                    </w:rPr>
                  </w:pPr>
                  <w:r>
                    <w:rPr>
                      <w:rFonts w:ascii="宋体" w:hAnsi="宋体" w:eastAsia="宋体" w:cs="宋体"/>
                      <w:sz w:val="21"/>
                      <w:szCs w:val="21"/>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13"/>
                      <w:szCs w:val="13"/>
                      <w:lang w:eastAsia="zh-CN"/>
                    </w:rPr>
                  </w:pPr>
                  <w:r>
                    <w:rPr>
                      <w:rFonts w:ascii="宋体" w:hAnsi="宋体" w:eastAsia="宋体" w:cs="宋体"/>
                      <w:sz w:val="21"/>
                      <w:szCs w:val="21"/>
                    </w:rPr>
                    <w:t>悬浮物</w:t>
                  </w:r>
                </w:p>
              </w:tc>
              <w:tc>
                <w:tcPr>
                  <w:tcW w:w="1538"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w w:val="99"/>
                      <w:sz w:val="21"/>
                    </w:rPr>
                    <w:t>5</w:t>
                  </w:r>
                </w:p>
              </w:tc>
              <w:tc>
                <w:tcPr>
                  <w:tcW w:w="1562"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w w:val="99"/>
                      <w:sz w:val="21"/>
                    </w:rPr>
                    <w:t>4</w:t>
                  </w:r>
                </w:p>
              </w:tc>
              <w:tc>
                <w:tcPr>
                  <w:tcW w:w="1550"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w w:val="99"/>
                      <w:sz w:val="21"/>
                    </w:rPr>
                    <w:t>5</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13"/>
                      <w:szCs w:val="13"/>
                      <w:lang w:eastAsia="zh-CN"/>
                    </w:rPr>
                  </w:pPr>
                  <w:r>
                    <w:rPr>
                      <w:rFonts w:ascii="宋体" w:hAnsi="宋体" w:eastAsia="宋体" w:cs="宋体"/>
                      <w:sz w:val="21"/>
                      <w:szCs w:val="21"/>
                    </w:rPr>
                    <w:t>化学需氧量</w:t>
                  </w:r>
                </w:p>
              </w:tc>
              <w:tc>
                <w:tcPr>
                  <w:tcW w:w="1538"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w w:val="99"/>
                      <w:sz w:val="21"/>
                    </w:rPr>
                    <w:t>6</w:t>
                  </w:r>
                </w:p>
              </w:tc>
              <w:tc>
                <w:tcPr>
                  <w:tcW w:w="1562"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w w:val="99"/>
                      <w:sz w:val="21"/>
                    </w:rPr>
                    <w:t>7</w:t>
                  </w:r>
                </w:p>
              </w:tc>
              <w:tc>
                <w:tcPr>
                  <w:tcW w:w="1550"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w w:val="99"/>
                      <w:sz w:val="21"/>
                    </w:rPr>
                    <w:t>6</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五日生化需氧量</w:t>
                  </w:r>
                </w:p>
              </w:tc>
              <w:tc>
                <w:tcPr>
                  <w:tcW w:w="1538" w:type="dxa"/>
                  <w:tcBorders>
                    <w:tl2br w:val="nil"/>
                    <w:tr2bl w:val="nil"/>
                  </w:tcBorders>
                  <w:vAlign w:val="center"/>
                </w:tcPr>
                <w:p>
                  <w:pPr>
                    <w:pStyle w:val="311"/>
                    <w:spacing w:before="98"/>
                    <w:ind w:left="1"/>
                    <w:jc w:val="center"/>
                    <w:rPr>
                      <w:rFonts w:ascii="Times New Roman" w:hAnsi="Times New Roman" w:eastAsia="Times New Roman" w:cs="Times New Roman"/>
                      <w:sz w:val="21"/>
                      <w:szCs w:val="21"/>
                    </w:rPr>
                  </w:pPr>
                  <w:r>
                    <w:rPr>
                      <w:rFonts w:ascii="Times New Roman"/>
                      <w:sz w:val="21"/>
                    </w:rPr>
                    <w:t>1.2</w:t>
                  </w:r>
                </w:p>
              </w:tc>
              <w:tc>
                <w:tcPr>
                  <w:tcW w:w="1562"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1.3</w:t>
                  </w:r>
                </w:p>
              </w:tc>
              <w:tc>
                <w:tcPr>
                  <w:tcW w:w="1550"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1.5</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氨氮</w:t>
                  </w:r>
                </w:p>
              </w:tc>
              <w:tc>
                <w:tcPr>
                  <w:tcW w:w="1538"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0.038</w:t>
                  </w:r>
                </w:p>
              </w:tc>
              <w:tc>
                <w:tcPr>
                  <w:tcW w:w="1562"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0.029</w:t>
                  </w:r>
                </w:p>
              </w:tc>
              <w:tc>
                <w:tcPr>
                  <w:tcW w:w="1550"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0.038</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总磷</w:t>
                  </w:r>
                </w:p>
              </w:tc>
              <w:tc>
                <w:tcPr>
                  <w:tcW w:w="1538" w:type="dxa"/>
                  <w:tcBorders>
                    <w:tl2br w:val="nil"/>
                    <w:tr2bl w:val="nil"/>
                  </w:tcBorders>
                  <w:vAlign w:val="center"/>
                </w:tcPr>
                <w:p>
                  <w:pPr>
                    <w:pStyle w:val="311"/>
                    <w:spacing w:before="97"/>
                    <w:ind w:left="1"/>
                    <w:jc w:val="center"/>
                    <w:rPr>
                      <w:rFonts w:ascii="Times New Roman" w:hAnsi="Times New Roman" w:eastAsia="Times New Roman" w:cs="Times New Roman"/>
                      <w:sz w:val="21"/>
                      <w:szCs w:val="21"/>
                    </w:rPr>
                  </w:pPr>
                  <w:r>
                    <w:rPr>
                      <w:rFonts w:ascii="Times New Roman"/>
                      <w:sz w:val="21"/>
                    </w:rPr>
                    <w:t>0.04</w:t>
                  </w:r>
                </w:p>
              </w:tc>
              <w:tc>
                <w:tcPr>
                  <w:tcW w:w="1562"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0.04</w:t>
                  </w:r>
                </w:p>
              </w:tc>
              <w:tc>
                <w:tcPr>
                  <w:tcW w:w="1550" w:type="dxa"/>
                  <w:tcBorders>
                    <w:tl2br w:val="nil"/>
                    <w:tr2bl w:val="nil"/>
                  </w:tcBorders>
                  <w:vAlign w:val="center"/>
                </w:tcPr>
                <w:p>
                  <w:pPr>
                    <w:pStyle w:val="311"/>
                    <w:spacing w:before="97"/>
                    <w:ind w:left="2"/>
                    <w:jc w:val="center"/>
                    <w:rPr>
                      <w:rFonts w:ascii="Times New Roman" w:hAnsi="Times New Roman" w:eastAsia="Times New Roman" w:cs="Times New Roman"/>
                      <w:sz w:val="21"/>
                      <w:szCs w:val="21"/>
                    </w:rPr>
                  </w:pPr>
                  <w:r>
                    <w:rPr>
                      <w:rFonts w:ascii="Times New Roman"/>
                      <w:sz w:val="21"/>
                    </w:rPr>
                    <w:t>0.03</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石油类</w:t>
                  </w:r>
                </w:p>
              </w:tc>
              <w:tc>
                <w:tcPr>
                  <w:tcW w:w="1538"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ND</w:t>
                  </w:r>
                </w:p>
              </w:tc>
              <w:tc>
                <w:tcPr>
                  <w:tcW w:w="1562"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ND</w:t>
                  </w:r>
                </w:p>
              </w:tc>
              <w:tc>
                <w:tcPr>
                  <w:tcW w:w="1550" w:type="dxa"/>
                  <w:tcBorders>
                    <w:tl2br w:val="nil"/>
                    <w:tr2bl w:val="nil"/>
                  </w:tcBorders>
                  <w:vAlign w:val="center"/>
                </w:tcPr>
                <w:p>
                  <w:pPr>
                    <w:pStyle w:val="311"/>
                    <w:spacing w:before="98"/>
                    <w:ind w:right="1"/>
                    <w:jc w:val="center"/>
                    <w:rPr>
                      <w:rFonts w:ascii="Times New Roman" w:hAnsi="Times New Roman" w:eastAsia="Times New Roman" w:cs="Times New Roman"/>
                      <w:sz w:val="21"/>
                      <w:szCs w:val="21"/>
                    </w:rPr>
                  </w:pPr>
                  <w:r>
                    <w:rPr>
                      <w:rFonts w:ascii="Times New Roman"/>
                      <w:sz w:val="21"/>
                    </w:rPr>
                    <w:t>ND</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restart"/>
                  <w:tcBorders>
                    <w:tl2br w:val="nil"/>
                    <w:tr2bl w:val="nil"/>
                  </w:tcBorders>
                  <w:vAlign w:val="center"/>
                </w:tcPr>
                <w:p>
                  <w:pPr>
                    <w:pStyle w:val="311"/>
                    <w:jc w:val="center"/>
                    <w:rPr>
                      <w:rFonts w:ascii="宋体" w:hAnsi="宋体" w:eastAsia="宋体" w:cs="宋体"/>
                      <w:sz w:val="21"/>
                      <w:szCs w:val="21"/>
                    </w:rPr>
                  </w:pPr>
                  <w:r>
                    <w:rPr>
                      <w:rFonts w:ascii="宋体" w:hAnsi="宋体" w:eastAsia="宋体" w:cs="宋体"/>
                      <w:sz w:val="21"/>
                      <w:szCs w:val="21"/>
                    </w:rPr>
                    <w:t>三联村施工点下游</w:t>
                  </w:r>
                </w:p>
                <w:p>
                  <w:pPr>
                    <w:pStyle w:val="311"/>
                    <w:spacing w:before="86"/>
                    <w:ind w:left="3"/>
                    <w:jc w:val="center"/>
                    <w:rPr>
                      <w:rFonts w:hint="eastAsia" w:ascii="Times New Roman" w:hAnsi="Times New Roman" w:cs="Times New Roman" w:eastAsiaTheme="minorEastAsia"/>
                      <w:sz w:val="21"/>
                      <w:szCs w:val="21"/>
                      <w:lang w:eastAsia="zh-CN"/>
                    </w:rPr>
                  </w:pPr>
                  <w:r>
                    <w:rPr>
                      <w:rFonts w:ascii="Times New Roman"/>
                      <w:sz w:val="21"/>
                    </w:rPr>
                    <w:t>1500m</w:t>
                  </w:r>
                  <w:r>
                    <w:rPr>
                      <w:rFonts w:hint="eastAsia" w:ascii="Times New Roman"/>
                      <w:sz w:val="21"/>
                      <w:lang w:eastAsia="zh-CN"/>
                    </w:rPr>
                    <w:t>（</w:t>
                  </w:r>
                  <w:r>
                    <w:rPr>
                      <w:rFonts w:hint="eastAsia" w:ascii="Times New Roman"/>
                      <w:sz w:val="21"/>
                      <w:lang w:val="en-US" w:eastAsia="zh-CN"/>
                    </w:rPr>
                    <w:t>2#</w:t>
                  </w:r>
                  <w:r>
                    <w:rPr>
                      <w:rFonts w:hint="eastAsia" w:ascii="Times New Roman"/>
                      <w:sz w:val="21"/>
                      <w:lang w:eastAsia="zh-CN"/>
                    </w:rPr>
                    <w:t>）</w:t>
                  </w:r>
                </w:p>
              </w:tc>
              <w:tc>
                <w:tcPr>
                  <w:tcW w:w="1521" w:type="dxa"/>
                  <w:tcBorders>
                    <w:tl2br w:val="nil"/>
                    <w:tr2bl w:val="nil"/>
                  </w:tcBorders>
                  <w:vAlign w:val="center"/>
                </w:tcPr>
                <w:p>
                  <w:pPr>
                    <w:pStyle w:val="311"/>
                    <w:spacing w:before="93"/>
                    <w:jc w:val="center"/>
                    <w:rPr>
                      <w:rFonts w:ascii="Times New Roman" w:hAnsi="Times New Roman" w:eastAsia="Times New Roman" w:cs="Times New Roman"/>
                      <w:sz w:val="21"/>
                      <w:szCs w:val="21"/>
                    </w:rPr>
                  </w:pPr>
                  <w:r>
                    <w:rPr>
                      <w:rFonts w:ascii="Times New Roman"/>
                      <w:sz w:val="21"/>
                    </w:rPr>
                    <w:t>pH</w:t>
                  </w:r>
                </w:p>
              </w:tc>
              <w:tc>
                <w:tcPr>
                  <w:tcW w:w="1538" w:type="dxa"/>
                  <w:tcBorders>
                    <w:tl2br w:val="nil"/>
                    <w:tr2bl w:val="nil"/>
                  </w:tcBorders>
                  <w:vAlign w:val="center"/>
                </w:tcPr>
                <w:p>
                  <w:pPr>
                    <w:pStyle w:val="311"/>
                    <w:spacing w:before="93"/>
                    <w:ind w:left="4"/>
                    <w:jc w:val="center"/>
                    <w:rPr>
                      <w:rFonts w:ascii="Times New Roman" w:hAnsi="Times New Roman" w:eastAsia="Times New Roman" w:cs="Times New Roman"/>
                      <w:sz w:val="21"/>
                      <w:szCs w:val="21"/>
                    </w:rPr>
                  </w:pPr>
                  <w:r>
                    <w:rPr>
                      <w:rFonts w:ascii="Times New Roman"/>
                      <w:sz w:val="21"/>
                    </w:rPr>
                    <w:t>8.11</w:t>
                  </w:r>
                </w:p>
              </w:tc>
              <w:tc>
                <w:tcPr>
                  <w:tcW w:w="1562" w:type="dxa"/>
                  <w:tcBorders>
                    <w:tl2br w:val="nil"/>
                    <w:tr2bl w:val="nil"/>
                  </w:tcBorders>
                  <w:vAlign w:val="center"/>
                </w:tcPr>
                <w:p>
                  <w:pPr>
                    <w:pStyle w:val="311"/>
                    <w:spacing w:before="93"/>
                    <w:jc w:val="center"/>
                    <w:rPr>
                      <w:rFonts w:ascii="Times New Roman" w:hAnsi="Times New Roman" w:eastAsia="Times New Roman" w:cs="Times New Roman"/>
                      <w:sz w:val="21"/>
                      <w:szCs w:val="21"/>
                    </w:rPr>
                  </w:pPr>
                  <w:r>
                    <w:rPr>
                      <w:rFonts w:ascii="Times New Roman"/>
                      <w:sz w:val="21"/>
                    </w:rPr>
                    <w:t>8.09</w:t>
                  </w:r>
                </w:p>
              </w:tc>
              <w:tc>
                <w:tcPr>
                  <w:tcW w:w="1550" w:type="dxa"/>
                  <w:tcBorders>
                    <w:tl2br w:val="nil"/>
                    <w:tr2bl w:val="nil"/>
                  </w:tcBorders>
                  <w:vAlign w:val="center"/>
                </w:tcPr>
                <w:p>
                  <w:pPr>
                    <w:pStyle w:val="311"/>
                    <w:spacing w:before="93"/>
                    <w:ind w:left="2"/>
                    <w:jc w:val="center"/>
                    <w:rPr>
                      <w:rFonts w:ascii="Times New Roman" w:hAnsi="Times New Roman" w:eastAsia="Times New Roman" w:cs="Times New Roman"/>
                      <w:sz w:val="21"/>
                      <w:szCs w:val="21"/>
                    </w:rPr>
                  </w:pPr>
                  <w:r>
                    <w:rPr>
                      <w:rFonts w:ascii="Times New Roman"/>
                      <w:sz w:val="21"/>
                    </w:rPr>
                    <w:t>8.21</w:t>
                  </w:r>
                </w:p>
              </w:tc>
              <w:tc>
                <w:tcPr>
                  <w:tcW w:w="1625" w:type="dxa"/>
                  <w:tcBorders>
                    <w:tl2br w:val="nil"/>
                    <w:tr2bl w:val="nil"/>
                  </w:tcBorders>
                  <w:vAlign w:val="center"/>
                </w:tcPr>
                <w:p>
                  <w:pPr>
                    <w:pStyle w:val="311"/>
                    <w:spacing w:before="41"/>
                    <w:ind w:left="232"/>
                    <w:jc w:val="center"/>
                    <w:rPr>
                      <w:rFonts w:ascii="宋体" w:hAnsi="宋体" w:eastAsia="宋体" w:cs="宋体"/>
                      <w:sz w:val="21"/>
                      <w:szCs w:val="21"/>
                    </w:rPr>
                  </w:pPr>
                  <w:r>
                    <w:rPr>
                      <w:rFonts w:ascii="宋体" w:hAnsi="宋体" w:eastAsia="宋体" w:cs="宋体"/>
                      <w:sz w:val="21"/>
                      <w:szCs w:val="21"/>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13"/>
                      <w:szCs w:val="13"/>
                      <w:lang w:eastAsia="zh-CN"/>
                    </w:rPr>
                  </w:pPr>
                  <w:r>
                    <w:rPr>
                      <w:rFonts w:ascii="宋体" w:hAnsi="宋体" w:eastAsia="宋体" w:cs="宋体"/>
                      <w:sz w:val="21"/>
                      <w:szCs w:val="21"/>
                    </w:rPr>
                    <w:t>悬浮物</w:t>
                  </w:r>
                </w:p>
              </w:tc>
              <w:tc>
                <w:tcPr>
                  <w:tcW w:w="1538"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w w:val="99"/>
                      <w:sz w:val="21"/>
                    </w:rPr>
                    <w:t>7</w:t>
                  </w:r>
                </w:p>
              </w:tc>
              <w:tc>
                <w:tcPr>
                  <w:tcW w:w="1562"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w w:val="99"/>
                      <w:sz w:val="21"/>
                    </w:rPr>
                    <w:t>8</w:t>
                  </w:r>
                </w:p>
              </w:tc>
              <w:tc>
                <w:tcPr>
                  <w:tcW w:w="1550"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w w:val="99"/>
                      <w:sz w:val="21"/>
                    </w:rPr>
                    <w:t>6</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13"/>
                      <w:szCs w:val="13"/>
                      <w:lang w:eastAsia="zh-CN"/>
                    </w:rPr>
                  </w:pPr>
                  <w:r>
                    <w:rPr>
                      <w:rFonts w:ascii="宋体" w:hAnsi="宋体" w:eastAsia="宋体" w:cs="宋体"/>
                      <w:sz w:val="21"/>
                      <w:szCs w:val="21"/>
                    </w:rPr>
                    <w:t>化学需氧量</w:t>
                  </w:r>
                </w:p>
              </w:tc>
              <w:tc>
                <w:tcPr>
                  <w:tcW w:w="1538"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w w:val="99"/>
                      <w:sz w:val="21"/>
                    </w:rPr>
                    <w:t>8</w:t>
                  </w:r>
                </w:p>
              </w:tc>
              <w:tc>
                <w:tcPr>
                  <w:tcW w:w="1562"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w w:val="99"/>
                      <w:sz w:val="21"/>
                    </w:rPr>
                    <w:t>8</w:t>
                  </w:r>
                </w:p>
              </w:tc>
              <w:tc>
                <w:tcPr>
                  <w:tcW w:w="1550" w:type="dxa"/>
                  <w:tcBorders>
                    <w:tl2br w:val="nil"/>
                    <w:tr2bl w:val="nil"/>
                  </w:tcBorders>
                  <w:vAlign w:val="center"/>
                </w:tcPr>
                <w:p>
                  <w:pPr>
                    <w:pStyle w:val="311"/>
                    <w:spacing w:before="98"/>
                    <w:ind w:left="2"/>
                    <w:jc w:val="center"/>
                    <w:rPr>
                      <w:rFonts w:ascii="Times New Roman" w:hAnsi="Times New Roman" w:eastAsia="Times New Roman" w:cs="Times New Roman"/>
                      <w:sz w:val="21"/>
                      <w:szCs w:val="21"/>
                    </w:rPr>
                  </w:pPr>
                  <w:r>
                    <w:rPr>
                      <w:rFonts w:ascii="Times New Roman"/>
                      <w:w w:val="99"/>
                      <w:sz w:val="21"/>
                    </w:rPr>
                    <w:t>9</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五日生化需氧量</w:t>
                  </w:r>
                </w:p>
              </w:tc>
              <w:tc>
                <w:tcPr>
                  <w:tcW w:w="1538" w:type="dxa"/>
                  <w:tcBorders>
                    <w:tl2br w:val="nil"/>
                    <w:tr2bl w:val="nil"/>
                  </w:tcBorders>
                  <w:vAlign w:val="center"/>
                </w:tcPr>
                <w:p>
                  <w:pPr>
                    <w:pStyle w:val="311"/>
                    <w:spacing w:before="99"/>
                    <w:ind w:left="1"/>
                    <w:jc w:val="center"/>
                    <w:rPr>
                      <w:rFonts w:ascii="Times New Roman" w:hAnsi="Times New Roman" w:eastAsia="Times New Roman" w:cs="Times New Roman"/>
                      <w:sz w:val="21"/>
                      <w:szCs w:val="21"/>
                    </w:rPr>
                  </w:pPr>
                  <w:r>
                    <w:rPr>
                      <w:rFonts w:ascii="Times New Roman"/>
                      <w:sz w:val="21"/>
                    </w:rPr>
                    <w:t>1.7</w:t>
                  </w:r>
                </w:p>
              </w:tc>
              <w:tc>
                <w:tcPr>
                  <w:tcW w:w="1562"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1.6</w:t>
                  </w:r>
                </w:p>
              </w:tc>
              <w:tc>
                <w:tcPr>
                  <w:tcW w:w="1550"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1.9</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氨氮</w:t>
                  </w:r>
                </w:p>
              </w:tc>
              <w:tc>
                <w:tcPr>
                  <w:tcW w:w="1538"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0.071</w:t>
                  </w:r>
                </w:p>
              </w:tc>
              <w:tc>
                <w:tcPr>
                  <w:tcW w:w="1562"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0.077</w:t>
                  </w:r>
                </w:p>
              </w:tc>
              <w:tc>
                <w:tcPr>
                  <w:tcW w:w="1550"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0.077</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总磷</w:t>
                  </w:r>
                </w:p>
              </w:tc>
              <w:tc>
                <w:tcPr>
                  <w:tcW w:w="1538" w:type="dxa"/>
                  <w:tcBorders>
                    <w:tl2br w:val="nil"/>
                    <w:tr2bl w:val="nil"/>
                  </w:tcBorders>
                  <w:vAlign w:val="center"/>
                </w:tcPr>
                <w:p>
                  <w:pPr>
                    <w:pStyle w:val="311"/>
                    <w:spacing w:before="98"/>
                    <w:ind w:left="1"/>
                    <w:jc w:val="center"/>
                    <w:rPr>
                      <w:rFonts w:ascii="Times New Roman" w:hAnsi="Times New Roman" w:eastAsia="Times New Roman" w:cs="Times New Roman"/>
                      <w:sz w:val="21"/>
                      <w:szCs w:val="21"/>
                    </w:rPr>
                  </w:pPr>
                  <w:r>
                    <w:rPr>
                      <w:rFonts w:ascii="Times New Roman"/>
                      <w:sz w:val="21"/>
                    </w:rPr>
                    <w:t>0.08</w:t>
                  </w:r>
                </w:p>
              </w:tc>
              <w:tc>
                <w:tcPr>
                  <w:tcW w:w="1562"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0.07</w:t>
                  </w:r>
                </w:p>
              </w:tc>
              <w:tc>
                <w:tcPr>
                  <w:tcW w:w="1550" w:type="dxa"/>
                  <w:tcBorders>
                    <w:tl2br w:val="nil"/>
                    <w:tr2bl w:val="nil"/>
                  </w:tcBorders>
                  <w:vAlign w:val="center"/>
                </w:tcPr>
                <w:p>
                  <w:pPr>
                    <w:pStyle w:val="311"/>
                    <w:spacing w:before="98"/>
                    <w:ind w:left="2"/>
                    <w:jc w:val="center"/>
                    <w:rPr>
                      <w:rFonts w:ascii="Times New Roman" w:hAnsi="Times New Roman" w:eastAsia="Times New Roman" w:cs="Times New Roman"/>
                      <w:sz w:val="21"/>
                      <w:szCs w:val="21"/>
                    </w:rPr>
                  </w:pPr>
                  <w:r>
                    <w:rPr>
                      <w:rFonts w:ascii="Times New Roman"/>
                      <w:sz w:val="21"/>
                    </w:rPr>
                    <w:t>0.08</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石油类</w:t>
                  </w:r>
                </w:p>
              </w:tc>
              <w:tc>
                <w:tcPr>
                  <w:tcW w:w="1538"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ND</w:t>
                  </w:r>
                </w:p>
              </w:tc>
              <w:tc>
                <w:tcPr>
                  <w:tcW w:w="1562"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ND</w:t>
                  </w:r>
                </w:p>
              </w:tc>
              <w:tc>
                <w:tcPr>
                  <w:tcW w:w="1550" w:type="dxa"/>
                  <w:tcBorders>
                    <w:tl2br w:val="nil"/>
                    <w:tr2bl w:val="nil"/>
                  </w:tcBorders>
                  <w:vAlign w:val="center"/>
                </w:tcPr>
                <w:p>
                  <w:pPr>
                    <w:pStyle w:val="311"/>
                    <w:spacing w:before="99"/>
                    <w:ind w:right="1"/>
                    <w:jc w:val="center"/>
                    <w:rPr>
                      <w:rFonts w:ascii="Times New Roman" w:hAnsi="Times New Roman" w:eastAsia="Times New Roman" w:cs="Times New Roman"/>
                      <w:sz w:val="21"/>
                      <w:szCs w:val="21"/>
                    </w:rPr>
                  </w:pPr>
                  <w:r>
                    <w:rPr>
                      <w:rFonts w:ascii="Times New Roman"/>
                      <w:sz w:val="21"/>
                    </w:rPr>
                    <w:t>ND</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restart"/>
                  <w:tcBorders>
                    <w:tl2br w:val="nil"/>
                    <w:tr2bl w:val="nil"/>
                  </w:tcBorders>
                  <w:vAlign w:val="center"/>
                </w:tcPr>
                <w:p>
                  <w:pPr>
                    <w:pStyle w:val="311"/>
                    <w:jc w:val="center"/>
                    <w:rPr>
                      <w:rFonts w:ascii="宋体" w:hAnsi="宋体" w:eastAsia="宋体" w:cs="宋体"/>
                      <w:sz w:val="21"/>
                      <w:szCs w:val="21"/>
                    </w:rPr>
                  </w:pPr>
                  <w:r>
                    <w:rPr>
                      <w:rFonts w:ascii="宋体" w:hAnsi="宋体" w:eastAsia="宋体" w:cs="宋体"/>
                      <w:sz w:val="21"/>
                      <w:szCs w:val="21"/>
                    </w:rPr>
                    <w:t>肖包寺施工点下游</w:t>
                  </w:r>
                </w:p>
                <w:p>
                  <w:pPr>
                    <w:pStyle w:val="311"/>
                    <w:spacing w:before="86"/>
                    <w:ind w:left="3"/>
                    <w:jc w:val="center"/>
                    <w:rPr>
                      <w:rFonts w:hint="eastAsia" w:ascii="Times New Roman" w:hAnsi="Times New Roman" w:cs="Times New Roman" w:eastAsiaTheme="minorEastAsia"/>
                      <w:sz w:val="21"/>
                      <w:szCs w:val="21"/>
                      <w:lang w:eastAsia="zh-CN"/>
                    </w:rPr>
                  </w:pPr>
                  <w:r>
                    <w:rPr>
                      <w:rFonts w:ascii="Times New Roman"/>
                      <w:sz w:val="21"/>
                    </w:rPr>
                    <w:t>1500m</w:t>
                  </w:r>
                  <w:r>
                    <w:rPr>
                      <w:rFonts w:hint="eastAsia" w:ascii="Times New Roman"/>
                      <w:sz w:val="21"/>
                      <w:lang w:eastAsia="zh-CN"/>
                    </w:rPr>
                    <w:t>（</w:t>
                  </w:r>
                  <w:r>
                    <w:rPr>
                      <w:rFonts w:hint="eastAsia" w:ascii="Times New Roman"/>
                      <w:sz w:val="21"/>
                      <w:lang w:val="en-US" w:eastAsia="zh-CN"/>
                    </w:rPr>
                    <w:t>3#</w:t>
                  </w:r>
                  <w:r>
                    <w:rPr>
                      <w:rFonts w:hint="eastAsia" w:ascii="Times New Roman"/>
                      <w:sz w:val="21"/>
                      <w:lang w:eastAsia="zh-CN"/>
                    </w:rPr>
                    <w:t>）</w:t>
                  </w:r>
                </w:p>
              </w:tc>
              <w:tc>
                <w:tcPr>
                  <w:tcW w:w="1521" w:type="dxa"/>
                  <w:tcBorders>
                    <w:tl2br w:val="nil"/>
                    <w:tr2bl w:val="nil"/>
                  </w:tcBorders>
                  <w:vAlign w:val="center"/>
                </w:tcPr>
                <w:p>
                  <w:pPr>
                    <w:pStyle w:val="311"/>
                    <w:spacing w:before="92"/>
                    <w:jc w:val="center"/>
                    <w:rPr>
                      <w:rFonts w:ascii="Times New Roman" w:hAnsi="Times New Roman" w:eastAsia="Times New Roman" w:cs="Times New Roman"/>
                      <w:sz w:val="21"/>
                      <w:szCs w:val="21"/>
                    </w:rPr>
                  </w:pPr>
                  <w:r>
                    <w:rPr>
                      <w:rFonts w:ascii="Times New Roman"/>
                      <w:sz w:val="21"/>
                    </w:rPr>
                    <w:t>pH</w:t>
                  </w:r>
                </w:p>
              </w:tc>
              <w:tc>
                <w:tcPr>
                  <w:tcW w:w="1538" w:type="dxa"/>
                  <w:tcBorders>
                    <w:tl2br w:val="nil"/>
                    <w:tr2bl w:val="nil"/>
                  </w:tcBorders>
                  <w:vAlign w:val="center"/>
                </w:tcPr>
                <w:p>
                  <w:pPr>
                    <w:pStyle w:val="311"/>
                    <w:spacing w:before="92"/>
                    <w:ind w:left="1"/>
                    <w:jc w:val="center"/>
                    <w:rPr>
                      <w:rFonts w:ascii="Times New Roman" w:hAnsi="Times New Roman" w:eastAsia="Times New Roman" w:cs="Times New Roman"/>
                      <w:sz w:val="21"/>
                      <w:szCs w:val="21"/>
                    </w:rPr>
                  </w:pPr>
                  <w:r>
                    <w:rPr>
                      <w:rFonts w:ascii="Times New Roman"/>
                      <w:sz w:val="21"/>
                    </w:rPr>
                    <w:t>8.05</w:t>
                  </w:r>
                </w:p>
              </w:tc>
              <w:tc>
                <w:tcPr>
                  <w:tcW w:w="1562" w:type="dxa"/>
                  <w:tcBorders>
                    <w:tl2br w:val="nil"/>
                    <w:tr2bl w:val="nil"/>
                  </w:tcBorders>
                  <w:vAlign w:val="center"/>
                </w:tcPr>
                <w:p>
                  <w:pPr>
                    <w:pStyle w:val="311"/>
                    <w:spacing w:before="92"/>
                    <w:jc w:val="center"/>
                    <w:rPr>
                      <w:rFonts w:ascii="Times New Roman" w:hAnsi="Times New Roman" w:eastAsia="Times New Roman" w:cs="Times New Roman"/>
                      <w:sz w:val="21"/>
                      <w:szCs w:val="21"/>
                    </w:rPr>
                  </w:pPr>
                  <w:r>
                    <w:rPr>
                      <w:rFonts w:ascii="Times New Roman"/>
                      <w:sz w:val="21"/>
                    </w:rPr>
                    <w:t>8.10</w:t>
                  </w:r>
                </w:p>
              </w:tc>
              <w:tc>
                <w:tcPr>
                  <w:tcW w:w="1550" w:type="dxa"/>
                  <w:tcBorders>
                    <w:tl2br w:val="nil"/>
                    <w:tr2bl w:val="nil"/>
                  </w:tcBorders>
                  <w:vAlign w:val="center"/>
                </w:tcPr>
                <w:p>
                  <w:pPr>
                    <w:pStyle w:val="311"/>
                    <w:spacing w:before="92"/>
                    <w:ind w:left="2"/>
                    <w:jc w:val="center"/>
                    <w:rPr>
                      <w:rFonts w:ascii="Times New Roman" w:hAnsi="Times New Roman" w:eastAsia="Times New Roman" w:cs="Times New Roman"/>
                      <w:sz w:val="21"/>
                      <w:szCs w:val="21"/>
                    </w:rPr>
                  </w:pPr>
                  <w:r>
                    <w:rPr>
                      <w:rFonts w:ascii="Times New Roman"/>
                      <w:sz w:val="21"/>
                    </w:rPr>
                    <w:t>7.86</w:t>
                  </w:r>
                </w:p>
              </w:tc>
              <w:tc>
                <w:tcPr>
                  <w:tcW w:w="1625" w:type="dxa"/>
                  <w:tcBorders>
                    <w:tl2br w:val="nil"/>
                    <w:tr2bl w:val="nil"/>
                  </w:tcBorders>
                  <w:vAlign w:val="center"/>
                </w:tcPr>
                <w:p>
                  <w:pPr>
                    <w:pStyle w:val="311"/>
                    <w:spacing w:before="41"/>
                    <w:ind w:left="232"/>
                    <w:jc w:val="center"/>
                    <w:rPr>
                      <w:rFonts w:ascii="宋体" w:hAnsi="宋体" w:eastAsia="宋体" w:cs="宋体"/>
                      <w:sz w:val="21"/>
                      <w:szCs w:val="21"/>
                    </w:rPr>
                  </w:pPr>
                  <w:r>
                    <w:rPr>
                      <w:rFonts w:ascii="宋体" w:hAnsi="宋体" w:eastAsia="宋体" w:cs="宋体"/>
                      <w:sz w:val="21"/>
                      <w:szCs w:val="21"/>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13"/>
                      <w:szCs w:val="13"/>
                      <w:lang w:eastAsia="zh-CN"/>
                    </w:rPr>
                  </w:pPr>
                  <w:r>
                    <w:rPr>
                      <w:rFonts w:ascii="宋体" w:hAnsi="宋体" w:eastAsia="宋体" w:cs="宋体"/>
                      <w:sz w:val="21"/>
                      <w:szCs w:val="21"/>
                    </w:rPr>
                    <w:t>悬浮物</w:t>
                  </w:r>
                </w:p>
              </w:tc>
              <w:tc>
                <w:tcPr>
                  <w:tcW w:w="1538"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13</w:t>
                  </w:r>
                </w:p>
              </w:tc>
              <w:tc>
                <w:tcPr>
                  <w:tcW w:w="1562"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11</w:t>
                  </w:r>
                </w:p>
              </w:tc>
              <w:tc>
                <w:tcPr>
                  <w:tcW w:w="1550"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12</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13"/>
                      <w:szCs w:val="13"/>
                      <w:lang w:eastAsia="zh-CN"/>
                    </w:rPr>
                  </w:pPr>
                  <w:r>
                    <w:rPr>
                      <w:rFonts w:ascii="宋体" w:hAnsi="宋体" w:eastAsia="宋体" w:cs="宋体"/>
                      <w:sz w:val="21"/>
                      <w:szCs w:val="21"/>
                    </w:rPr>
                    <w:t>化学需氧量</w:t>
                  </w:r>
                </w:p>
              </w:tc>
              <w:tc>
                <w:tcPr>
                  <w:tcW w:w="1538" w:type="dxa"/>
                  <w:tcBorders>
                    <w:tl2br w:val="nil"/>
                    <w:tr2bl w:val="nil"/>
                  </w:tcBorders>
                  <w:vAlign w:val="center"/>
                </w:tcPr>
                <w:p>
                  <w:pPr>
                    <w:pStyle w:val="311"/>
                    <w:spacing w:before="99"/>
                    <w:ind w:left="1"/>
                    <w:jc w:val="center"/>
                    <w:rPr>
                      <w:rFonts w:ascii="Times New Roman" w:hAnsi="Times New Roman" w:eastAsia="Times New Roman" w:cs="Times New Roman"/>
                      <w:sz w:val="21"/>
                      <w:szCs w:val="21"/>
                    </w:rPr>
                  </w:pPr>
                  <w:r>
                    <w:rPr>
                      <w:rFonts w:ascii="Times New Roman"/>
                      <w:w w:val="99"/>
                      <w:sz w:val="21"/>
                    </w:rPr>
                    <w:t>9</w:t>
                  </w:r>
                </w:p>
              </w:tc>
              <w:tc>
                <w:tcPr>
                  <w:tcW w:w="1562"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10</w:t>
                  </w:r>
                </w:p>
              </w:tc>
              <w:tc>
                <w:tcPr>
                  <w:tcW w:w="1550"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12</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五日生化需氧量</w:t>
                  </w:r>
                </w:p>
              </w:tc>
              <w:tc>
                <w:tcPr>
                  <w:tcW w:w="1538" w:type="dxa"/>
                  <w:tcBorders>
                    <w:tl2br w:val="nil"/>
                    <w:tr2bl w:val="nil"/>
                  </w:tcBorders>
                  <w:vAlign w:val="center"/>
                </w:tcPr>
                <w:p>
                  <w:pPr>
                    <w:pStyle w:val="311"/>
                    <w:spacing w:before="97"/>
                    <w:ind w:left="1"/>
                    <w:jc w:val="center"/>
                    <w:rPr>
                      <w:rFonts w:ascii="Times New Roman" w:hAnsi="Times New Roman" w:eastAsia="Times New Roman" w:cs="Times New Roman"/>
                      <w:sz w:val="21"/>
                      <w:szCs w:val="21"/>
                    </w:rPr>
                  </w:pPr>
                  <w:r>
                    <w:rPr>
                      <w:rFonts w:ascii="Times New Roman"/>
                      <w:sz w:val="21"/>
                    </w:rPr>
                    <w:t>2.0</w:t>
                  </w:r>
                </w:p>
              </w:tc>
              <w:tc>
                <w:tcPr>
                  <w:tcW w:w="1562"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2.2</w:t>
                  </w:r>
                </w:p>
              </w:tc>
              <w:tc>
                <w:tcPr>
                  <w:tcW w:w="1550"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2.4</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氨氮</w:t>
                  </w:r>
                </w:p>
              </w:tc>
              <w:tc>
                <w:tcPr>
                  <w:tcW w:w="1538"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0.063</w:t>
                  </w:r>
                </w:p>
              </w:tc>
              <w:tc>
                <w:tcPr>
                  <w:tcW w:w="1562"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0.069</w:t>
                  </w:r>
                </w:p>
              </w:tc>
              <w:tc>
                <w:tcPr>
                  <w:tcW w:w="1550" w:type="dxa"/>
                  <w:tcBorders>
                    <w:tl2br w:val="nil"/>
                    <w:tr2bl w:val="nil"/>
                  </w:tcBorders>
                  <w:vAlign w:val="center"/>
                </w:tcPr>
                <w:p>
                  <w:pPr>
                    <w:pStyle w:val="311"/>
                    <w:spacing w:before="98"/>
                    <w:jc w:val="center"/>
                    <w:rPr>
                      <w:rFonts w:ascii="Times New Roman" w:hAnsi="Times New Roman" w:eastAsia="Times New Roman" w:cs="Times New Roman"/>
                      <w:sz w:val="21"/>
                      <w:szCs w:val="21"/>
                    </w:rPr>
                  </w:pPr>
                  <w:r>
                    <w:rPr>
                      <w:rFonts w:ascii="Times New Roman"/>
                      <w:sz w:val="21"/>
                    </w:rPr>
                    <w:t>0.066</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rPr>
                    <w:t>总磷</w:t>
                  </w:r>
                </w:p>
              </w:tc>
              <w:tc>
                <w:tcPr>
                  <w:tcW w:w="1538"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0.06</w:t>
                  </w:r>
                </w:p>
              </w:tc>
              <w:tc>
                <w:tcPr>
                  <w:tcW w:w="1562" w:type="dxa"/>
                  <w:tcBorders>
                    <w:tl2br w:val="nil"/>
                    <w:tr2bl w:val="nil"/>
                  </w:tcBorders>
                  <w:vAlign w:val="center"/>
                </w:tcPr>
                <w:p>
                  <w:pPr>
                    <w:pStyle w:val="311"/>
                    <w:spacing w:before="99"/>
                    <w:jc w:val="center"/>
                    <w:rPr>
                      <w:rFonts w:ascii="Times New Roman" w:hAnsi="Times New Roman" w:eastAsia="Times New Roman" w:cs="Times New Roman"/>
                      <w:sz w:val="21"/>
                      <w:szCs w:val="21"/>
                    </w:rPr>
                  </w:pPr>
                  <w:r>
                    <w:rPr>
                      <w:rFonts w:ascii="Times New Roman"/>
                      <w:sz w:val="21"/>
                    </w:rPr>
                    <w:t>0.05</w:t>
                  </w:r>
                </w:p>
              </w:tc>
              <w:tc>
                <w:tcPr>
                  <w:tcW w:w="1550" w:type="dxa"/>
                  <w:tcBorders>
                    <w:tl2br w:val="nil"/>
                    <w:tr2bl w:val="nil"/>
                  </w:tcBorders>
                  <w:vAlign w:val="center"/>
                </w:tcPr>
                <w:p>
                  <w:pPr>
                    <w:pStyle w:val="311"/>
                    <w:spacing w:before="99"/>
                    <w:ind w:right="1"/>
                    <w:jc w:val="center"/>
                    <w:rPr>
                      <w:rFonts w:ascii="Times New Roman" w:hAnsi="Times New Roman" w:eastAsia="Times New Roman" w:cs="Times New Roman"/>
                      <w:sz w:val="21"/>
                      <w:szCs w:val="21"/>
                    </w:rPr>
                  </w:pPr>
                  <w:r>
                    <w:rPr>
                      <w:rFonts w:ascii="Times New Roman"/>
                      <w:sz w:val="21"/>
                    </w:rPr>
                    <w:t>0.07</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石油类</w:t>
                  </w:r>
                </w:p>
              </w:tc>
              <w:tc>
                <w:tcPr>
                  <w:tcW w:w="1538"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ND</w:t>
                  </w:r>
                </w:p>
              </w:tc>
              <w:tc>
                <w:tcPr>
                  <w:tcW w:w="1562" w:type="dxa"/>
                  <w:tcBorders>
                    <w:tl2br w:val="nil"/>
                    <w:tr2bl w:val="nil"/>
                  </w:tcBorders>
                  <w:vAlign w:val="center"/>
                </w:tcPr>
                <w:p>
                  <w:pPr>
                    <w:pStyle w:val="311"/>
                    <w:spacing w:before="97"/>
                    <w:jc w:val="center"/>
                    <w:rPr>
                      <w:rFonts w:ascii="Times New Roman" w:hAnsi="Times New Roman" w:eastAsia="Times New Roman" w:cs="Times New Roman"/>
                      <w:sz w:val="21"/>
                      <w:szCs w:val="21"/>
                    </w:rPr>
                  </w:pPr>
                  <w:r>
                    <w:rPr>
                      <w:rFonts w:ascii="Times New Roman"/>
                      <w:sz w:val="21"/>
                    </w:rPr>
                    <w:t>ND</w:t>
                  </w:r>
                </w:p>
              </w:tc>
              <w:tc>
                <w:tcPr>
                  <w:tcW w:w="1550" w:type="dxa"/>
                  <w:tcBorders>
                    <w:tl2br w:val="nil"/>
                    <w:tr2bl w:val="nil"/>
                  </w:tcBorders>
                  <w:vAlign w:val="center"/>
                </w:tcPr>
                <w:p>
                  <w:pPr>
                    <w:pStyle w:val="311"/>
                    <w:spacing w:before="97"/>
                    <w:ind w:right="1"/>
                    <w:jc w:val="center"/>
                    <w:rPr>
                      <w:rFonts w:ascii="Times New Roman" w:hAnsi="Times New Roman" w:eastAsia="Times New Roman" w:cs="Times New Roman"/>
                      <w:sz w:val="21"/>
                      <w:szCs w:val="21"/>
                    </w:rPr>
                  </w:pPr>
                  <w:r>
                    <w:rPr>
                      <w:rFonts w:ascii="Times New Roman"/>
                      <w:sz w:val="21"/>
                    </w:rPr>
                    <w:t>ND</w:t>
                  </w:r>
                </w:p>
              </w:tc>
              <w:tc>
                <w:tcPr>
                  <w:tcW w:w="1625" w:type="dxa"/>
                  <w:tcBorders>
                    <w:tl2br w:val="nil"/>
                    <w:tr2bl w:val="nil"/>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restart"/>
                  <w:tcBorders>
                    <w:tl2br w:val="nil"/>
                    <w:tr2bl w:val="nil"/>
                  </w:tcBorders>
                  <w:vAlign w:val="center"/>
                </w:tcPr>
                <w:p>
                  <w:pPr>
                    <w:pStyle w:val="311"/>
                    <w:jc w:val="center"/>
                    <w:rPr>
                      <w:rFonts w:ascii="宋体" w:hAnsi="宋体" w:eastAsia="宋体" w:cs="宋体"/>
                      <w:b/>
                      <w:sz w:val="21"/>
                      <w:szCs w:val="21"/>
                      <w:lang w:eastAsia="zh-CN"/>
                    </w:rPr>
                  </w:pPr>
                  <w:r>
                    <w:rPr>
                      <w:rFonts w:ascii="宋体" w:hAnsi="宋体" w:eastAsia="宋体" w:cs="宋体"/>
                      <w:b/>
                      <w:sz w:val="21"/>
                      <w:szCs w:val="21"/>
                      <w:lang w:eastAsia="zh-CN"/>
                    </w:rPr>
                    <w:t>监测点位</w:t>
                  </w:r>
                </w:p>
              </w:tc>
              <w:tc>
                <w:tcPr>
                  <w:tcW w:w="1521" w:type="dxa"/>
                  <w:vMerge w:val="restart"/>
                  <w:tcBorders>
                    <w:tl2br w:val="nil"/>
                    <w:tr2bl w:val="nil"/>
                  </w:tcBorders>
                  <w:vAlign w:val="center"/>
                </w:tcPr>
                <w:p>
                  <w:pPr>
                    <w:pStyle w:val="311"/>
                    <w:jc w:val="center"/>
                    <w:rPr>
                      <w:rFonts w:ascii="宋体" w:hAnsi="宋体" w:eastAsia="宋体" w:cs="宋体"/>
                      <w:b/>
                      <w:sz w:val="21"/>
                      <w:szCs w:val="21"/>
                      <w:lang w:eastAsia="zh-CN"/>
                    </w:rPr>
                  </w:pPr>
                  <w:r>
                    <w:rPr>
                      <w:rFonts w:ascii="宋体" w:hAnsi="宋体" w:eastAsia="宋体" w:cs="宋体"/>
                      <w:b/>
                      <w:sz w:val="21"/>
                      <w:szCs w:val="21"/>
                      <w:lang w:eastAsia="zh-CN"/>
                    </w:rPr>
                    <w:t>检测项目</w:t>
                  </w:r>
                </w:p>
              </w:tc>
              <w:tc>
                <w:tcPr>
                  <w:tcW w:w="4650" w:type="dxa"/>
                  <w:gridSpan w:val="3"/>
                  <w:tcBorders>
                    <w:tl2br w:val="nil"/>
                    <w:tr2bl w:val="nil"/>
                  </w:tcBorders>
                  <w:vAlign w:val="center"/>
                </w:tcPr>
                <w:p>
                  <w:pPr>
                    <w:pStyle w:val="311"/>
                    <w:jc w:val="center"/>
                    <w:rPr>
                      <w:rFonts w:ascii="宋体" w:hAnsi="宋体" w:eastAsia="宋体" w:cs="宋体"/>
                      <w:b/>
                      <w:bCs/>
                      <w:sz w:val="24"/>
                      <w:szCs w:val="24"/>
                      <w:lang w:eastAsia="zh-CN"/>
                    </w:rPr>
                  </w:pPr>
                  <w:r>
                    <w:rPr>
                      <w:rFonts w:ascii="宋体" w:hAnsi="宋体" w:eastAsia="宋体" w:cs="宋体"/>
                      <w:b/>
                      <w:sz w:val="21"/>
                      <w:szCs w:val="21"/>
                      <w:lang w:eastAsia="zh-CN"/>
                    </w:rPr>
                    <w:t>检测结果</w:t>
                  </w:r>
                </w:p>
                <w:p>
                  <w:pPr>
                    <w:pStyle w:val="311"/>
                    <w:spacing w:before="97"/>
                    <w:ind w:right="1"/>
                    <w:jc w:val="center"/>
                    <w:rPr>
                      <w:rFonts w:ascii="Times New Roman"/>
                      <w:b/>
                      <w:sz w:val="21"/>
                    </w:rPr>
                  </w:pPr>
                  <w:r>
                    <w:rPr>
                      <w:rFonts w:ascii="宋体" w:hAnsi="宋体" w:eastAsia="宋体" w:cs="宋体"/>
                      <w:b/>
                      <w:sz w:val="21"/>
                      <w:szCs w:val="21"/>
                      <w:lang w:eastAsia="zh-CN"/>
                    </w:rPr>
                    <w:t>单位</w:t>
                  </w:r>
                </w:p>
              </w:tc>
              <w:tc>
                <w:tcPr>
                  <w:tcW w:w="1625" w:type="dxa"/>
                  <w:vMerge w:val="restart"/>
                  <w:tcBorders>
                    <w:tl2br w:val="nil"/>
                    <w:tr2bl w:val="nil"/>
                  </w:tcBorders>
                  <w:vAlign w:val="center"/>
                </w:tcPr>
                <w:p>
                  <w:pPr>
                    <w:pStyle w:val="311"/>
                    <w:jc w:val="center"/>
                    <w:rPr>
                      <w:rFonts w:ascii="Times New Roman"/>
                      <w:b/>
                      <w:sz w:val="21"/>
                      <w:lang w:eastAsia="zh-CN"/>
                    </w:rPr>
                  </w:pPr>
                  <w:r>
                    <w:rPr>
                      <w:rFonts w:ascii="Times New Roman"/>
                      <w:b/>
                      <w:sz w:val="21"/>
                      <w:lang w:eastAsia="zh-CN"/>
                    </w:rPr>
                    <w:t>结果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b/>
                      <w:lang w:eastAsia="en-US"/>
                    </w:rPr>
                  </w:pPr>
                </w:p>
              </w:tc>
              <w:tc>
                <w:tcPr>
                  <w:tcW w:w="1521" w:type="dxa"/>
                  <w:vMerge w:val="continue"/>
                  <w:tcBorders>
                    <w:tl2br w:val="nil"/>
                    <w:tr2bl w:val="nil"/>
                  </w:tcBorders>
                  <w:vAlign w:val="center"/>
                </w:tcPr>
                <w:p>
                  <w:pPr>
                    <w:pStyle w:val="311"/>
                    <w:jc w:val="center"/>
                    <w:rPr>
                      <w:rFonts w:ascii="宋体" w:hAnsi="宋体" w:eastAsia="宋体" w:cs="宋体"/>
                      <w:b/>
                      <w:sz w:val="21"/>
                      <w:szCs w:val="21"/>
                      <w:lang w:eastAsia="zh-CN"/>
                    </w:rPr>
                  </w:pPr>
                </w:p>
              </w:tc>
              <w:tc>
                <w:tcPr>
                  <w:tcW w:w="1538" w:type="dxa"/>
                  <w:tcBorders>
                    <w:tl2br w:val="nil"/>
                    <w:tr2bl w:val="nil"/>
                  </w:tcBorders>
                  <w:vAlign w:val="center"/>
                </w:tcPr>
                <w:p>
                  <w:pPr>
                    <w:pStyle w:val="311"/>
                    <w:jc w:val="center"/>
                    <w:rPr>
                      <w:rFonts w:ascii="宋体" w:hAnsi="宋体" w:eastAsia="宋体" w:cs="宋体"/>
                      <w:b/>
                      <w:sz w:val="21"/>
                      <w:szCs w:val="21"/>
                      <w:lang w:eastAsia="zh-CN"/>
                    </w:rPr>
                  </w:pPr>
                  <w:r>
                    <w:rPr>
                      <w:rFonts w:ascii="Times New Roman" w:hAnsi="Times New Roman" w:eastAsia="Times New Roman" w:cs="Times New Roman"/>
                      <w:b/>
                      <w:sz w:val="21"/>
                      <w:szCs w:val="21"/>
                      <w:lang w:eastAsia="zh-CN"/>
                    </w:rPr>
                    <w:t>0</w:t>
                  </w:r>
                  <w:r>
                    <w:rPr>
                      <w:rFonts w:hint="eastAsia" w:ascii="Times New Roman" w:hAnsi="Times New Roman" w:cs="Times New Roman"/>
                      <w:b/>
                      <w:sz w:val="21"/>
                      <w:szCs w:val="21"/>
                      <w:lang w:eastAsia="zh-CN"/>
                    </w:rPr>
                    <w:t>7</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月</w:t>
                  </w:r>
                  <w:r>
                    <w:rPr>
                      <w:rFonts w:ascii="宋体" w:hAnsi="宋体" w:eastAsia="宋体" w:cs="宋体"/>
                      <w:b/>
                      <w:spacing w:val="-51"/>
                      <w:sz w:val="21"/>
                      <w:szCs w:val="21"/>
                      <w:lang w:eastAsia="zh-CN"/>
                    </w:rPr>
                    <w:t xml:space="preserve"> </w:t>
                  </w:r>
                  <w:r>
                    <w:rPr>
                      <w:rFonts w:hint="eastAsia" w:ascii="Times New Roman" w:hAnsi="Times New Roman" w:cs="Times New Roman"/>
                      <w:b/>
                      <w:sz w:val="21"/>
                      <w:szCs w:val="21"/>
                      <w:lang w:eastAsia="zh-CN"/>
                    </w:rPr>
                    <w:t>4</w:t>
                  </w:r>
                  <w:r>
                    <w:rPr>
                      <w:rFonts w:ascii="宋体" w:hAnsi="宋体" w:eastAsia="宋体" w:cs="宋体"/>
                      <w:b/>
                      <w:sz w:val="21"/>
                      <w:szCs w:val="21"/>
                      <w:lang w:eastAsia="zh-CN"/>
                    </w:rPr>
                    <w:t>日</w:t>
                  </w:r>
                </w:p>
              </w:tc>
              <w:tc>
                <w:tcPr>
                  <w:tcW w:w="1562" w:type="dxa"/>
                  <w:tcBorders>
                    <w:tl2br w:val="nil"/>
                    <w:tr2bl w:val="nil"/>
                  </w:tcBorders>
                  <w:vAlign w:val="center"/>
                </w:tcPr>
                <w:p>
                  <w:pPr>
                    <w:pStyle w:val="311"/>
                    <w:jc w:val="center"/>
                    <w:rPr>
                      <w:rFonts w:ascii="宋体" w:hAnsi="宋体" w:eastAsia="宋体" w:cs="宋体"/>
                      <w:b/>
                      <w:sz w:val="21"/>
                      <w:szCs w:val="21"/>
                      <w:lang w:eastAsia="zh-CN"/>
                    </w:rPr>
                  </w:pPr>
                  <w:r>
                    <w:rPr>
                      <w:rFonts w:ascii="Times New Roman" w:hAnsi="Times New Roman" w:eastAsia="Times New Roman" w:cs="Times New Roman"/>
                      <w:b/>
                      <w:sz w:val="21"/>
                      <w:szCs w:val="21"/>
                      <w:lang w:eastAsia="zh-CN"/>
                    </w:rPr>
                    <w:t>0</w:t>
                  </w:r>
                  <w:r>
                    <w:rPr>
                      <w:rFonts w:hint="eastAsia" w:ascii="Times New Roman" w:hAnsi="Times New Roman" w:cs="Times New Roman"/>
                      <w:b/>
                      <w:sz w:val="21"/>
                      <w:szCs w:val="21"/>
                      <w:lang w:eastAsia="zh-CN"/>
                    </w:rPr>
                    <w:t>7</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月</w:t>
                  </w:r>
                  <w:r>
                    <w:rPr>
                      <w:rFonts w:hint="eastAsia" w:ascii="Times New Roman" w:hAnsi="Times New Roman" w:cs="Times New Roman"/>
                      <w:b/>
                      <w:sz w:val="21"/>
                      <w:szCs w:val="21"/>
                      <w:lang w:eastAsia="zh-CN"/>
                    </w:rPr>
                    <w:t>5</w:t>
                  </w:r>
                  <w:r>
                    <w:rPr>
                      <w:rFonts w:ascii="宋体" w:hAnsi="宋体" w:eastAsia="宋体" w:cs="宋体"/>
                      <w:b/>
                      <w:sz w:val="21"/>
                      <w:szCs w:val="21"/>
                      <w:lang w:eastAsia="zh-CN"/>
                    </w:rPr>
                    <w:t>日</w:t>
                  </w:r>
                </w:p>
              </w:tc>
              <w:tc>
                <w:tcPr>
                  <w:tcW w:w="1550" w:type="dxa"/>
                  <w:tcBorders>
                    <w:tl2br w:val="nil"/>
                    <w:tr2bl w:val="nil"/>
                  </w:tcBorders>
                  <w:vAlign w:val="center"/>
                </w:tcPr>
                <w:p>
                  <w:pPr>
                    <w:pStyle w:val="311"/>
                    <w:jc w:val="center"/>
                    <w:rPr>
                      <w:rFonts w:ascii="宋体" w:hAnsi="宋体" w:eastAsia="宋体" w:cs="宋体"/>
                      <w:b/>
                      <w:sz w:val="21"/>
                      <w:szCs w:val="21"/>
                      <w:lang w:eastAsia="zh-CN"/>
                    </w:rPr>
                  </w:pPr>
                  <w:r>
                    <w:rPr>
                      <w:rFonts w:ascii="Times New Roman" w:hAnsi="Times New Roman" w:eastAsia="Times New Roman" w:cs="Times New Roman"/>
                      <w:b/>
                      <w:sz w:val="21"/>
                      <w:szCs w:val="21"/>
                      <w:lang w:eastAsia="zh-CN"/>
                    </w:rPr>
                    <w:t>0</w:t>
                  </w:r>
                  <w:r>
                    <w:rPr>
                      <w:rFonts w:hint="eastAsia" w:ascii="Times New Roman" w:hAnsi="Times New Roman" w:cs="Times New Roman"/>
                      <w:b/>
                      <w:sz w:val="21"/>
                      <w:szCs w:val="21"/>
                      <w:lang w:eastAsia="zh-CN"/>
                    </w:rPr>
                    <w:t>7</w:t>
                  </w:r>
                  <w:r>
                    <w:rPr>
                      <w:rFonts w:ascii="Times New Roman" w:hAnsi="Times New Roman" w:eastAsia="Times New Roman" w:cs="Times New Roman"/>
                      <w:b/>
                      <w:spacing w:val="-2"/>
                      <w:sz w:val="21"/>
                      <w:szCs w:val="21"/>
                      <w:lang w:eastAsia="zh-CN"/>
                    </w:rPr>
                    <w:t xml:space="preserve"> </w:t>
                  </w:r>
                  <w:r>
                    <w:rPr>
                      <w:rFonts w:ascii="宋体" w:hAnsi="宋体" w:eastAsia="宋体" w:cs="宋体"/>
                      <w:b/>
                      <w:sz w:val="21"/>
                      <w:szCs w:val="21"/>
                      <w:lang w:eastAsia="zh-CN"/>
                    </w:rPr>
                    <w:t>月</w:t>
                  </w:r>
                  <w:r>
                    <w:rPr>
                      <w:rFonts w:ascii="宋体" w:hAnsi="宋体" w:eastAsia="宋体" w:cs="宋体"/>
                      <w:b/>
                      <w:spacing w:val="-54"/>
                      <w:sz w:val="21"/>
                      <w:szCs w:val="21"/>
                      <w:lang w:eastAsia="zh-CN"/>
                    </w:rPr>
                    <w:t xml:space="preserve"> </w:t>
                  </w:r>
                  <w:r>
                    <w:rPr>
                      <w:rFonts w:hint="eastAsia" w:ascii="Times New Roman" w:hAnsi="Times New Roman" w:cs="Times New Roman"/>
                      <w:b/>
                      <w:sz w:val="21"/>
                      <w:szCs w:val="21"/>
                      <w:lang w:eastAsia="zh-CN"/>
                    </w:rPr>
                    <w:t>6</w:t>
                  </w:r>
                  <w:r>
                    <w:rPr>
                      <w:rFonts w:ascii="宋体" w:hAnsi="宋体" w:eastAsia="宋体" w:cs="宋体"/>
                      <w:b/>
                      <w:sz w:val="21"/>
                      <w:szCs w:val="21"/>
                      <w:lang w:eastAsia="zh-CN"/>
                    </w:rPr>
                    <w:t>日</w:t>
                  </w:r>
                </w:p>
              </w:tc>
              <w:tc>
                <w:tcPr>
                  <w:tcW w:w="1625" w:type="dxa"/>
                  <w:vMerge w:val="continue"/>
                  <w:tcBorders>
                    <w:tl2br w:val="nil"/>
                    <w:tr2bl w:val="nil"/>
                  </w:tcBorders>
                  <w:vAlign w:val="center"/>
                </w:tcPr>
                <w:p>
                  <w:pPr>
                    <w:pStyle w:val="311"/>
                    <w:jc w:val="center"/>
                    <w:rPr>
                      <w:rFonts w:ascii="Times New Roman"/>
                      <w:sz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restart"/>
                  <w:tcBorders>
                    <w:tl2br w:val="nil"/>
                    <w:tr2bl w:val="nil"/>
                  </w:tcBorders>
                  <w:vAlign w:val="center"/>
                </w:tcPr>
                <w:p>
                  <w:pPr>
                    <w:pStyle w:val="311"/>
                    <w:ind w:left="4"/>
                    <w:jc w:val="center"/>
                    <w:rPr>
                      <w:rFonts w:ascii="宋体" w:hAnsi="宋体" w:eastAsia="宋体" w:cs="宋体"/>
                      <w:sz w:val="21"/>
                      <w:szCs w:val="21"/>
                      <w:lang w:eastAsia="zh-CN"/>
                    </w:rPr>
                  </w:pPr>
                  <w:r>
                    <w:rPr>
                      <w:rFonts w:ascii="宋体" w:hAnsi="宋体" w:eastAsia="宋体" w:cs="宋体"/>
                      <w:sz w:val="21"/>
                      <w:szCs w:val="21"/>
                      <w:lang w:eastAsia="zh-CN"/>
                    </w:rPr>
                    <w:t>安红乡岷江断面上游</w:t>
                  </w:r>
                </w:p>
                <w:p>
                  <w:pPr>
                    <w:pStyle w:val="311"/>
                    <w:spacing w:before="86"/>
                    <w:ind w:left="3"/>
                    <w:jc w:val="center"/>
                    <w:rPr>
                      <w:rFonts w:ascii="Times New Roman" w:hAnsi="Times New Roman" w:eastAsia="Times New Roman" w:cs="Times New Roman"/>
                      <w:sz w:val="21"/>
                      <w:szCs w:val="21"/>
                      <w:lang w:eastAsia="zh-CN"/>
                    </w:rPr>
                  </w:pPr>
                  <w:r>
                    <w:rPr>
                      <w:rFonts w:ascii="Times New Roman"/>
                      <w:sz w:val="21"/>
                      <w:lang w:eastAsia="zh-CN"/>
                    </w:rPr>
                    <w:t>500m</w:t>
                  </w:r>
                  <w:r>
                    <w:rPr>
                      <w:rFonts w:hint="eastAsia" w:ascii="Times New Roman"/>
                      <w:sz w:val="21"/>
                      <w:lang w:eastAsia="zh-CN"/>
                    </w:rPr>
                    <w:t>（</w:t>
                  </w:r>
                  <w:r>
                    <w:rPr>
                      <w:rFonts w:hint="eastAsia" w:ascii="Times New Roman"/>
                      <w:sz w:val="21"/>
                      <w:lang w:val="en-US" w:eastAsia="zh-CN"/>
                    </w:rPr>
                    <w:t>4#</w:t>
                  </w:r>
                  <w:r>
                    <w:rPr>
                      <w:rFonts w:hint="eastAsia" w:ascii="Times New Roman"/>
                      <w:sz w:val="21"/>
                      <w:lang w:eastAsia="zh-CN"/>
                    </w:rPr>
                    <w:t>）</w:t>
                  </w:r>
                </w:p>
              </w:tc>
              <w:tc>
                <w:tcPr>
                  <w:tcW w:w="1521" w:type="dxa"/>
                  <w:tcBorders>
                    <w:tl2br w:val="nil"/>
                    <w:tr2bl w:val="nil"/>
                  </w:tcBorders>
                  <w:vAlign w:val="center"/>
                </w:tcPr>
                <w:p>
                  <w:pPr>
                    <w:pStyle w:val="311"/>
                    <w:spacing w:before="96"/>
                    <w:jc w:val="center"/>
                    <w:rPr>
                      <w:rFonts w:ascii="Times New Roman" w:hAnsi="Times New Roman" w:eastAsia="Times New Roman" w:cs="Times New Roman"/>
                      <w:sz w:val="21"/>
                      <w:szCs w:val="21"/>
                    </w:rPr>
                  </w:pPr>
                  <w:r>
                    <w:rPr>
                      <w:rFonts w:ascii="Times New Roman"/>
                      <w:sz w:val="21"/>
                    </w:rPr>
                    <w:t>pH</w:t>
                  </w:r>
                </w:p>
              </w:tc>
              <w:tc>
                <w:tcPr>
                  <w:tcW w:w="1538" w:type="dxa"/>
                  <w:tcBorders>
                    <w:tl2br w:val="nil"/>
                    <w:tr2bl w:val="nil"/>
                  </w:tcBorders>
                  <w:vAlign w:val="center"/>
                </w:tcPr>
                <w:p>
                  <w:pPr>
                    <w:pStyle w:val="311"/>
                    <w:spacing w:before="96"/>
                    <w:ind w:left="1"/>
                    <w:jc w:val="center"/>
                    <w:rPr>
                      <w:rFonts w:ascii="Times New Roman" w:hAnsi="Times New Roman" w:eastAsia="Times New Roman" w:cs="Times New Roman"/>
                      <w:sz w:val="21"/>
                      <w:szCs w:val="21"/>
                    </w:rPr>
                  </w:pPr>
                  <w:r>
                    <w:rPr>
                      <w:rFonts w:ascii="Times New Roman"/>
                      <w:sz w:val="21"/>
                    </w:rPr>
                    <w:t>8.26</w:t>
                  </w:r>
                </w:p>
              </w:tc>
              <w:tc>
                <w:tcPr>
                  <w:tcW w:w="1562" w:type="dxa"/>
                  <w:tcBorders>
                    <w:tl2br w:val="nil"/>
                    <w:tr2bl w:val="nil"/>
                  </w:tcBorders>
                  <w:vAlign w:val="center"/>
                </w:tcPr>
                <w:p>
                  <w:pPr>
                    <w:pStyle w:val="311"/>
                    <w:spacing w:before="96"/>
                    <w:jc w:val="center"/>
                    <w:rPr>
                      <w:rFonts w:ascii="Times New Roman" w:hAnsi="Times New Roman" w:eastAsia="Times New Roman" w:cs="Times New Roman"/>
                      <w:sz w:val="21"/>
                      <w:szCs w:val="21"/>
                    </w:rPr>
                  </w:pPr>
                  <w:r>
                    <w:rPr>
                      <w:rFonts w:ascii="Times New Roman"/>
                      <w:sz w:val="21"/>
                    </w:rPr>
                    <w:t>8.17</w:t>
                  </w:r>
                </w:p>
              </w:tc>
              <w:tc>
                <w:tcPr>
                  <w:tcW w:w="1550" w:type="dxa"/>
                  <w:tcBorders>
                    <w:tl2br w:val="nil"/>
                    <w:tr2bl w:val="nil"/>
                  </w:tcBorders>
                  <w:vAlign w:val="center"/>
                </w:tcPr>
                <w:p>
                  <w:pPr>
                    <w:pStyle w:val="311"/>
                    <w:spacing w:before="96"/>
                    <w:ind w:left="2"/>
                    <w:jc w:val="center"/>
                    <w:rPr>
                      <w:rFonts w:ascii="Times New Roman" w:hAnsi="Times New Roman" w:eastAsia="Times New Roman" w:cs="Times New Roman"/>
                      <w:sz w:val="21"/>
                      <w:szCs w:val="21"/>
                    </w:rPr>
                  </w:pPr>
                  <w:r>
                    <w:rPr>
                      <w:rFonts w:ascii="Times New Roman"/>
                      <w:sz w:val="21"/>
                    </w:rPr>
                    <w:t>8.23</w:t>
                  </w:r>
                </w:p>
              </w:tc>
              <w:tc>
                <w:tcPr>
                  <w:tcW w:w="1625" w:type="dxa"/>
                  <w:tcBorders>
                    <w:tl2br w:val="nil"/>
                    <w:tr2bl w:val="nil"/>
                  </w:tcBorders>
                  <w:vAlign w:val="center"/>
                </w:tcPr>
                <w:p>
                  <w:pPr>
                    <w:pStyle w:val="311"/>
                    <w:spacing w:before="47"/>
                    <w:ind w:left="232"/>
                    <w:jc w:val="center"/>
                    <w:rPr>
                      <w:rFonts w:ascii="宋体" w:hAnsi="宋体" w:eastAsia="宋体" w:cs="宋体"/>
                      <w:sz w:val="21"/>
                      <w:szCs w:val="21"/>
                    </w:rPr>
                  </w:pPr>
                  <w:r>
                    <w:rPr>
                      <w:rFonts w:ascii="宋体" w:hAnsi="宋体" w:eastAsia="宋体" w:cs="宋体"/>
                      <w:sz w:val="21"/>
                      <w:szCs w:val="21"/>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悬浮物</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14</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15</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17</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化学需氧量</w:t>
                  </w:r>
                </w:p>
              </w:tc>
              <w:tc>
                <w:tcPr>
                  <w:tcW w:w="1538" w:type="dxa"/>
                  <w:tcBorders>
                    <w:tl2br w:val="nil"/>
                    <w:tr2bl w:val="nil"/>
                  </w:tcBorders>
                  <w:vAlign w:val="center"/>
                </w:tcPr>
                <w:p>
                  <w:pPr>
                    <w:pStyle w:val="311"/>
                    <w:spacing w:before="97"/>
                    <w:jc w:val="center"/>
                    <w:rPr>
                      <w:rFonts w:ascii="Times New Roman"/>
                      <w:sz w:val="21"/>
                    </w:rPr>
                  </w:pPr>
                  <w:r>
                    <w:rPr>
                      <w:rFonts w:ascii="Times New Roman"/>
                      <w:w w:val="99"/>
                      <w:sz w:val="21"/>
                    </w:rPr>
                    <w:t>7</w:t>
                  </w:r>
                </w:p>
              </w:tc>
              <w:tc>
                <w:tcPr>
                  <w:tcW w:w="1562" w:type="dxa"/>
                  <w:tcBorders>
                    <w:tl2br w:val="nil"/>
                    <w:tr2bl w:val="nil"/>
                  </w:tcBorders>
                  <w:vAlign w:val="center"/>
                </w:tcPr>
                <w:p>
                  <w:pPr>
                    <w:pStyle w:val="311"/>
                    <w:spacing w:before="97"/>
                    <w:jc w:val="center"/>
                    <w:rPr>
                      <w:rFonts w:ascii="Times New Roman"/>
                      <w:sz w:val="21"/>
                    </w:rPr>
                  </w:pPr>
                  <w:r>
                    <w:rPr>
                      <w:rFonts w:ascii="Times New Roman"/>
                      <w:w w:val="99"/>
                      <w:sz w:val="21"/>
                    </w:rPr>
                    <w:t>6</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w w:val="99"/>
                      <w:sz w:val="21"/>
                    </w:rPr>
                    <w:t>5</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五日生化需氧量</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1.2</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1.1</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1.2</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氨氮</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0.277</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0.291</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0.269</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总磷</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0.04</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0.04</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0.04</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石油类</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ND</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ND</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ND</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restart"/>
                  <w:tcBorders>
                    <w:tl2br w:val="nil"/>
                    <w:tr2bl w:val="nil"/>
                  </w:tcBorders>
                  <w:vAlign w:val="center"/>
                </w:tcPr>
                <w:p>
                  <w:pPr>
                    <w:pStyle w:val="311"/>
                    <w:ind w:left="4"/>
                    <w:jc w:val="center"/>
                    <w:rPr>
                      <w:rFonts w:ascii="宋体" w:hAnsi="宋体" w:eastAsia="宋体" w:cs="宋体"/>
                      <w:sz w:val="21"/>
                      <w:szCs w:val="21"/>
                      <w:lang w:eastAsia="zh-CN"/>
                    </w:rPr>
                  </w:pPr>
                  <w:r>
                    <w:rPr>
                      <w:rFonts w:ascii="宋体" w:hAnsi="宋体" w:eastAsia="宋体" w:cs="宋体"/>
                      <w:sz w:val="21"/>
                      <w:szCs w:val="21"/>
                      <w:lang w:eastAsia="zh-CN"/>
                    </w:rPr>
                    <w:t>安宏乡岷江断面下游</w:t>
                  </w:r>
                </w:p>
                <w:p>
                  <w:pPr>
                    <w:pStyle w:val="311"/>
                    <w:spacing w:before="86"/>
                    <w:ind w:left="3"/>
                    <w:jc w:val="center"/>
                    <w:rPr>
                      <w:rFonts w:ascii="Times New Roman" w:hAnsi="Times New Roman" w:eastAsia="Times New Roman" w:cs="Times New Roman"/>
                      <w:sz w:val="21"/>
                      <w:szCs w:val="21"/>
                      <w:lang w:eastAsia="zh-CN"/>
                    </w:rPr>
                  </w:pPr>
                  <w:r>
                    <w:rPr>
                      <w:rFonts w:ascii="Times New Roman"/>
                      <w:sz w:val="21"/>
                      <w:lang w:eastAsia="zh-CN"/>
                    </w:rPr>
                    <w:t>1500m</w:t>
                  </w:r>
                  <w:r>
                    <w:rPr>
                      <w:rFonts w:hint="eastAsia" w:ascii="Times New Roman"/>
                      <w:sz w:val="21"/>
                      <w:lang w:eastAsia="zh-CN"/>
                    </w:rPr>
                    <w:t>（</w:t>
                  </w:r>
                  <w:r>
                    <w:rPr>
                      <w:rFonts w:hint="eastAsia" w:ascii="Times New Roman"/>
                      <w:sz w:val="21"/>
                      <w:lang w:val="en-US" w:eastAsia="zh-CN"/>
                    </w:rPr>
                    <w:t>5#</w:t>
                  </w:r>
                  <w:r>
                    <w:rPr>
                      <w:rFonts w:hint="eastAsia" w:ascii="Times New Roman"/>
                      <w:sz w:val="21"/>
                      <w:lang w:eastAsia="zh-CN"/>
                    </w:rPr>
                    <w:t>）</w:t>
                  </w:r>
                </w:p>
              </w:tc>
              <w:tc>
                <w:tcPr>
                  <w:tcW w:w="1521" w:type="dxa"/>
                  <w:tcBorders>
                    <w:tl2br w:val="nil"/>
                    <w:tr2bl w:val="nil"/>
                  </w:tcBorders>
                  <w:vAlign w:val="center"/>
                </w:tcPr>
                <w:p>
                  <w:pPr>
                    <w:pStyle w:val="311"/>
                    <w:spacing w:before="96"/>
                    <w:jc w:val="center"/>
                    <w:rPr>
                      <w:rFonts w:ascii="Times New Roman" w:hAnsi="Times New Roman" w:eastAsia="Times New Roman" w:cs="Times New Roman"/>
                      <w:sz w:val="21"/>
                      <w:szCs w:val="21"/>
                    </w:rPr>
                  </w:pPr>
                  <w:r>
                    <w:rPr>
                      <w:rFonts w:ascii="Times New Roman"/>
                      <w:sz w:val="21"/>
                    </w:rPr>
                    <w:t>pH</w:t>
                  </w:r>
                </w:p>
              </w:tc>
              <w:tc>
                <w:tcPr>
                  <w:tcW w:w="1538" w:type="dxa"/>
                  <w:tcBorders>
                    <w:tl2br w:val="nil"/>
                    <w:tr2bl w:val="nil"/>
                  </w:tcBorders>
                  <w:vAlign w:val="center"/>
                </w:tcPr>
                <w:p>
                  <w:pPr>
                    <w:pStyle w:val="311"/>
                    <w:spacing w:before="96"/>
                    <w:ind w:left="1"/>
                    <w:jc w:val="center"/>
                    <w:rPr>
                      <w:rFonts w:ascii="Times New Roman" w:hAnsi="Times New Roman" w:eastAsia="Times New Roman" w:cs="Times New Roman"/>
                      <w:sz w:val="21"/>
                      <w:szCs w:val="21"/>
                    </w:rPr>
                  </w:pPr>
                  <w:r>
                    <w:rPr>
                      <w:rFonts w:ascii="Times New Roman"/>
                      <w:sz w:val="21"/>
                    </w:rPr>
                    <w:t>8.38</w:t>
                  </w:r>
                </w:p>
              </w:tc>
              <w:tc>
                <w:tcPr>
                  <w:tcW w:w="1562" w:type="dxa"/>
                  <w:tcBorders>
                    <w:tl2br w:val="nil"/>
                    <w:tr2bl w:val="nil"/>
                  </w:tcBorders>
                  <w:vAlign w:val="center"/>
                </w:tcPr>
                <w:p>
                  <w:pPr>
                    <w:pStyle w:val="311"/>
                    <w:spacing w:before="96"/>
                    <w:jc w:val="center"/>
                    <w:rPr>
                      <w:rFonts w:ascii="Times New Roman" w:hAnsi="Times New Roman" w:eastAsia="Times New Roman" w:cs="Times New Roman"/>
                      <w:sz w:val="21"/>
                      <w:szCs w:val="21"/>
                    </w:rPr>
                  </w:pPr>
                  <w:r>
                    <w:rPr>
                      <w:rFonts w:ascii="Times New Roman"/>
                      <w:sz w:val="21"/>
                    </w:rPr>
                    <w:t>8.41</w:t>
                  </w:r>
                </w:p>
              </w:tc>
              <w:tc>
                <w:tcPr>
                  <w:tcW w:w="1550" w:type="dxa"/>
                  <w:tcBorders>
                    <w:tl2br w:val="nil"/>
                    <w:tr2bl w:val="nil"/>
                  </w:tcBorders>
                  <w:vAlign w:val="center"/>
                </w:tcPr>
                <w:p>
                  <w:pPr>
                    <w:pStyle w:val="311"/>
                    <w:spacing w:before="96"/>
                    <w:ind w:left="2"/>
                    <w:jc w:val="center"/>
                    <w:rPr>
                      <w:rFonts w:ascii="Times New Roman" w:hAnsi="Times New Roman" w:eastAsia="Times New Roman" w:cs="Times New Roman"/>
                      <w:sz w:val="21"/>
                      <w:szCs w:val="21"/>
                    </w:rPr>
                  </w:pPr>
                  <w:r>
                    <w:rPr>
                      <w:rFonts w:ascii="Times New Roman"/>
                      <w:sz w:val="21"/>
                    </w:rPr>
                    <w:t>8.35</w:t>
                  </w:r>
                </w:p>
              </w:tc>
              <w:tc>
                <w:tcPr>
                  <w:tcW w:w="1625" w:type="dxa"/>
                  <w:tcBorders>
                    <w:tl2br w:val="nil"/>
                    <w:tr2bl w:val="nil"/>
                  </w:tcBorders>
                  <w:vAlign w:val="center"/>
                </w:tcPr>
                <w:p>
                  <w:pPr>
                    <w:pStyle w:val="311"/>
                    <w:spacing w:before="46"/>
                    <w:ind w:left="232"/>
                    <w:jc w:val="center"/>
                    <w:rPr>
                      <w:rFonts w:ascii="宋体" w:hAnsi="宋体" w:eastAsia="宋体" w:cs="宋体"/>
                      <w:sz w:val="21"/>
                      <w:szCs w:val="21"/>
                    </w:rPr>
                  </w:pPr>
                  <w:r>
                    <w:rPr>
                      <w:rFonts w:ascii="宋体" w:hAnsi="宋体" w:eastAsia="宋体" w:cs="宋体"/>
                      <w:sz w:val="21"/>
                      <w:szCs w:val="21"/>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悬浮物</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17</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15</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16</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化学需氧量</w:t>
                  </w:r>
                </w:p>
              </w:tc>
              <w:tc>
                <w:tcPr>
                  <w:tcW w:w="1538" w:type="dxa"/>
                  <w:tcBorders>
                    <w:tl2br w:val="nil"/>
                    <w:tr2bl w:val="nil"/>
                  </w:tcBorders>
                  <w:vAlign w:val="center"/>
                </w:tcPr>
                <w:p>
                  <w:pPr>
                    <w:pStyle w:val="311"/>
                    <w:spacing w:before="97"/>
                    <w:jc w:val="center"/>
                    <w:rPr>
                      <w:rFonts w:ascii="Times New Roman"/>
                      <w:sz w:val="21"/>
                    </w:rPr>
                  </w:pPr>
                  <w:r>
                    <w:rPr>
                      <w:rFonts w:ascii="Times New Roman"/>
                      <w:w w:val="99"/>
                      <w:sz w:val="21"/>
                    </w:rPr>
                    <w:t>9</w:t>
                  </w:r>
                </w:p>
              </w:tc>
              <w:tc>
                <w:tcPr>
                  <w:tcW w:w="1562" w:type="dxa"/>
                  <w:tcBorders>
                    <w:tl2br w:val="nil"/>
                    <w:tr2bl w:val="nil"/>
                  </w:tcBorders>
                  <w:vAlign w:val="center"/>
                </w:tcPr>
                <w:p>
                  <w:pPr>
                    <w:pStyle w:val="311"/>
                    <w:spacing w:before="97"/>
                    <w:jc w:val="center"/>
                    <w:rPr>
                      <w:rFonts w:ascii="Times New Roman"/>
                      <w:sz w:val="21"/>
                    </w:rPr>
                  </w:pPr>
                  <w:r>
                    <w:rPr>
                      <w:rFonts w:ascii="Times New Roman"/>
                      <w:w w:val="99"/>
                      <w:sz w:val="21"/>
                    </w:rPr>
                    <w:t>8</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w w:val="99"/>
                      <w:sz w:val="21"/>
                    </w:rPr>
                    <w:t>7</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五日生化需氧量</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1.5</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1.7</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1.4</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氨氮</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0.300</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0.294</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0.303</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总磷</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0.06</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0.07</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0.06</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344" w:type="dxa"/>
                  <w:vMerge w:val="continue"/>
                  <w:tcBorders>
                    <w:tl2br w:val="nil"/>
                    <w:tr2bl w:val="nil"/>
                  </w:tcBorders>
                  <w:vAlign w:val="center"/>
                </w:tcPr>
                <w:p>
                  <w:pPr>
                    <w:jc w:val="center"/>
                    <w:rPr>
                      <w:lang w:eastAsia="en-US"/>
                    </w:rPr>
                  </w:pPr>
                </w:p>
              </w:tc>
              <w:tc>
                <w:tcPr>
                  <w:tcW w:w="1521"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rPr>
                    <w:t>石油类</w:t>
                  </w:r>
                </w:p>
              </w:tc>
              <w:tc>
                <w:tcPr>
                  <w:tcW w:w="1538" w:type="dxa"/>
                  <w:tcBorders>
                    <w:tl2br w:val="nil"/>
                    <w:tr2bl w:val="nil"/>
                  </w:tcBorders>
                  <w:vAlign w:val="center"/>
                </w:tcPr>
                <w:p>
                  <w:pPr>
                    <w:pStyle w:val="311"/>
                    <w:spacing w:before="97"/>
                    <w:jc w:val="center"/>
                    <w:rPr>
                      <w:rFonts w:ascii="Times New Roman"/>
                      <w:sz w:val="21"/>
                    </w:rPr>
                  </w:pPr>
                  <w:r>
                    <w:rPr>
                      <w:rFonts w:ascii="Times New Roman"/>
                      <w:sz w:val="21"/>
                    </w:rPr>
                    <w:t>ND</w:t>
                  </w:r>
                </w:p>
              </w:tc>
              <w:tc>
                <w:tcPr>
                  <w:tcW w:w="1562" w:type="dxa"/>
                  <w:tcBorders>
                    <w:tl2br w:val="nil"/>
                    <w:tr2bl w:val="nil"/>
                  </w:tcBorders>
                  <w:vAlign w:val="center"/>
                </w:tcPr>
                <w:p>
                  <w:pPr>
                    <w:pStyle w:val="311"/>
                    <w:spacing w:before="97"/>
                    <w:jc w:val="center"/>
                    <w:rPr>
                      <w:rFonts w:ascii="Times New Roman"/>
                      <w:sz w:val="21"/>
                    </w:rPr>
                  </w:pPr>
                  <w:r>
                    <w:rPr>
                      <w:rFonts w:ascii="Times New Roman"/>
                      <w:sz w:val="21"/>
                    </w:rPr>
                    <w:t>ND</w:t>
                  </w:r>
                </w:p>
              </w:tc>
              <w:tc>
                <w:tcPr>
                  <w:tcW w:w="1550" w:type="dxa"/>
                  <w:tcBorders>
                    <w:tl2br w:val="nil"/>
                    <w:tr2bl w:val="nil"/>
                  </w:tcBorders>
                  <w:vAlign w:val="center"/>
                </w:tcPr>
                <w:p>
                  <w:pPr>
                    <w:pStyle w:val="311"/>
                    <w:spacing w:before="97"/>
                    <w:ind w:right="1"/>
                    <w:jc w:val="center"/>
                    <w:rPr>
                      <w:rFonts w:ascii="Times New Roman"/>
                      <w:sz w:val="21"/>
                    </w:rPr>
                  </w:pPr>
                  <w:r>
                    <w:rPr>
                      <w:rFonts w:ascii="Times New Roman"/>
                      <w:sz w:val="21"/>
                    </w:rPr>
                    <w:t>ND</w:t>
                  </w:r>
                </w:p>
              </w:tc>
              <w:tc>
                <w:tcPr>
                  <w:tcW w:w="1625" w:type="dxa"/>
                  <w:tcBorders>
                    <w:tl2br w:val="nil"/>
                    <w:tr2bl w:val="nil"/>
                  </w:tcBorders>
                  <w:vAlign w:val="center"/>
                </w:tcPr>
                <w:p>
                  <w:pPr>
                    <w:pStyle w:val="311"/>
                    <w:jc w:val="center"/>
                    <w:rPr>
                      <w:rFonts w:ascii="Times New Roman"/>
                      <w:sz w:val="21"/>
                      <w:lang w:eastAsia="zh-CN"/>
                    </w:rPr>
                  </w:pPr>
                  <w:r>
                    <w:rPr>
                      <w:rFonts w:ascii="Times New Roman"/>
                      <w:sz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140" w:type="dxa"/>
                  <w:gridSpan w:val="6"/>
                  <w:tcBorders>
                    <w:tl2br w:val="nil"/>
                    <w:tr2bl w:val="nil"/>
                  </w:tcBorders>
                  <w:vAlign w:val="center"/>
                </w:tcPr>
                <w:p>
                  <w:pPr>
                    <w:pStyle w:val="311"/>
                    <w:jc w:val="center"/>
                    <w:rPr>
                      <w:rFonts w:ascii="Times New Roman"/>
                      <w:sz w:val="21"/>
                      <w:lang w:eastAsia="zh-CN"/>
                    </w:rPr>
                  </w:pPr>
                  <w:r>
                    <w:rPr>
                      <w:rFonts w:ascii="宋体" w:hAnsi="宋体" w:eastAsia="宋体" w:cs="宋体"/>
                      <w:sz w:val="21"/>
                      <w:szCs w:val="21"/>
                      <w:lang w:eastAsia="zh-CN"/>
                    </w:rPr>
                    <w:t>备注：</w:t>
                  </w:r>
                  <w:r>
                    <w:rPr>
                      <w:rFonts w:ascii="Times New Roman" w:hAnsi="Times New Roman" w:eastAsia="Times New Roman" w:cs="Times New Roman"/>
                      <w:sz w:val="21"/>
                      <w:szCs w:val="21"/>
                      <w:lang w:eastAsia="zh-CN"/>
                    </w:rPr>
                    <w:t>ND</w:t>
                  </w:r>
                  <w:r>
                    <w:rPr>
                      <w:rFonts w:ascii="Times New Roman" w:hAnsi="Times New Roman" w:eastAsia="Times New Roman" w:cs="Times New Roman"/>
                      <w:spacing w:val="-16"/>
                      <w:sz w:val="21"/>
                      <w:szCs w:val="21"/>
                      <w:lang w:eastAsia="zh-CN"/>
                    </w:rPr>
                    <w:t xml:space="preserve"> </w:t>
                  </w:r>
                  <w:r>
                    <w:rPr>
                      <w:rFonts w:ascii="宋体" w:hAnsi="宋体" w:eastAsia="宋体" w:cs="宋体"/>
                      <w:sz w:val="21"/>
                      <w:szCs w:val="21"/>
                      <w:lang w:eastAsia="zh-CN"/>
                    </w:rPr>
                    <w:t>表示检测结果低于方法检出限或未检出。</w:t>
                  </w:r>
                </w:p>
              </w:tc>
            </w:tr>
          </w:tbl>
          <w:p/>
          <w:p>
            <w:pPr>
              <w:spacing w:line="360" w:lineRule="auto"/>
              <w:ind w:firstLine="480" w:firstLineChars="200"/>
              <w:jc w:val="left"/>
              <w:rPr>
                <w:rFonts w:hint="default" w:ascii="Times New Roman" w:cs="Times New Roman" w:hAnsiTheme="minorEastAsia" w:eastAsiaTheme="minorEastAsia"/>
                <w:bCs/>
                <w:color w:val="000000" w:themeColor="text1"/>
                <w:sz w:val="24"/>
                <w:lang w:val="en-US" w:eastAsia="zh-CN"/>
              </w:rPr>
            </w:pPr>
            <w:r>
              <w:rPr>
                <w:rFonts w:hint="eastAsia" w:ascii="Times New Roman" w:cs="Times New Roman" w:hAnsiTheme="minorEastAsia"/>
                <w:bCs/>
                <w:color w:val="000000" w:themeColor="text1"/>
                <w:sz w:val="24"/>
                <w:lang w:val="en-US" w:eastAsia="zh-CN"/>
              </w:rPr>
              <w:t>8、评价结果</w:t>
            </w:r>
          </w:p>
          <w:p>
            <w:pPr>
              <w:spacing w:line="360" w:lineRule="auto"/>
              <w:ind w:firstLine="480" w:firstLineChars="200"/>
              <w:jc w:val="left"/>
              <w:rPr>
                <w:rFonts w:hint="eastAsia" w:ascii="Times New Roman" w:cs="Times New Roman" w:hAnsiTheme="minorEastAsia"/>
                <w:bCs/>
                <w:color w:val="000000" w:themeColor="text1"/>
                <w:sz w:val="24"/>
                <w:lang w:val="en-US" w:eastAsia="zh-CN"/>
              </w:rPr>
            </w:pPr>
            <w:r>
              <w:rPr>
                <w:rFonts w:hint="eastAsia" w:ascii="Times New Roman" w:cs="Times New Roman" w:hAnsiTheme="minorEastAsia"/>
                <w:bCs/>
                <w:color w:val="000000" w:themeColor="text1"/>
                <w:sz w:val="24"/>
                <w:lang w:val="en-US" w:eastAsia="zh-CN"/>
              </w:rPr>
              <w:t>评价结果见下表：</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
                <w:kern w:val="2"/>
                <w:sz w:val="21"/>
                <w:szCs w:val="21"/>
                <w:lang w:val="en-US" w:eastAsia="zh-CN" w:bidi="ar-SA"/>
              </w:rPr>
              <w:t>表3-4  地表水环境质量评价结果</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24"/>
              <w:gridCol w:w="1327"/>
              <w:gridCol w:w="765"/>
              <w:gridCol w:w="1140"/>
              <w:gridCol w:w="1290"/>
              <w:gridCol w:w="1365"/>
              <w:gridCol w:w="1125"/>
              <w:gridCol w:w="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379" w:type="dxa"/>
                  <w:gridSpan w:val="2"/>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firstLine="0" w:firstLineChars="0"/>
                    <w:jc w:val="center"/>
                    <w:rPr>
                      <w:b/>
                      <w:szCs w:val="21"/>
                    </w:rPr>
                  </w:pPr>
                  <w:r>
                    <w:rPr>
                      <w:b/>
                      <w:szCs w:val="21"/>
                    </w:rPr>
                    <w:t>项目</w:t>
                  </w:r>
                </w:p>
              </w:tc>
              <w:tc>
                <w:tcPr>
                  <w:tcW w:w="1327"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firstLine="0" w:firstLineChars="0"/>
                    <w:jc w:val="center"/>
                    <w:rPr>
                      <w:b/>
                      <w:szCs w:val="21"/>
                    </w:rPr>
                  </w:pPr>
                  <w:r>
                    <w:rPr>
                      <w:b/>
                      <w:szCs w:val="21"/>
                    </w:rPr>
                    <w:t>pH</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
                      <w:szCs w:val="21"/>
                    </w:rPr>
                  </w:pPr>
                  <w:r>
                    <w:rPr>
                      <w:rFonts w:hint="eastAsia"/>
                      <w:b/>
                      <w:szCs w:val="21"/>
                    </w:rPr>
                    <w:t>S</w:t>
                  </w:r>
                  <w:r>
                    <w:rPr>
                      <w:b/>
                      <w:szCs w:val="21"/>
                    </w:rPr>
                    <w:t>S</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
                      <w:szCs w:val="21"/>
                      <w:vertAlign w:val="subscript"/>
                    </w:rPr>
                  </w:pPr>
                  <w:r>
                    <w:rPr>
                      <w:b/>
                      <w:szCs w:val="21"/>
                    </w:rPr>
                    <w:t>COD</w:t>
                  </w:r>
                  <w:r>
                    <w:rPr>
                      <w:rFonts w:hint="eastAsia"/>
                      <w:b/>
                      <w:szCs w:val="21"/>
                      <w:vertAlign w:val="subscript"/>
                    </w:rPr>
                    <w:t>Cr</w:t>
                  </w:r>
                </w:p>
              </w:tc>
              <w:tc>
                <w:tcPr>
                  <w:tcW w:w="1290"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firstLine="0" w:firstLineChars="0"/>
                    <w:jc w:val="center"/>
                    <w:rPr>
                      <w:b/>
                      <w:szCs w:val="21"/>
                      <w:vertAlign w:val="subscript"/>
                    </w:rPr>
                  </w:pPr>
                  <w:r>
                    <w:rPr>
                      <w:rFonts w:hint="eastAsia"/>
                      <w:b/>
                      <w:szCs w:val="21"/>
                    </w:rPr>
                    <w:t>BOD</w:t>
                  </w:r>
                  <w:r>
                    <w:rPr>
                      <w:rFonts w:hint="eastAsia"/>
                      <w:b/>
                      <w:szCs w:val="21"/>
                      <w:vertAlign w:val="subscript"/>
                    </w:rPr>
                    <w:t>5</w:t>
                  </w:r>
                </w:p>
              </w:tc>
              <w:tc>
                <w:tcPr>
                  <w:tcW w:w="1365" w:type="dxa"/>
                  <w:tcBorders>
                    <w:tl2br w:val="nil"/>
                    <w:tr2bl w:val="nil"/>
                  </w:tcBorders>
                  <w:noWrap w:val="0"/>
                  <w:vAlign w:val="top"/>
                </w:tcPr>
                <w:p>
                  <w:pPr>
                    <w:pStyle w:val="297"/>
                    <w:keepNext w:val="0"/>
                    <w:keepLines w:val="0"/>
                    <w:pageBreakBefore w:val="0"/>
                    <w:widowControl w:val="0"/>
                    <w:kinsoku/>
                    <w:wordWrap/>
                    <w:overflowPunct/>
                    <w:topLinePunct w:val="0"/>
                    <w:autoSpaceDE/>
                    <w:autoSpaceDN/>
                    <w:bidi w:val="0"/>
                    <w:adjustRightInd w:val="0"/>
                    <w:snapToGrid w:val="0"/>
                    <w:ind w:left="0" w:firstLine="0" w:firstLineChars="0"/>
                    <w:jc w:val="center"/>
                    <w:rPr>
                      <w:b/>
                      <w:szCs w:val="21"/>
                    </w:rPr>
                  </w:pPr>
                  <w:r>
                    <w:rPr>
                      <w:rFonts w:hint="eastAsia"/>
                      <w:b/>
                      <w:szCs w:val="21"/>
                    </w:rPr>
                    <w:t>NH</w:t>
                  </w:r>
                  <w:r>
                    <w:rPr>
                      <w:rFonts w:hint="eastAsia"/>
                      <w:b/>
                      <w:szCs w:val="21"/>
                      <w:vertAlign w:val="subscript"/>
                    </w:rPr>
                    <w:t>3</w:t>
                  </w:r>
                  <w:r>
                    <w:rPr>
                      <w:rFonts w:hint="eastAsia"/>
                      <w:b/>
                      <w:szCs w:val="21"/>
                    </w:rPr>
                    <w:t>-N</w:t>
                  </w:r>
                </w:p>
              </w:tc>
              <w:tc>
                <w:tcPr>
                  <w:tcW w:w="1125"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firstLine="0" w:firstLineChars="0"/>
                    <w:jc w:val="center"/>
                    <w:rPr>
                      <w:rFonts w:hint="eastAsia" w:eastAsia="宋体"/>
                      <w:b/>
                      <w:szCs w:val="21"/>
                      <w:lang w:val="en-US" w:eastAsia="zh-CN"/>
                    </w:rPr>
                  </w:pPr>
                  <w:r>
                    <w:rPr>
                      <w:rFonts w:hint="eastAsia"/>
                      <w:b/>
                      <w:szCs w:val="21"/>
                      <w:lang w:val="en-US" w:eastAsia="zh-CN"/>
                    </w:rPr>
                    <w:t>总磷</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firstLine="0" w:firstLineChars="0"/>
                    <w:jc w:val="center"/>
                    <w:rPr>
                      <w:rFonts w:hint="eastAsia"/>
                      <w:b/>
                      <w:szCs w:val="21"/>
                    </w:rPr>
                  </w:pPr>
                  <w:r>
                    <w:rPr>
                      <w:rFonts w:hint="eastAsia"/>
                      <w:b/>
                      <w:szCs w:val="21"/>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restart"/>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Theme="minorEastAsia"/>
                      <w:bCs/>
                      <w:lang w:val="en-US" w:eastAsia="zh-CN"/>
                    </w:rPr>
                  </w:pPr>
                  <w:r>
                    <w:rPr>
                      <w:rFonts w:hint="eastAsia"/>
                      <w:bCs/>
                      <w:lang w:val="en-US" w:eastAsia="zh-CN"/>
                    </w:rPr>
                    <w:t>1#</w:t>
                  </w:r>
                </w:p>
              </w:tc>
              <w:tc>
                <w:tcPr>
                  <w:tcW w:w="924"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jc w:val="center"/>
                    <w:rPr>
                      <w:rFonts w:ascii="Times New Roman" w:hAnsi="Times New Roman"/>
                    </w:rPr>
                  </w:pPr>
                  <w:r>
                    <w:rPr>
                      <w:rFonts w:hint="eastAsia" w:ascii="Times New Roman" w:hAnsi="Times New Roman"/>
                    </w:rPr>
                    <w:t>实测值</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sz w:val="21"/>
                      <w:szCs w:val="21"/>
                      <w:lang w:val="en-US" w:eastAsia="zh-CN"/>
                    </w:rPr>
                    <w:t>7.98-8.13</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sz w:val="21"/>
                      <w:szCs w:val="21"/>
                      <w:lang w:val="en-US" w:eastAsia="zh-CN"/>
                    </w:rPr>
                    <w:t>4-5</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6-7</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1.2-1.5</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0.029-0.038</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0.03-0.04</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kern w:val="0"/>
                      <w:sz w:val="21"/>
                      <w:szCs w:val="21"/>
                      <w:lang w:val="en-US" w:eastAsia="zh-CN" w:bidi="ar-SA"/>
                    </w:rPr>
                  </w:pPr>
                  <w:r>
                    <w:rPr>
                      <w:rFonts w:hint="eastAsia"/>
                      <w:bCs/>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rFonts w:ascii="宋体" w:hAnsi="宋体" w:cs="宋体"/>
                    </w:rPr>
                  </w:pPr>
                </w:p>
              </w:tc>
              <w:tc>
                <w:tcPr>
                  <w:tcW w:w="924"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jc w:val="center"/>
                    <w:rPr>
                      <w:rFonts w:ascii="Times New Roman" w:hAnsi="Times New Roman"/>
                    </w:rPr>
                  </w:pPr>
                  <w:r>
                    <w:rPr>
                      <w:rFonts w:hint="eastAsia" w:ascii="Times New Roman" w:hAnsi="Times New Roman"/>
                    </w:rPr>
                    <w:t>标准值</w:t>
                  </w:r>
                </w:p>
              </w:tc>
              <w:tc>
                <w:tcPr>
                  <w:tcW w:w="1327" w:type="dxa"/>
                  <w:tcBorders>
                    <w:tl2br w:val="nil"/>
                    <w:tr2bl w:val="nil"/>
                  </w:tcBorders>
                  <w:noWrap w:val="0"/>
                  <w:vAlign w:val="center"/>
                </w:tcPr>
                <w:p>
                  <w:pPr>
                    <w:adjustRightInd w:val="0"/>
                    <w:snapToGrid w:val="0"/>
                    <w:jc w:val="center"/>
                    <w:rPr>
                      <w:rFonts w:asciiTheme="minorHAnsi" w:hAnsiTheme="minorHAnsi" w:eastAsiaTheme="minorEastAsia" w:cstheme="minorBidi"/>
                      <w:kern w:val="2"/>
                      <w:sz w:val="21"/>
                      <w:szCs w:val="21"/>
                      <w:lang w:val="en-US" w:eastAsia="zh-CN" w:bidi="ar-SA"/>
                    </w:rPr>
                  </w:pPr>
                  <w:r>
                    <w:rPr>
                      <w:rFonts w:hint="default" w:ascii="Times New Roman" w:hAnsi="Times New Roman" w:cs="Times New Roman"/>
                      <w:snapToGrid w:val="0"/>
                      <w:color w:val="auto"/>
                      <w:kern w:val="0"/>
                      <w:sz w:val="21"/>
                      <w:szCs w:val="21"/>
                    </w:rPr>
                    <w:t>6—9</w:t>
                  </w:r>
                </w:p>
              </w:tc>
              <w:tc>
                <w:tcPr>
                  <w:tcW w:w="765" w:type="dxa"/>
                  <w:tcBorders>
                    <w:tl2br w:val="nil"/>
                    <w:tr2bl w:val="nil"/>
                  </w:tcBorders>
                  <w:noWrap w:val="0"/>
                  <w:vAlign w:val="center"/>
                </w:tcPr>
                <w:p>
                  <w:pPr>
                    <w:adjustRightInd w:val="0"/>
                    <w:snapToGrid w:val="0"/>
                    <w:jc w:val="center"/>
                    <w:rPr>
                      <w:rFonts w:asciiTheme="minorHAnsi" w:hAnsiTheme="minorHAnsi" w:eastAsiaTheme="minorEastAsia" w:cstheme="minorBidi"/>
                      <w:kern w:val="2"/>
                      <w:sz w:val="21"/>
                      <w:szCs w:val="21"/>
                      <w:lang w:val="en-US" w:eastAsia="zh-CN" w:bidi="ar-SA"/>
                    </w:rPr>
                  </w:pPr>
                  <w:r>
                    <w:rPr>
                      <w:rFonts w:hint="default" w:ascii="Times New Roman" w:hAnsi="Times New Roman" w:cs="Times New Roman"/>
                      <w:b/>
                      <w:snapToGrid w:val="0"/>
                      <w:color w:val="auto"/>
                      <w:kern w:val="0"/>
                      <w:sz w:val="21"/>
                      <w:szCs w:val="21"/>
                    </w:rPr>
                    <w:t>/</w:t>
                  </w:r>
                </w:p>
              </w:tc>
              <w:tc>
                <w:tcPr>
                  <w:tcW w:w="1140" w:type="dxa"/>
                  <w:tcBorders>
                    <w:tl2br w:val="nil"/>
                    <w:tr2bl w:val="nil"/>
                  </w:tcBorders>
                  <w:noWrap w:val="0"/>
                  <w:vAlign w:val="center"/>
                </w:tcPr>
                <w:p>
                  <w:pPr>
                    <w:adjustRightInd w:val="0"/>
                    <w:snapToGrid w:val="0"/>
                    <w:jc w:val="center"/>
                    <w:rPr>
                      <w:rFonts w:hint="default"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15</w:t>
                  </w:r>
                </w:p>
              </w:tc>
              <w:tc>
                <w:tcPr>
                  <w:tcW w:w="1290" w:type="dxa"/>
                  <w:tcBorders>
                    <w:tl2br w:val="nil"/>
                    <w:tr2bl w:val="nil"/>
                  </w:tcBorders>
                  <w:noWrap w:val="0"/>
                  <w:vAlign w:val="center"/>
                </w:tcPr>
                <w:p>
                  <w:pPr>
                    <w:adjustRightInd w:val="0"/>
                    <w:snapToGrid w:val="0"/>
                    <w:jc w:val="center"/>
                    <w:rPr>
                      <w:rFonts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3</w:t>
                  </w:r>
                </w:p>
              </w:tc>
              <w:tc>
                <w:tcPr>
                  <w:tcW w:w="1365" w:type="dxa"/>
                  <w:tcBorders>
                    <w:tl2br w:val="nil"/>
                    <w:tr2bl w:val="nil"/>
                  </w:tcBorders>
                  <w:noWrap w:val="0"/>
                  <w:vAlign w:val="center"/>
                </w:tcPr>
                <w:p>
                  <w:pPr>
                    <w:adjustRightInd w:val="0"/>
                    <w:snapToGrid w:val="0"/>
                    <w:jc w:val="center"/>
                    <w:rPr>
                      <w:rFonts w:hint="default"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0.5</w:t>
                  </w:r>
                </w:p>
              </w:tc>
              <w:tc>
                <w:tcPr>
                  <w:tcW w:w="1125" w:type="dxa"/>
                  <w:tcBorders>
                    <w:tl2br w:val="nil"/>
                    <w:tr2bl w:val="nil"/>
                  </w:tcBorders>
                  <w:noWrap w:val="0"/>
                  <w:vAlign w:val="center"/>
                </w:tcPr>
                <w:p>
                  <w:pPr>
                    <w:adjustRightInd w:val="0"/>
                    <w:snapToGrid w:val="0"/>
                    <w:jc w:val="center"/>
                    <w:rPr>
                      <w:rFonts w:hint="default" w:eastAsia="宋体" w:asciiTheme="minorHAnsi" w:hAnsiTheme="minorHAnsi" w:cstheme="minorBidi"/>
                      <w:bCs/>
                      <w:kern w:val="2"/>
                      <w:sz w:val="21"/>
                      <w:szCs w:val="21"/>
                      <w:lang w:val="en-US" w:eastAsia="zh-CN" w:bidi="ar-SA"/>
                    </w:rPr>
                  </w:pPr>
                  <w:r>
                    <w:rPr>
                      <w:color w:val="000000"/>
                      <w:sz w:val="21"/>
                      <w:szCs w:val="21"/>
                    </w:rPr>
                    <w:t>≤</w:t>
                  </w:r>
                  <w:r>
                    <w:rPr>
                      <w:rFonts w:hint="eastAsia"/>
                      <w:color w:val="000000"/>
                      <w:sz w:val="21"/>
                      <w:szCs w:val="21"/>
                      <w:lang w:val="en-US" w:eastAsia="zh-CN"/>
                    </w:rPr>
                    <w:t>0.1</w:t>
                  </w:r>
                </w:p>
              </w:tc>
              <w:tc>
                <w:tcPr>
                  <w:tcW w:w="873"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rFonts w:hint="default" w:ascii="Times New Roman" w:hAnsi="Times New Roman" w:cs="Times New Roman"/>
                      <w:snapToGrid w:val="0"/>
                      <w:color w:val="auto"/>
                      <w:kern w:val="0"/>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jc w:val="center"/>
                    <w:rPr>
                      <w:rFonts w:ascii="Times New Roman" w:hAnsi="Times New Roman"/>
                    </w:rPr>
                  </w:pPr>
                  <w:r>
                    <w:rPr>
                      <w:kern w:val="0"/>
                      <w:sz w:val="24"/>
                      <w:szCs w:val="24"/>
                    </w:rPr>
                    <w:t>Pi</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0.49-0.565</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0.4-0.47</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0.4-0.5</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0.058-0.076</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0.3-0.4</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55" w:type="dxa"/>
                  <w:vMerge w:val="restart"/>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Theme="minorEastAsia"/>
                      <w:bCs/>
                      <w:lang w:val="en-US" w:eastAsia="zh-CN"/>
                    </w:rPr>
                  </w:pPr>
                  <w:r>
                    <w:rPr>
                      <w:rFonts w:hint="eastAsia"/>
                      <w:bCs/>
                      <w:lang w:val="en-US" w:eastAsia="zh-CN"/>
                    </w:rPr>
                    <w:t>2#</w:t>
                  </w: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pPr>
                  <w:r>
                    <w:rPr>
                      <w:rFonts w:hint="eastAsia"/>
                    </w:rPr>
                    <w:t>实测值</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sz w:val="21"/>
                      <w:szCs w:val="21"/>
                      <w:lang w:val="en-US" w:eastAsia="zh-CN"/>
                    </w:rPr>
                    <w:t>8.09-8.21</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sz w:val="21"/>
                      <w:szCs w:val="21"/>
                      <w:lang w:val="en-US" w:eastAsia="zh-CN"/>
                    </w:rPr>
                    <w:t>6-8</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8-9</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1.6-1.9</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0.071-0.077</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bCs/>
                      <w:sz w:val="21"/>
                      <w:szCs w:val="21"/>
                      <w:lang w:val="en-US" w:eastAsia="zh-CN"/>
                    </w:rPr>
                    <w:t>0.07-0.08</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ascii="Times New Roman" w:hAnsi="Times New Roman" w:eastAsia="宋体" w:cs="Times New Roman"/>
                      <w:bCs/>
                      <w:kern w:val="0"/>
                      <w:sz w:val="21"/>
                      <w:szCs w:val="21"/>
                      <w:lang w:val="en-US" w:eastAsia="zh-CN" w:bidi="ar-SA"/>
                    </w:rPr>
                  </w:pPr>
                  <w:r>
                    <w:rPr>
                      <w:rFonts w:hint="eastAsia"/>
                      <w:bCs/>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rFonts w:ascii="宋体" w:hAnsi="宋体" w:cs="宋体"/>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pPr>
                  <w:r>
                    <w:rPr>
                      <w:rFonts w:hint="eastAsia"/>
                    </w:rPr>
                    <w:t>标准值</w:t>
                  </w:r>
                </w:p>
              </w:tc>
              <w:tc>
                <w:tcPr>
                  <w:tcW w:w="1327" w:type="dxa"/>
                  <w:tcBorders>
                    <w:tl2br w:val="nil"/>
                    <w:tr2bl w:val="nil"/>
                  </w:tcBorders>
                  <w:noWrap w:val="0"/>
                  <w:vAlign w:val="center"/>
                </w:tcPr>
                <w:p>
                  <w:pPr>
                    <w:adjustRightInd w:val="0"/>
                    <w:snapToGrid w:val="0"/>
                    <w:jc w:val="center"/>
                    <w:rPr>
                      <w:rFonts w:asciiTheme="minorHAnsi" w:hAnsiTheme="minorHAnsi" w:eastAsiaTheme="minorEastAsia" w:cstheme="minorBidi"/>
                      <w:kern w:val="2"/>
                      <w:sz w:val="21"/>
                      <w:szCs w:val="21"/>
                      <w:lang w:val="en-US" w:eastAsia="zh-CN" w:bidi="ar-SA"/>
                    </w:rPr>
                  </w:pPr>
                  <w:r>
                    <w:rPr>
                      <w:rFonts w:hint="default" w:ascii="Times New Roman" w:hAnsi="Times New Roman" w:cs="Times New Roman"/>
                      <w:snapToGrid w:val="0"/>
                      <w:color w:val="auto"/>
                      <w:kern w:val="0"/>
                      <w:sz w:val="21"/>
                      <w:szCs w:val="21"/>
                    </w:rPr>
                    <w:t>6—9</w:t>
                  </w:r>
                </w:p>
              </w:tc>
              <w:tc>
                <w:tcPr>
                  <w:tcW w:w="765" w:type="dxa"/>
                  <w:tcBorders>
                    <w:tl2br w:val="nil"/>
                    <w:tr2bl w:val="nil"/>
                  </w:tcBorders>
                  <w:noWrap w:val="0"/>
                  <w:vAlign w:val="center"/>
                </w:tcPr>
                <w:p>
                  <w:pPr>
                    <w:adjustRightInd w:val="0"/>
                    <w:snapToGrid w:val="0"/>
                    <w:jc w:val="center"/>
                    <w:rPr>
                      <w:rFonts w:asciiTheme="minorHAnsi" w:hAnsiTheme="minorHAnsi" w:eastAsiaTheme="minorEastAsia" w:cstheme="minorBidi"/>
                      <w:kern w:val="2"/>
                      <w:sz w:val="21"/>
                      <w:szCs w:val="21"/>
                      <w:lang w:val="en-US" w:eastAsia="zh-CN" w:bidi="ar-SA"/>
                    </w:rPr>
                  </w:pPr>
                  <w:r>
                    <w:rPr>
                      <w:rFonts w:hint="default" w:ascii="Times New Roman" w:hAnsi="Times New Roman" w:cs="Times New Roman"/>
                      <w:b/>
                      <w:snapToGrid w:val="0"/>
                      <w:color w:val="auto"/>
                      <w:kern w:val="0"/>
                      <w:sz w:val="21"/>
                      <w:szCs w:val="21"/>
                    </w:rPr>
                    <w:t>/</w:t>
                  </w:r>
                </w:p>
              </w:tc>
              <w:tc>
                <w:tcPr>
                  <w:tcW w:w="1140" w:type="dxa"/>
                  <w:tcBorders>
                    <w:tl2br w:val="nil"/>
                    <w:tr2bl w:val="nil"/>
                  </w:tcBorders>
                  <w:noWrap w:val="0"/>
                  <w:vAlign w:val="center"/>
                </w:tcPr>
                <w:p>
                  <w:pPr>
                    <w:adjustRightInd w:val="0"/>
                    <w:snapToGrid w:val="0"/>
                    <w:jc w:val="center"/>
                    <w:rPr>
                      <w:rFonts w:hint="default"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15</w:t>
                  </w:r>
                </w:p>
              </w:tc>
              <w:tc>
                <w:tcPr>
                  <w:tcW w:w="1290" w:type="dxa"/>
                  <w:tcBorders>
                    <w:tl2br w:val="nil"/>
                    <w:tr2bl w:val="nil"/>
                  </w:tcBorders>
                  <w:noWrap w:val="0"/>
                  <w:vAlign w:val="center"/>
                </w:tcPr>
                <w:p>
                  <w:pPr>
                    <w:adjustRightInd w:val="0"/>
                    <w:snapToGrid w:val="0"/>
                    <w:jc w:val="center"/>
                    <w:rPr>
                      <w:rFonts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3</w:t>
                  </w:r>
                </w:p>
              </w:tc>
              <w:tc>
                <w:tcPr>
                  <w:tcW w:w="1365" w:type="dxa"/>
                  <w:tcBorders>
                    <w:tl2br w:val="nil"/>
                    <w:tr2bl w:val="nil"/>
                  </w:tcBorders>
                  <w:noWrap w:val="0"/>
                  <w:vAlign w:val="center"/>
                </w:tcPr>
                <w:p>
                  <w:pPr>
                    <w:adjustRightInd w:val="0"/>
                    <w:snapToGrid w:val="0"/>
                    <w:jc w:val="center"/>
                    <w:rPr>
                      <w:rFonts w:hint="default"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0.5</w:t>
                  </w:r>
                </w:p>
              </w:tc>
              <w:tc>
                <w:tcPr>
                  <w:tcW w:w="1125" w:type="dxa"/>
                  <w:tcBorders>
                    <w:tl2br w:val="nil"/>
                    <w:tr2bl w:val="nil"/>
                  </w:tcBorders>
                  <w:noWrap w:val="0"/>
                  <w:vAlign w:val="center"/>
                </w:tcPr>
                <w:p>
                  <w:pPr>
                    <w:adjustRightInd w:val="0"/>
                    <w:snapToGrid w:val="0"/>
                    <w:jc w:val="center"/>
                    <w:rPr>
                      <w:rFonts w:hint="default" w:eastAsia="宋体" w:asciiTheme="minorHAnsi" w:hAnsiTheme="minorHAnsi" w:cstheme="minorBidi"/>
                      <w:bCs/>
                      <w:kern w:val="2"/>
                      <w:sz w:val="21"/>
                      <w:szCs w:val="21"/>
                      <w:lang w:val="en-US" w:eastAsia="zh-CN" w:bidi="ar-SA"/>
                    </w:rPr>
                  </w:pPr>
                  <w:r>
                    <w:rPr>
                      <w:color w:val="000000"/>
                      <w:sz w:val="21"/>
                      <w:szCs w:val="21"/>
                    </w:rPr>
                    <w:t>≤</w:t>
                  </w:r>
                  <w:r>
                    <w:rPr>
                      <w:rFonts w:hint="eastAsia"/>
                      <w:color w:val="000000"/>
                      <w:sz w:val="21"/>
                      <w:szCs w:val="21"/>
                      <w:lang w:val="en-US" w:eastAsia="zh-CN"/>
                    </w:rPr>
                    <w:t>0.1</w:t>
                  </w:r>
                </w:p>
              </w:tc>
              <w:tc>
                <w:tcPr>
                  <w:tcW w:w="873"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rFonts w:hint="default" w:ascii="Times New Roman" w:hAnsi="Times New Roman" w:cs="Times New Roman"/>
                      <w:snapToGrid w:val="0"/>
                      <w:color w:val="auto"/>
                      <w:kern w:val="0"/>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pPr>
                  <w:r>
                    <w:rPr>
                      <w:kern w:val="0"/>
                      <w:sz w:val="24"/>
                      <w:szCs w:val="24"/>
                    </w:rPr>
                    <w:t>Pi</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0.545-0.605</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eastAsia" w:cstheme="minorBidi"/>
                      <w:kern w:val="2"/>
                      <w:sz w:val="21"/>
                      <w:szCs w:val="21"/>
                      <w:lang w:val="en-US" w:eastAsia="zh-CN" w:bidi="ar-SA"/>
                    </w:rPr>
                    <w:t>----</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0.53-0.6</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0.53-0.63</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0.142-0.154</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bCs/>
                      <w:kern w:val="2"/>
                      <w:sz w:val="21"/>
                      <w:szCs w:val="21"/>
                      <w:lang w:val="en-US" w:eastAsia="zh-CN" w:bidi="ar-SA"/>
                    </w:rPr>
                  </w:pPr>
                  <w:r>
                    <w:rPr>
                      <w:rFonts w:hint="eastAsia" w:eastAsia="宋体" w:cstheme="minorBidi"/>
                      <w:bCs/>
                      <w:kern w:val="2"/>
                      <w:sz w:val="21"/>
                      <w:szCs w:val="21"/>
                      <w:lang w:val="en-US" w:eastAsia="zh-CN" w:bidi="ar-SA"/>
                    </w:rPr>
                    <w:t>0.7-0.8</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restart"/>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Theme="minorEastAsia"/>
                      <w:bCs/>
                      <w:lang w:val="en-US" w:eastAsia="zh-CN"/>
                    </w:rPr>
                  </w:pPr>
                  <w:r>
                    <w:rPr>
                      <w:rFonts w:hint="eastAsia"/>
                      <w:bCs/>
                      <w:lang w:val="en-US" w:eastAsia="zh-CN"/>
                    </w:rPr>
                    <w:t>3#</w:t>
                  </w: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rFonts w:hint="eastAsia"/>
                    </w:rPr>
                    <w:t>实测值</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7.86-8.10</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cs="Times New Roman" w:eastAsiaTheme="minorEastAsia"/>
                      <w:b w:val="0"/>
                      <w:bCs/>
                      <w:snapToGrid w:val="0"/>
                      <w:color w:val="auto"/>
                      <w:kern w:val="0"/>
                      <w:sz w:val="21"/>
                      <w:szCs w:val="21"/>
                      <w:lang w:val="en-US" w:eastAsia="zh-CN" w:bidi="ar-SA"/>
                    </w:rPr>
                  </w:pPr>
                  <w:r>
                    <w:rPr>
                      <w:rFonts w:hint="eastAsia" w:ascii="Times New Roman" w:hAnsi="Times New Roman" w:cs="Times New Roman"/>
                      <w:b w:val="0"/>
                      <w:bCs/>
                      <w:snapToGrid w:val="0"/>
                      <w:color w:val="auto"/>
                      <w:kern w:val="0"/>
                      <w:sz w:val="21"/>
                      <w:szCs w:val="21"/>
                      <w:lang w:val="en-US" w:eastAsia="zh-CN"/>
                    </w:rPr>
                    <w:t>11-13</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9-12</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2.0-2.4</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0.063-0.069</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0.05-0.07</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ascii="Times New Roman" w:hAnsi="Times New Roman" w:eastAsia="宋体" w:cs="Times New Roman"/>
                      <w:bCs/>
                      <w:kern w:val="0"/>
                      <w:sz w:val="21"/>
                      <w:szCs w:val="21"/>
                      <w:lang w:val="en-US" w:eastAsia="zh-CN" w:bidi="ar-SA"/>
                    </w:rPr>
                  </w:pPr>
                  <w:r>
                    <w:rPr>
                      <w:rFonts w:hint="eastAsia"/>
                      <w:bCs/>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rFonts w:hint="eastAsia"/>
                    </w:rPr>
                    <w:t>标准值</w:t>
                  </w:r>
                </w:p>
              </w:tc>
              <w:tc>
                <w:tcPr>
                  <w:tcW w:w="1327"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kern w:val="2"/>
                      <w:sz w:val="21"/>
                      <w:szCs w:val="21"/>
                      <w:lang w:val="en-US" w:eastAsia="zh-CN" w:bidi="ar-SA"/>
                    </w:rPr>
                  </w:pPr>
                  <w:r>
                    <w:rPr>
                      <w:rFonts w:hint="default" w:ascii="Times New Roman" w:hAnsi="Times New Roman" w:cs="Times New Roman"/>
                      <w:snapToGrid w:val="0"/>
                      <w:color w:val="auto"/>
                      <w:kern w:val="0"/>
                      <w:sz w:val="21"/>
                      <w:szCs w:val="21"/>
                    </w:rPr>
                    <w:t>6—9</w:t>
                  </w:r>
                </w:p>
              </w:tc>
              <w:tc>
                <w:tcPr>
                  <w:tcW w:w="765" w:type="dxa"/>
                  <w:tcBorders>
                    <w:tl2br w:val="nil"/>
                    <w:tr2bl w:val="nil"/>
                  </w:tcBorders>
                  <w:noWrap w:val="0"/>
                  <w:vAlign w:val="center"/>
                </w:tcPr>
                <w:p>
                  <w:pPr>
                    <w:adjustRightInd w:val="0"/>
                    <w:snapToGrid w:val="0"/>
                    <w:jc w:val="center"/>
                    <w:rPr>
                      <w:rFonts w:hint="default" w:asciiTheme="minorHAnsi" w:hAnsiTheme="minorHAnsi" w:eastAsiaTheme="minorEastAsia" w:cstheme="minorBidi"/>
                      <w:b w:val="0"/>
                      <w:bCs/>
                      <w:kern w:val="2"/>
                      <w:sz w:val="21"/>
                      <w:szCs w:val="21"/>
                      <w:lang w:val="en-US" w:eastAsia="zh-CN" w:bidi="ar-SA"/>
                    </w:rPr>
                  </w:pPr>
                  <w:r>
                    <w:rPr>
                      <w:rFonts w:hint="default" w:ascii="Times New Roman" w:hAnsi="Times New Roman" w:cs="Times New Roman"/>
                      <w:b w:val="0"/>
                      <w:bCs/>
                      <w:snapToGrid w:val="0"/>
                      <w:color w:val="auto"/>
                      <w:kern w:val="0"/>
                      <w:sz w:val="21"/>
                      <w:szCs w:val="21"/>
                    </w:rPr>
                    <w:t>/</w:t>
                  </w:r>
                </w:p>
              </w:tc>
              <w:tc>
                <w:tcPr>
                  <w:tcW w:w="1140"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15</w:t>
                  </w:r>
                </w:p>
              </w:tc>
              <w:tc>
                <w:tcPr>
                  <w:tcW w:w="1290"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3</w:t>
                  </w:r>
                </w:p>
              </w:tc>
              <w:tc>
                <w:tcPr>
                  <w:tcW w:w="1365"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0.5</w:t>
                  </w:r>
                </w:p>
              </w:tc>
              <w:tc>
                <w:tcPr>
                  <w:tcW w:w="1125" w:type="dxa"/>
                  <w:tcBorders>
                    <w:tl2br w:val="nil"/>
                    <w:tr2bl w:val="nil"/>
                  </w:tcBorders>
                  <w:noWrap w:val="0"/>
                  <w:vAlign w:val="center"/>
                </w:tcPr>
                <w:p>
                  <w:pPr>
                    <w:adjustRightInd w:val="0"/>
                    <w:snapToGrid w:val="0"/>
                    <w:jc w:val="center"/>
                    <w:rPr>
                      <w:rFonts w:hint="eastAsia" w:eastAsia="宋体" w:asciiTheme="minorHAnsi" w:hAnsiTheme="minorHAnsi" w:cstheme="minorBidi"/>
                      <w:bCs/>
                      <w:kern w:val="2"/>
                      <w:sz w:val="21"/>
                      <w:szCs w:val="21"/>
                      <w:lang w:val="en-US" w:eastAsia="zh-CN" w:bidi="ar-SA"/>
                    </w:rPr>
                  </w:pPr>
                  <w:r>
                    <w:rPr>
                      <w:color w:val="000000"/>
                      <w:sz w:val="21"/>
                      <w:szCs w:val="21"/>
                    </w:rPr>
                    <w:t>≤</w:t>
                  </w:r>
                  <w:r>
                    <w:rPr>
                      <w:rFonts w:hint="eastAsia"/>
                      <w:color w:val="000000"/>
                      <w:sz w:val="21"/>
                      <w:szCs w:val="21"/>
                      <w:lang w:val="en-US" w:eastAsia="zh-CN"/>
                    </w:rPr>
                    <w:t>0.1</w:t>
                  </w:r>
                </w:p>
              </w:tc>
              <w:tc>
                <w:tcPr>
                  <w:tcW w:w="873"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rFonts w:hint="default" w:ascii="Times New Roman" w:hAnsi="Times New Roman" w:cs="Times New Roman"/>
                      <w:snapToGrid w:val="0"/>
                      <w:color w:val="auto"/>
                      <w:kern w:val="0"/>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kern w:val="0"/>
                      <w:sz w:val="24"/>
                      <w:szCs w:val="24"/>
                    </w:rPr>
                    <w:t>Pi</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0.43-0.55</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cs="Times New Roman" w:eastAsiaTheme="minorEastAsia"/>
                      <w:b w:val="0"/>
                      <w:bCs/>
                      <w:snapToGrid w:val="0"/>
                      <w:color w:val="auto"/>
                      <w:kern w:val="0"/>
                      <w:sz w:val="21"/>
                      <w:szCs w:val="21"/>
                      <w:lang w:val="en-US" w:eastAsia="zh-CN" w:bidi="ar-SA"/>
                    </w:rPr>
                  </w:pPr>
                  <w:r>
                    <w:rPr>
                      <w:rFonts w:hint="eastAsia" w:ascii="Times New Roman" w:hAnsi="Times New Roman" w:cs="Times New Roman"/>
                      <w:b w:val="0"/>
                      <w:bCs/>
                      <w:snapToGrid w:val="0"/>
                      <w:color w:val="auto"/>
                      <w:kern w:val="0"/>
                      <w:sz w:val="21"/>
                      <w:szCs w:val="21"/>
                      <w:lang w:val="en-US" w:eastAsia="zh-CN" w:bidi="ar-SA"/>
                    </w:rPr>
                    <w:t>----</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0.6-0.8</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0.67-0.8</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0.126-0.138</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0.5-0.7</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rFonts w:hint="default" w:eastAsiaTheme="minorEastAsia"/>
                      <w:bCs/>
                      <w:lang w:val="en-US" w:eastAsia="zh-CN"/>
                    </w:rPr>
                  </w:pPr>
                  <w:r>
                    <w:rPr>
                      <w:rFonts w:hint="eastAsia"/>
                      <w:bCs/>
                      <w:lang w:val="en-US" w:eastAsia="zh-CN"/>
                    </w:rPr>
                    <w:t>4#</w:t>
                  </w: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rFonts w:hint="eastAsia"/>
                    </w:rPr>
                    <w:t>实测值</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8.17-8.26</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cs="Times New Roman" w:eastAsiaTheme="minorEastAsia"/>
                      <w:b w:val="0"/>
                      <w:bCs/>
                      <w:snapToGrid w:val="0"/>
                      <w:color w:val="auto"/>
                      <w:kern w:val="0"/>
                      <w:sz w:val="21"/>
                      <w:szCs w:val="21"/>
                      <w:lang w:val="en-US" w:eastAsia="zh-CN" w:bidi="ar-SA"/>
                    </w:rPr>
                  </w:pPr>
                  <w:r>
                    <w:rPr>
                      <w:rFonts w:hint="eastAsia" w:ascii="Times New Roman" w:hAnsi="Times New Roman" w:cs="Times New Roman"/>
                      <w:b w:val="0"/>
                      <w:bCs/>
                      <w:snapToGrid w:val="0"/>
                      <w:color w:val="auto"/>
                      <w:kern w:val="0"/>
                      <w:sz w:val="21"/>
                      <w:szCs w:val="21"/>
                      <w:lang w:val="en-US" w:eastAsia="zh-CN"/>
                    </w:rPr>
                    <w:t>14-17</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5-7</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1.1-1.2</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0.269-0.291</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0.04</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ascii="Times New Roman" w:hAnsi="Times New Roman" w:eastAsia="宋体" w:cs="Times New Roman"/>
                      <w:bCs/>
                      <w:kern w:val="0"/>
                      <w:sz w:val="21"/>
                      <w:szCs w:val="21"/>
                      <w:lang w:val="en-US" w:eastAsia="zh-CN" w:bidi="ar-SA"/>
                    </w:rPr>
                  </w:pPr>
                  <w:r>
                    <w:rPr>
                      <w:rFonts w:hint="eastAsia"/>
                      <w:bCs/>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rFonts w:hint="eastAsia"/>
                    </w:rPr>
                    <w:t>标准值</w:t>
                  </w:r>
                </w:p>
              </w:tc>
              <w:tc>
                <w:tcPr>
                  <w:tcW w:w="1327"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kern w:val="2"/>
                      <w:sz w:val="21"/>
                      <w:szCs w:val="21"/>
                      <w:lang w:val="en-US" w:eastAsia="zh-CN" w:bidi="ar-SA"/>
                    </w:rPr>
                  </w:pPr>
                  <w:r>
                    <w:rPr>
                      <w:rFonts w:hint="default" w:ascii="Times New Roman" w:hAnsi="Times New Roman" w:cs="Times New Roman"/>
                      <w:snapToGrid w:val="0"/>
                      <w:color w:val="auto"/>
                      <w:kern w:val="0"/>
                      <w:sz w:val="21"/>
                      <w:szCs w:val="21"/>
                    </w:rPr>
                    <w:t>6—9</w:t>
                  </w:r>
                </w:p>
              </w:tc>
              <w:tc>
                <w:tcPr>
                  <w:tcW w:w="765" w:type="dxa"/>
                  <w:tcBorders>
                    <w:tl2br w:val="nil"/>
                    <w:tr2bl w:val="nil"/>
                  </w:tcBorders>
                  <w:noWrap w:val="0"/>
                  <w:vAlign w:val="center"/>
                </w:tcPr>
                <w:p>
                  <w:pPr>
                    <w:adjustRightInd w:val="0"/>
                    <w:snapToGrid w:val="0"/>
                    <w:jc w:val="center"/>
                    <w:rPr>
                      <w:rFonts w:hint="default" w:asciiTheme="minorHAnsi" w:hAnsiTheme="minorHAnsi" w:eastAsiaTheme="minorEastAsia" w:cstheme="minorBidi"/>
                      <w:b w:val="0"/>
                      <w:bCs/>
                      <w:kern w:val="2"/>
                      <w:sz w:val="21"/>
                      <w:szCs w:val="21"/>
                      <w:lang w:val="en-US" w:eastAsia="zh-CN" w:bidi="ar-SA"/>
                    </w:rPr>
                  </w:pPr>
                  <w:r>
                    <w:rPr>
                      <w:rFonts w:hint="default" w:ascii="Times New Roman" w:hAnsi="Times New Roman" w:cs="Times New Roman"/>
                      <w:b w:val="0"/>
                      <w:bCs/>
                      <w:snapToGrid w:val="0"/>
                      <w:color w:val="auto"/>
                      <w:kern w:val="0"/>
                      <w:sz w:val="21"/>
                      <w:szCs w:val="21"/>
                    </w:rPr>
                    <w:t>/</w:t>
                  </w:r>
                </w:p>
              </w:tc>
              <w:tc>
                <w:tcPr>
                  <w:tcW w:w="1140"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15</w:t>
                  </w:r>
                </w:p>
              </w:tc>
              <w:tc>
                <w:tcPr>
                  <w:tcW w:w="1290"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3</w:t>
                  </w:r>
                </w:p>
              </w:tc>
              <w:tc>
                <w:tcPr>
                  <w:tcW w:w="1365"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0.5</w:t>
                  </w:r>
                </w:p>
              </w:tc>
              <w:tc>
                <w:tcPr>
                  <w:tcW w:w="1125" w:type="dxa"/>
                  <w:tcBorders>
                    <w:tl2br w:val="nil"/>
                    <w:tr2bl w:val="nil"/>
                  </w:tcBorders>
                  <w:noWrap w:val="0"/>
                  <w:vAlign w:val="center"/>
                </w:tcPr>
                <w:p>
                  <w:pPr>
                    <w:adjustRightInd w:val="0"/>
                    <w:snapToGrid w:val="0"/>
                    <w:jc w:val="center"/>
                    <w:rPr>
                      <w:rFonts w:hint="eastAsia" w:eastAsia="宋体" w:asciiTheme="minorHAnsi" w:hAnsiTheme="minorHAnsi" w:cstheme="minorBidi"/>
                      <w:bCs/>
                      <w:kern w:val="2"/>
                      <w:sz w:val="21"/>
                      <w:szCs w:val="21"/>
                      <w:lang w:val="en-US" w:eastAsia="zh-CN" w:bidi="ar-SA"/>
                    </w:rPr>
                  </w:pPr>
                  <w:r>
                    <w:rPr>
                      <w:color w:val="000000"/>
                      <w:sz w:val="21"/>
                      <w:szCs w:val="21"/>
                    </w:rPr>
                    <w:t>≤</w:t>
                  </w:r>
                  <w:r>
                    <w:rPr>
                      <w:rFonts w:hint="eastAsia"/>
                      <w:color w:val="000000"/>
                      <w:sz w:val="21"/>
                      <w:szCs w:val="21"/>
                      <w:lang w:val="en-US" w:eastAsia="zh-CN"/>
                    </w:rPr>
                    <w:t>0.1</w:t>
                  </w:r>
                </w:p>
              </w:tc>
              <w:tc>
                <w:tcPr>
                  <w:tcW w:w="873"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rFonts w:hint="default" w:ascii="Times New Roman" w:hAnsi="Times New Roman" w:cs="Times New Roman"/>
                      <w:snapToGrid w:val="0"/>
                      <w:color w:val="auto"/>
                      <w:kern w:val="0"/>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kern w:val="0"/>
                      <w:sz w:val="24"/>
                      <w:szCs w:val="24"/>
                    </w:rPr>
                    <w:t>Pi</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0.585-0.63</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cs="Times New Roman" w:eastAsiaTheme="minorEastAsia"/>
                      <w:b w:val="0"/>
                      <w:bCs/>
                      <w:snapToGrid w:val="0"/>
                      <w:color w:val="auto"/>
                      <w:kern w:val="0"/>
                      <w:sz w:val="21"/>
                      <w:szCs w:val="21"/>
                      <w:lang w:val="en-US" w:eastAsia="zh-CN" w:bidi="ar-SA"/>
                    </w:rPr>
                  </w:pPr>
                  <w:r>
                    <w:rPr>
                      <w:rFonts w:hint="eastAsia" w:ascii="Times New Roman" w:hAnsi="Times New Roman" w:cs="Times New Roman"/>
                      <w:b w:val="0"/>
                      <w:bCs/>
                      <w:snapToGrid w:val="0"/>
                      <w:color w:val="auto"/>
                      <w:kern w:val="0"/>
                      <w:sz w:val="21"/>
                      <w:szCs w:val="21"/>
                      <w:lang w:val="en-US" w:eastAsia="zh-CN" w:bidi="ar-SA"/>
                    </w:rPr>
                    <w:t>----</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0.33-0.467</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0.367-0.4</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0.538-0.582</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0.4</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45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rFonts w:hint="default" w:eastAsiaTheme="minorEastAsia"/>
                      <w:bCs/>
                      <w:lang w:val="en-US" w:eastAsia="zh-CN"/>
                    </w:rPr>
                  </w:pPr>
                  <w:r>
                    <w:rPr>
                      <w:rFonts w:hint="eastAsia"/>
                      <w:bCs/>
                      <w:lang w:val="en-US" w:eastAsia="zh-CN"/>
                    </w:rPr>
                    <w:t>5#</w:t>
                  </w: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rFonts w:hint="eastAsia"/>
                    </w:rPr>
                    <w:t>实测值</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8.35-8.41</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cs="Times New Roman" w:eastAsiaTheme="minorEastAsia"/>
                      <w:b w:val="0"/>
                      <w:bCs/>
                      <w:snapToGrid w:val="0"/>
                      <w:color w:val="auto"/>
                      <w:kern w:val="0"/>
                      <w:sz w:val="21"/>
                      <w:szCs w:val="21"/>
                      <w:lang w:val="en-US" w:eastAsia="zh-CN" w:bidi="ar-SA"/>
                    </w:rPr>
                  </w:pPr>
                  <w:r>
                    <w:rPr>
                      <w:rFonts w:hint="eastAsia" w:ascii="Times New Roman" w:hAnsi="Times New Roman" w:cs="Times New Roman"/>
                      <w:b w:val="0"/>
                      <w:bCs/>
                      <w:snapToGrid w:val="0"/>
                      <w:color w:val="auto"/>
                      <w:kern w:val="0"/>
                      <w:sz w:val="21"/>
                      <w:szCs w:val="21"/>
                      <w:lang w:val="en-US" w:eastAsia="zh-CN"/>
                    </w:rPr>
                    <w:t>15-17</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7-9</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1.4-1.7</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0.294-0.303</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eastAsia="宋体" w:asciiTheme="minorHAnsi" w:hAnsiTheme="minorHAnsi" w:cstheme="minorBidi"/>
                      <w:kern w:val="2"/>
                      <w:sz w:val="21"/>
                      <w:szCs w:val="21"/>
                      <w:lang w:val="en-US" w:eastAsia="zh-CN" w:bidi="ar-SA"/>
                    </w:rPr>
                  </w:pPr>
                  <w:r>
                    <w:rPr>
                      <w:rFonts w:hint="eastAsia" w:eastAsia="宋体"/>
                      <w:sz w:val="21"/>
                      <w:szCs w:val="21"/>
                      <w:lang w:val="en-US" w:eastAsia="zh-CN"/>
                    </w:rPr>
                    <w:t>0.06-0.07</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eastAsia" w:ascii="Times New Roman" w:hAnsi="Times New Roman" w:eastAsia="宋体" w:cs="Times New Roman"/>
                      <w:bCs/>
                      <w:kern w:val="0"/>
                      <w:sz w:val="21"/>
                      <w:szCs w:val="21"/>
                      <w:lang w:val="en-US" w:eastAsia="zh-CN" w:bidi="ar-SA"/>
                    </w:rPr>
                  </w:pPr>
                  <w:r>
                    <w:rPr>
                      <w:rFonts w:hint="eastAsia"/>
                      <w:bCs/>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rFonts w:hint="eastAsia"/>
                    </w:rPr>
                    <w:t>标准值</w:t>
                  </w:r>
                </w:p>
              </w:tc>
              <w:tc>
                <w:tcPr>
                  <w:tcW w:w="1327"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kern w:val="2"/>
                      <w:sz w:val="21"/>
                      <w:szCs w:val="21"/>
                      <w:lang w:val="en-US" w:eastAsia="zh-CN" w:bidi="ar-SA"/>
                    </w:rPr>
                  </w:pPr>
                  <w:r>
                    <w:rPr>
                      <w:rFonts w:hint="default" w:ascii="Times New Roman" w:hAnsi="Times New Roman" w:cs="Times New Roman"/>
                      <w:snapToGrid w:val="0"/>
                      <w:color w:val="auto"/>
                      <w:kern w:val="0"/>
                      <w:sz w:val="21"/>
                      <w:szCs w:val="21"/>
                    </w:rPr>
                    <w:t>6—9</w:t>
                  </w:r>
                </w:p>
              </w:tc>
              <w:tc>
                <w:tcPr>
                  <w:tcW w:w="765" w:type="dxa"/>
                  <w:tcBorders>
                    <w:tl2br w:val="nil"/>
                    <w:tr2bl w:val="nil"/>
                  </w:tcBorders>
                  <w:noWrap w:val="0"/>
                  <w:vAlign w:val="center"/>
                </w:tcPr>
                <w:p>
                  <w:pPr>
                    <w:adjustRightInd w:val="0"/>
                    <w:snapToGrid w:val="0"/>
                    <w:jc w:val="center"/>
                    <w:rPr>
                      <w:rFonts w:hint="default" w:asciiTheme="minorHAnsi" w:hAnsiTheme="minorHAnsi" w:eastAsiaTheme="minorEastAsia" w:cstheme="minorBidi"/>
                      <w:b w:val="0"/>
                      <w:bCs/>
                      <w:kern w:val="2"/>
                      <w:sz w:val="21"/>
                      <w:szCs w:val="21"/>
                      <w:lang w:val="en-US" w:eastAsia="zh-CN" w:bidi="ar-SA"/>
                    </w:rPr>
                  </w:pPr>
                  <w:r>
                    <w:rPr>
                      <w:rFonts w:hint="default" w:ascii="Times New Roman" w:hAnsi="Times New Roman" w:cs="Times New Roman"/>
                      <w:b w:val="0"/>
                      <w:bCs/>
                      <w:snapToGrid w:val="0"/>
                      <w:color w:val="auto"/>
                      <w:kern w:val="0"/>
                      <w:sz w:val="21"/>
                      <w:szCs w:val="21"/>
                    </w:rPr>
                    <w:t>/</w:t>
                  </w:r>
                </w:p>
              </w:tc>
              <w:tc>
                <w:tcPr>
                  <w:tcW w:w="1140"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15</w:t>
                  </w:r>
                </w:p>
              </w:tc>
              <w:tc>
                <w:tcPr>
                  <w:tcW w:w="1290"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3</w:t>
                  </w:r>
                </w:p>
              </w:tc>
              <w:tc>
                <w:tcPr>
                  <w:tcW w:w="1365"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color w:val="000000"/>
                      <w:sz w:val="21"/>
                      <w:szCs w:val="21"/>
                    </w:rPr>
                    <w:t>≤</w:t>
                  </w:r>
                  <w:r>
                    <w:rPr>
                      <w:rFonts w:hint="eastAsia" w:cs="Times New Roman"/>
                      <w:snapToGrid w:val="0"/>
                      <w:color w:val="auto"/>
                      <w:kern w:val="0"/>
                      <w:sz w:val="21"/>
                      <w:szCs w:val="21"/>
                      <w:lang w:val="en-US" w:eastAsia="zh-CN"/>
                    </w:rPr>
                    <w:t>0.5</w:t>
                  </w:r>
                </w:p>
              </w:tc>
              <w:tc>
                <w:tcPr>
                  <w:tcW w:w="1125" w:type="dxa"/>
                  <w:tcBorders>
                    <w:tl2br w:val="nil"/>
                    <w:tr2bl w:val="nil"/>
                  </w:tcBorders>
                  <w:noWrap w:val="0"/>
                  <w:vAlign w:val="center"/>
                </w:tcPr>
                <w:p>
                  <w:pPr>
                    <w:adjustRightInd w:val="0"/>
                    <w:snapToGrid w:val="0"/>
                    <w:jc w:val="center"/>
                    <w:rPr>
                      <w:rFonts w:hint="eastAsia" w:eastAsia="宋体" w:asciiTheme="minorHAnsi" w:hAnsiTheme="minorHAnsi" w:cstheme="minorBidi"/>
                      <w:bCs/>
                      <w:kern w:val="2"/>
                      <w:sz w:val="21"/>
                      <w:szCs w:val="21"/>
                      <w:lang w:val="en-US" w:eastAsia="zh-CN" w:bidi="ar-SA"/>
                    </w:rPr>
                  </w:pPr>
                  <w:r>
                    <w:rPr>
                      <w:color w:val="000000"/>
                      <w:sz w:val="21"/>
                      <w:szCs w:val="21"/>
                    </w:rPr>
                    <w:t>≤</w:t>
                  </w:r>
                  <w:r>
                    <w:rPr>
                      <w:rFonts w:hint="eastAsia"/>
                      <w:color w:val="000000"/>
                      <w:sz w:val="21"/>
                      <w:szCs w:val="21"/>
                      <w:lang w:val="en-US" w:eastAsia="zh-CN"/>
                    </w:rPr>
                    <w:t>0.1</w:t>
                  </w:r>
                </w:p>
              </w:tc>
              <w:tc>
                <w:tcPr>
                  <w:tcW w:w="873" w:type="dxa"/>
                  <w:tcBorders>
                    <w:tl2br w:val="nil"/>
                    <w:tr2bl w:val="nil"/>
                  </w:tcBorders>
                  <w:noWrap w:val="0"/>
                  <w:vAlign w:val="center"/>
                </w:tcPr>
                <w:p>
                  <w:pPr>
                    <w:adjustRightInd w:val="0"/>
                    <w:snapToGrid w:val="0"/>
                    <w:jc w:val="center"/>
                    <w:rPr>
                      <w:rFonts w:hint="eastAsia" w:asciiTheme="minorHAnsi" w:hAnsiTheme="minorHAnsi" w:eastAsiaTheme="minorEastAsia" w:cstheme="minorBidi"/>
                      <w:bCs/>
                      <w:kern w:val="2"/>
                      <w:sz w:val="21"/>
                      <w:szCs w:val="21"/>
                      <w:lang w:val="en-US" w:eastAsia="zh-CN" w:bidi="ar-SA"/>
                    </w:rPr>
                  </w:pPr>
                  <w:r>
                    <w:rPr>
                      <w:rFonts w:hint="default" w:ascii="Times New Roman" w:hAnsi="Times New Roman" w:cs="Times New Roman"/>
                      <w:snapToGrid w:val="0"/>
                      <w:color w:val="auto"/>
                      <w:kern w:val="0"/>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jc w:val="center"/>
                    <w:rPr>
                      <w:bCs/>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asciiTheme="minorHAnsi" w:hAnsiTheme="minorHAnsi" w:eastAsiaTheme="minorEastAsia" w:cstheme="minorBidi"/>
                      <w:kern w:val="2"/>
                      <w:sz w:val="21"/>
                      <w:szCs w:val="24"/>
                      <w:lang w:val="en-US" w:eastAsia="zh-CN" w:bidi="ar-SA"/>
                    </w:rPr>
                  </w:pPr>
                  <w:r>
                    <w:rPr>
                      <w:kern w:val="0"/>
                      <w:sz w:val="24"/>
                      <w:szCs w:val="24"/>
                    </w:rPr>
                    <w:t>Pi</w:t>
                  </w:r>
                </w:p>
              </w:tc>
              <w:tc>
                <w:tcPr>
                  <w:tcW w:w="1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0.675-0.705</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cs="Times New Roman" w:eastAsiaTheme="minorEastAsia"/>
                      <w:b w:val="0"/>
                      <w:bCs/>
                      <w:snapToGrid w:val="0"/>
                      <w:color w:val="auto"/>
                      <w:kern w:val="0"/>
                      <w:sz w:val="21"/>
                      <w:szCs w:val="21"/>
                      <w:lang w:val="en-US" w:eastAsia="zh-CN" w:bidi="ar-SA"/>
                    </w:rPr>
                  </w:pPr>
                  <w:r>
                    <w:rPr>
                      <w:rFonts w:hint="eastAsia" w:ascii="Times New Roman" w:hAnsi="Times New Roman" w:cs="Times New Roman"/>
                      <w:b w:val="0"/>
                      <w:bCs/>
                      <w:snapToGrid w:val="0"/>
                      <w:color w:val="auto"/>
                      <w:kern w:val="0"/>
                      <w:sz w:val="21"/>
                      <w:szCs w:val="21"/>
                      <w:lang w:val="en-US" w:eastAsia="zh-CN" w:bidi="ar-SA"/>
                    </w:rPr>
                    <w:t>----</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0.467-0.6</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0.467-0.567</w:t>
                  </w:r>
                </w:p>
              </w:tc>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0.588-0.606</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eastAsia="宋体" w:asciiTheme="minorHAnsi" w:hAnsiTheme="minorHAnsi" w:cstheme="minorBidi"/>
                      <w:kern w:val="2"/>
                      <w:sz w:val="21"/>
                      <w:szCs w:val="21"/>
                      <w:lang w:val="en-US" w:eastAsia="zh-CN" w:bidi="ar-SA"/>
                    </w:rPr>
                  </w:pPr>
                  <w:r>
                    <w:rPr>
                      <w:rFonts w:hint="eastAsia" w:eastAsia="宋体" w:cstheme="minorBidi"/>
                      <w:kern w:val="2"/>
                      <w:sz w:val="21"/>
                      <w:szCs w:val="21"/>
                      <w:lang w:val="en-US" w:eastAsia="zh-CN" w:bidi="ar-SA"/>
                    </w:rPr>
                    <w:t>0.6-0.7</w:t>
                  </w:r>
                </w:p>
              </w:tc>
              <w:tc>
                <w:tcPr>
                  <w:tcW w:w="873" w:type="dxa"/>
                  <w:tcBorders>
                    <w:tl2br w:val="nil"/>
                    <w:tr2bl w:val="nil"/>
                  </w:tcBorders>
                  <w:noWrap w:val="0"/>
                  <w:vAlign w:val="center"/>
                </w:tcPr>
                <w:p>
                  <w:pPr>
                    <w:pStyle w:val="297"/>
                    <w:keepNext w:val="0"/>
                    <w:keepLines w:val="0"/>
                    <w:pageBreakBefore w:val="0"/>
                    <w:widowControl w:val="0"/>
                    <w:kinsoku/>
                    <w:wordWrap/>
                    <w:overflowPunct/>
                    <w:topLinePunct w:val="0"/>
                    <w:autoSpaceDE/>
                    <w:autoSpaceDN/>
                    <w:bidi w:val="0"/>
                    <w:adjustRightInd w:val="0"/>
                    <w:snapToGrid w:val="0"/>
                    <w:ind w:left="0" w:leftChars="0" w:firstLine="0" w:firstLineChars="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w:t>
                  </w:r>
                </w:p>
              </w:tc>
            </w:tr>
          </w:tbl>
          <w:p>
            <w:pPr>
              <w:pStyle w:val="3"/>
              <w:jc w:val="center"/>
              <w:rPr>
                <w:rFonts w:hint="default"/>
                <w:lang w:val="en-US" w:eastAsia="zh-CN"/>
              </w:rPr>
            </w:pPr>
          </w:p>
          <w:p>
            <w:pPr>
              <w:spacing w:line="360" w:lineRule="auto"/>
              <w:ind w:firstLine="480" w:firstLineChars="200"/>
              <w:jc w:val="left"/>
              <w:rPr>
                <w:rFonts w:ascii="Times New Roman" w:hAnsi="Times New Roman" w:cs="Times New Roman"/>
                <w:color w:val="000000" w:themeColor="text1"/>
                <w:sz w:val="24"/>
              </w:rPr>
            </w:pPr>
            <w:r>
              <w:rPr>
                <w:rFonts w:ascii="Times New Roman" w:cs="Times New Roman" w:hAnsiTheme="minorEastAsia"/>
                <w:bCs/>
                <w:color w:val="000000" w:themeColor="text1"/>
                <w:sz w:val="24"/>
              </w:rPr>
              <w:t>从监测结果可看出，在五项水质监测项目中，</w:t>
            </w:r>
            <w:r>
              <w:rPr>
                <w:rFonts w:ascii="Times New Roman" w:hAnsi="Times New Roman" w:cs="Times New Roman"/>
                <w:bCs/>
                <w:color w:val="000000" w:themeColor="text1"/>
                <w:sz w:val="24"/>
              </w:rPr>
              <w:t>COD</w:t>
            </w:r>
            <w:r>
              <w:rPr>
                <w:rFonts w:ascii="Times New Roman" w:cs="Times New Roman" w:hAnsiTheme="minorEastAsia"/>
                <w:bCs/>
                <w:color w:val="000000" w:themeColor="text1"/>
                <w:sz w:val="24"/>
              </w:rPr>
              <w:t>、</w:t>
            </w:r>
            <w:r>
              <w:rPr>
                <w:rFonts w:ascii="Times New Roman" w:hAnsi="Times New Roman" w:cs="Times New Roman"/>
                <w:bCs/>
                <w:color w:val="000000" w:themeColor="text1"/>
                <w:sz w:val="24"/>
              </w:rPr>
              <w:t>NH</w:t>
            </w:r>
            <w:r>
              <w:rPr>
                <w:rFonts w:ascii="Times New Roman" w:hAnsi="Times New Roman" w:cs="Times New Roman"/>
                <w:bCs/>
                <w:color w:val="000000" w:themeColor="text1"/>
                <w:sz w:val="24"/>
                <w:vertAlign w:val="subscript"/>
              </w:rPr>
              <w:t>3</w:t>
            </w:r>
            <w:r>
              <w:rPr>
                <w:rFonts w:ascii="Times New Roman" w:hAnsi="Times New Roman" w:cs="Times New Roman"/>
                <w:bCs/>
                <w:color w:val="000000" w:themeColor="text1"/>
                <w:sz w:val="24"/>
              </w:rPr>
              <w:t>-N</w:t>
            </w:r>
            <w:r>
              <w:rPr>
                <w:rFonts w:ascii="Times New Roman" w:cs="Times New Roman" w:hAnsiTheme="minorEastAsia"/>
                <w:bCs/>
                <w:color w:val="000000" w:themeColor="text1"/>
                <w:sz w:val="24"/>
              </w:rPr>
              <w:t>、生化需氧量、悬浮物</w:t>
            </w:r>
            <w:r>
              <w:rPr>
                <w:rFonts w:hint="eastAsia" w:ascii="Times New Roman" w:cs="Times New Roman" w:hAnsiTheme="minorEastAsia"/>
                <w:bCs/>
                <w:color w:val="000000" w:themeColor="text1"/>
                <w:sz w:val="24"/>
              </w:rPr>
              <w:t>、氨氮、总磷、石油类</w:t>
            </w:r>
            <w:r>
              <w:rPr>
                <w:rFonts w:ascii="Times New Roman" w:cs="Times New Roman" w:hAnsiTheme="minorEastAsia"/>
                <w:bCs/>
                <w:color w:val="000000" w:themeColor="text1"/>
                <w:sz w:val="24"/>
              </w:rPr>
              <w:t>均达标，这表明项目评价河段</w:t>
            </w:r>
            <w:r>
              <w:rPr>
                <w:rFonts w:hint="eastAsia" w:ascii="Times New Roman" w:cs="Times New Roman" w:hAnsiTheme="minorEastAsia"/>
                <w:bCs/>
                <w:color w:val="000000" w:themeColor="text1"/>
                <w:sz w:val="24"/>
              </w:rPr>
              <w:t>肖包寺河段为牟泥沟、安宏村岷江段，其</w:t>
            </w:r>
            <w:r>
              <w:rPr>
                <w:rFonts w:ascii="Times New Roman" w:cs="Times New Roman" w:hAnsiTheme="minorEastAsia"/>
                <w:bCs/>
                <w:color w:val="000000" w:themeColor="text1"/>
                <w:sz w:val="24"/>
              </w:rPr>
              <w:t>水质能够满足《地表水环境质量标准》（</w:t>
            </w:r>
            <w:r>
              <w:rPr>
                <w:rFonts w:ascii="Times New Roman" w:hAnsi="Times New Roman" w:cs="Times New Roman"/>
                <w:bCs/>
                <w:color w:val="000000" w:themeColor="text1"/>
                <w:sz w:val="24"/>
              </w:rPr>
              <w:t>GB3838-2002</w:t>
            </w:r>
            <w:r>
              <w:rPr>
                <w:rFonts w:ascii="Times New Roman" w:cs="Times New Roman" w:hAnsiTheme="minorEastAsia"/>
                <w:bCs/>
                <w:color w:val="000000" w:themeColor="text1"/>
                <w:sz w:val="24"/>
              </w:rPr>
              <w:t>）</w:t>
            </w:r>
            <w:r>
              <w:rPr>
                <w:rFonts w:ascii="Times New Roman" w:cs="Times New Roman" w:hAnsiTheme="minorEastAsia"/>
                <w:bCs/>
                <w:color w:val="000000" w:themeColor="text1"/>
                <w:sz w:val="24"/>
                <w:szCs w:val="24"/>
              </w:rPr>
              <w:t>中</w:t>
            </w:r>
            <w:r>
              <w:rPr>
                <w:rFonts w:hint="eastAsia" w:asciiTheme="minorEastAsia" w:hAnsiTheme="minorEastAsia" w:cstheme="minorEastAsia"/>
                <w:bCs/>
                <w:color w:val="000000" w:themeColor="text1"/>
                <w:sz w:val="24"/>
                <w:szCs w:val="24"/>
              </w:rPr>
              <w:t>Ⅱ类</w:t>
            </w:r>
            <w:r>
              <w:rPr>
                <w:rFonts w:ascii="Times New Roman" w:cs="Times New Roman" w:hAnsiTheme="minorEastAsia"/>
                <w:bCs/>
                <w:color w:val="000000" w:themeColor="text1"/>
                <w:sz w:val="24"/>
              </w:rPr>
              <w:t>标准要求</w:t>
            </w:r>
            <w:r>
              <w:rPr>
                <w:rFonts w:hint="eastAsia" w:ascii="Times New Roman" w:cs="Times New Roman" w:hAnsiTheme="minorEastAsia"/>
                <w:bCs/>
                <w:color w:val="000000" w:themeColor="text1"/>
                <w:sz w:val="24"/>
              </w:rPr>
              <w:t>，</w:t>
            </w:r>
            <w:r>
              <w:rPr>
                <w:rFonts w:ascii="Times New Roman" w:cs="Times New Roman" w:hAnsiTheme="minorEastAsia"/>
                <w:color w:val="000000" w:themeColor="text1"/>
                <w:sz w:val="24"/>
              </w:rPr>
              <w:t>总体来看，项目所在地地表水环境现状质量良好。</w:t>
            </w:r>
          </w:p>
          <w:p>
            <w:pPr>
              <w:spacing w:line="360" w:lineRule="auto"/>
              <w:jc w:val="left"/>
              <w:rPr>
                <w:rFonts w:ascii="Times New Roman" w:hAnsi="Times New Roman" w:cs="Times New Roman"/>
                <w:b/>
                <w:color w:val="000000" w:themeColor="text1"/>
                <w:sz w:val="24"/>
              </w:rPr>
            </w:pPr>
            <w:r>
              <w:rPr>
                <w:rFonts w:hint="eastAsia" w:ascii="Times New Roman" w:hAnsi="Times New Roman" w:cs="Times New Roman"/>
                <w:b/>
                <w:color w:val="000000" w:themeColor="text1"/>
                <w:sz w:val="24"/>
              </w:rPr>
              <w:t>三、声环境现状评价</w:t>
            </w:r>
          </w:p>
          <w:p>
            <w:pPr>
              <w:spacing w:line="360" w:lineRule="auto"/>
              <w:ind w:firstLine="480" w:firstLineChars="200"/>
              <w:rPr>
                <w:rFonts w:ascii="Times New Roman" w:cs="Times New Roman"/>
                <w:sz w:val="24"/>
              </w:rPr>
            </w:pPr>
            <w:r>
              <w:rPr>
                <w:rFonts w:hint="eastAsia" w:ascii="Times New Roman" w:hAnsi="Times New Roman" w:cs="Times New Roman"/>
                <w:sz w:val="24"/>
              </w:rPr>
              <w:t>为掌握区域内声环境质量现状情况，本次环境空气现状评价采用实测，由四川中斯诺检测服务有限公司于5月31日-6月3日对项目区域内敏感点进行实测，监测结果如下：</w:t>
            </w:r>
          </w:p>
          <w:p>
            <w:pPr>
              <w:keepNext/>
              <w:keepLines/>
              <w:spacing w:line="360" w:lineRule="auto"/>
              <w:ind w:firstLine="480" w:firstLineChars="200"/>
              <w:jc w:val="left"/>
              <w:textAlignment w:val="center"/>
              <w:rPr>
                <w:rFonts w:ascii="Times New Roman" w:cs="Times New Roman"/>
                <w:sz w:val="24"/>
              </w:rPr>
            </w:pPr>
            <w:r>
              <w:rPr>
                <w:rFonts w:hint="eastAsia" w:ascii="Times New Roman" w:cs="Times New Roman"/>
                <w:sz w:val="24"/>
              </w:rPr>
              <w:t>1、监测点位布设</w:t>
            </w:r>
          </w:p>
          <w:p>
            <w:pPr>
              <w:keepNext/>
              <w:keepLines/>
              <w:spacing w:line="360" w:lineRule="auto"/>
              <w:ind w:firstLine="480" w:firstLineChars="200"/>
              <w:jc w:val="left"/>
              <w:textAlignment w:val="center"/>
              <w:rPr>
                <w:rFonts w:ascii="Times New Roman" w:cs="Times New Roman"/>
                <w:sz w:val="24"/>
              </w:rPr>
            </w:pPr>
            <w:r>
              <w:rPr>
                <w:rFonts w:hint="eastAsia" w:ascii="Times New Roman" w:cs="Times New Roman"/>
                <w:sz w:val="24"/>
              </w:rPr>
              <w:t>共设12个噪声监测点位，具体位置见表</w:t>
            </w:r>
            <w:r>
              <w:rPr>
                <w:rFonts w:ascii="Times New Roman" w:cs="Times New Roman"/>
                <w:sz w:val="24"/>
              </w:rPr>
              <w:t>3-</w:t>
            </w:r>
            <w:r>
              <w:rPr>
                <w:rFonts w:hint="eastAsia" w:ascii="Times New Roman" w:cs="Times New Roman"/>
                <w:sz w:val="24"/>
                <w:lang w:val="en-US" w:eastAsia="zh-CN"/>
              </w:rPr>
              <w:t>5</w:t>
            </w:r>
            <w:r>
              <w:rPr>
                <w:rFonts w:hint="eastAsia" w:ascii="Times New Roman" w:cs="Times New Roman"/>
                <w:sz w:val="24"/>
              </w:rPr>
              <w:t>和附图2。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w:t>
            </w:r>
            <w:r>
              <w:rPr>
                <w:rFonts w:hint="eastAsia" w:asciiTheme="minorEastAsia" w:hAnsiTheme="minorEastAsia" w:cstheme="minorEastAsia"/>
                <w:b/>
                <w:sz w:val="21"/>
                <w:szCs w:val="21"/>
                <w:lang w:val="en-US" w:eastAsia="zh-CN"/>
              </w:rPr>
              <w:t>5</w:t>
            </w:r>
            <w:r>
              <w:rPr>
                <w:rFonts w:hint="eastAsia" w:asciiTheme="minorEastAsia" w:hAnsiTheme="minorEastAsia" w:eastAsiaTheme="minorEastAsia" w:cstheme="minorEastAsia"/>
                <w:b/>
                <w:sz w:val="21"/>
                <w:szCs w:val="21"/>
                <w:lang w:val="en-US" w:eastAsia="zh-CN"/>
              </w:rPr>
              <w:t xml:space="preserve"> 噪声监测布点</w:t>
            </w:r>
          </w:p>
          <w:tbl>
            <w:tblPr>
              <w:tblStyle w:val="51"/>
              <w:tblW w:w="90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5289"/>
              <w:gridCol w:w="2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vAlign w:val="center"/>
                </w:tcPr>
                <w:p>
                  <w:pPr>
                    <w:adjustRightInd w:val="0"/>
                    <w:snapToGrid w:val="0"/>
                    <w:jc w:val="center"/>
                    <w:rPr>
                      <w:b/>
                      <w:szCs w:val="21"/>
                    </w:rPr>
                  </w:pPr>
                  <w:r>
                    <w:rPr>
                      <w:rFonts w:hAnsi="宋体"/>
                      <w:b/>
                      <w:szCs w:val="21"/>
                    </w:rPr>
                    <w:t>编号</w:t>
                  </w:r>
                </w:p>
              </w:tc>
              <w:tc>
                <w:tcPr>
                  <w:tcW w:w="5289" w:type="dxa"/>
                  <w:tcBorders>
                    <w:tl2br w:val="nil"/>
                    <w:tr2bl w:val="nil"/>
                  </w:tcBorders>
                  <w:vAlign w:val="center"/>
                </w:tcPr>
                <w:p>
                  <w:pPr>
                    <w:adjustRightInd w:val="0"/>
                    <w:snapToGrid w:val="0"/>
                    <w:jc w:val="center"/>
                    <w:rPr>
                      <w:b/>
                      <w:szCs w:val="21"/>
                    </w:rPr>
                  </w:pPr>
                  <w:r>
                    <w:rPr>
                      <w:rFonts w:hAnsi="宋体"/>
                      <w:b/>
                      <w:szCs w:val="21"/>
                    </w:rPr>
                    <w:t>监测点位置</w:t>
                  </w:r>
                </w:p>
              </w:tc>
              <w:tc>
                <w:tcPr>
                  <w:tcW w:w="2322" w:type="dxa"/>
                  <w:tcBorders>
                    <w:tl2br w:val="nil"/>
                    <w:tr2bl w:val="nil"/>
                  </w:tcBorders>
                  <w:vAlign w:val="center"/>
                </w:tcPr>
                <w:p>
                  <w:pPr>
                    <w:adjustRightInd w:val="0"/>
                    <w:snapToGrid w:val="0"/>
                    <w:jc w:val="center"/>
                    <w:rPr>
                      <w:rFonts w:hAnsi="宋体"/>
                      <w:b/>
                      <w:szCs w:val="21"/>
                    </w:rPr>
                  </w:pPr>
                  <w:r>
                    <w:rPr>
                      <w:rFonts w:hint="eastAsia" w:hAnsi="宋体"/>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0"/>
                    <w:ind w:firstLine="210"/>
                    <w:jc w:val="center"/>
                    <w:rPr>
                      <w:rFonts w:ascii="Times New Roman" w:hAnsi="Times New Roman" w:eastAsia="Times New Roman" w:cs="Times New Roman"/>
                      <w:sz w:val="21"/>
                      <w:szCs w:val="21"/>
                      <w:lang w:eastAsia="zh-CN"/>
                    </w:rPr>
                  </w:pPr>
                  <w:r>
                    <w:rPr>
                      <w:rFonts w:ascii="Times New Roman"/>
                      <w:sz w:val="21"/>
                      <w:lang w:eastAsia="zh-CN"/>
                    </w:rPr>
                    <w:t>N1</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肖包寺村安全饮水项目起点敏感点</w:t>
                  </w:r>
                </w:p>
              </w:tc>
              <w:tc>
                <w:tcPr>
                  <w:tcW w:w="2322" w:type="dxa"/>
                  <w:vMerge w:val="restart"/>
                  <w:tcBorders>
                    <w:tl2br w:val="nil"/>
                    <w:tr2bl w:val="nil"/>
                  </w:tcBorders>
                  <w:vAlign w:val="center"/>
                </w:tcPr>
                <w:p>
                  <w:pPr>
                    <w:jc w:val="center"/>
                    <w:rPr>
                      <w:bCs/>
                      <w:szCs w:val="21"/>
                    </w:rPr>
                  </w:pPr>
                  <w:r>
                    <w:rPr>
                      <w:rFonts w:hint="eastAsia"/>
                      <w:szCs w:val="21"/>
                    </w:rPr>
                    <w:t>界外1m，高度1.2m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hAnsi="Times New Roman" w:eastAsia="Times New Roman" w:cs="Times New Roman"/>
                      <w:sz w:val="21"/>
                      <w:szCs w:val="21"/>
                      <w:lang w:eastAsia="zh-CN"/>
                    </w:rPr>
                  </w:pPr>
                  <w:r>
                    <w:rPr>
                      <w:rFonts w:ascii="Times New Roman"/>
                      <w:sz w:val="21"/>
                      <w:lang w:eastAsia="zh-CN"/>
                    </w:rPr>
                    <w:t>N2</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肖包寺村安全饮水项目工程中点敏感点</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hAnsi="Times New Roman" w:eastAsia="Times New Roman" w:cs="Times New Roman"/>
                      <w:sz w:val="21"/>
                      <w:szCs w:val="21"/>
                      <w:lang w:eastAsia="zh-CN"/>
                    </w:rPr>
                  </w:pPr>
                  <w:r>
                    <w:rPr>
                      <w:rFonts w:ascii="Times New Roman"/>
                      <w:sz w:val="21"/>
                      <w:lang w:eastAsia="zh-CN"/>
                    </w:rPr>
                    <w:t>N3</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肖包寺村安全饮水项目工程终点敏感点</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N4</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肖包寺村饮水工程建设项目终点附近居民点1</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5</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肖包寺村饮水工程建设项目终点附近居民点2</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6</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安宏村饮水工程附近居民点1</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7</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安宏村饮水工程附近居民点2</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8</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烟囱村饮水工程起点居民敏感点</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9</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烟囱村饮水工程终点居民敏感点1</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10</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烟囱村饮水工程终点居民敏感点2</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11</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西宁关村饮水工程终点居民敏感点1</w:t>
                  </w:r>
                </w:p>
              </w:tc>
              <w:tc>
                <w:tcPr>
                  <w:tcW w:w="2322" w:type="dxa"/>
                  <w:vMerge w:val="continue"/>
                  <w:tcBorders>
                    <w:tl2br w:val="nil"/>
                    <w:tr2bl w:val="nil"/>
                  </w:tcBorders>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10" w:type="dxa"/>
                  <w:tcBorders>
                    <w:tl2br w:val="nil"/>
                    <w:tr2bl w:val="nil"/>
                  </w:tcBorders>
                </w:tcPr>
                <w:p>
                  <w:pPr>
                    <w:pStyle w:val="311"/>
                    <w:spacing w:before="77"/>
                    <w:ind w:firstLine="210"/>
                    <w:jc w:val="center"/>
                    <w:rPr>
                      <w:rFonts w:ascii="Times New Roman"/>
                      <w:sz w:val="21"/>
                      <w:lang w:eastAsia="zh-CN"/>
                    </w:rPr>
                  </w:pPr>
                  <w:r>
                    <w:rPr>
                      <w:rFonts w:ascii="Times New Roman"/>
                      <w:sz w:val="21"/>
                      <w:lang w:eastAsia="zh-CN"/>
                    </w:rPr>
                    <w:t>N</w:t>
                  </w:r>
                  <w:r>
                    <w:rPr>
                      <w:rFonts w:hint="eastAsia" w:ascii="Times New Roman"/>
                      <w:sz w:val="21"/>
                      <w:lang w:eastAsia="zh-CN"/>
                    </w:rPr>
                    <w:t>12</w:t>
                  </w:r>
                </w:p>
              </w:tc>
              <w:tc>
                <w:tcPr>
                  <w:tcW w:w="5289" w:type="dxa"/>
                  <w:tcBorders>
                    <w:tl2br w:val="nil"/>
                    <w:tr2bl w:val="nil"/>
                  </w:tcBorders>
                  <w:vAlign w:val="center"/>
                </w:tcPr>
                <w:p>
                  <w:pPr>
                    <w:jc w:val="center"/>
                    <w:rPr>
                      <w:rFonts w:ascii="宋体" w:hAnsi="宋体" w:eastAsia="宋体" w:cs="宋体"/>
                      <w:szCs w:val="21"/>
                    </w:rPr>
                  </w:pPr>
                  <w:r>
                    <w:rPr>
                      <w:rFonts w:hint="eastAsia" w:ascii="Times New Roman" w:hAnsi="Times New Roman" w:cs="Times New Roman"/>
                      <w:szCs w:val="21"/>
                    </w:rPr>
                    <w:t>西宁关村饮水工程终点居民敏感点2</w:t>
                  </w:r>
                </w:p>
              </w:tc>
              <w:tc>
                <w:tcPr>
                  <w:tcW w:w="2322" w:type="dxa"/>
                  <w:vMerge w:val="continue"/>
                  <w:tcBorders>
                    <w:tl2br w:val="nil"/>
                    <w:tr2bl w:val="nil"/>
                  </w:tcBorders>
                  <w:vAlign w:val="center"/>
                </w:tcPr>
                <w:p>
                  <w:pPr>
                    <w:jc w:val="center"/>
                    <w:rPr>
                      <w:bCs/>
                      <w:szCs w:val="21"/>
                    </w:rPr>
                  </w:pPr>
                </w:p>
              </w:tc>
            </w:tr>
          </w:tbl>
          <w:p>
            <w:pPr>
              <w:spacing w:line="360" w:lineRule="auto"/>
              <w:ind w:firstLine="480" w:firstLineChars="200"/>
              <w:textAlignment w:val="center"/>
              <w:rPr>
                <w:rFonts w:ascii="Times New Roman" w:cs="Times New Roman"/>
                <w:sz w:val="24"/>
              </w:rPr>
            </w:pPr>
            <w:r>
              <w:rPr>
                <w:rFonts w:hint="eastAsia" w:ascii="Times New Roman" w:cs="Times New Roman"/>
                <w:sz w:val="24"/>
              </w:rPr>
              <w:t>（</w:t>
            </w:r>
            <w:r>
              <w:rPr>
                <w:rFonts w:ascii="Times New Roman" w:cs="Times New Roman"/>
                <w:sz w:val="24"/>
              </w:rPr>
              <w:t>2</w:t>
            </w:r>
            <w:r>
              <w:rPr>
                <w:rFonts w:hint="eastAsia" w:ascii="Times New Roman" w:cs="Times New Roman"/>
                <w:sz w:val="24"/>
              </w:rPr>
              <w:t>）监测因子</w:t>
            </w:r>
          </w:p>
          <w:p>
            <w:pPr>
              <w:spacing w:line="360" w:lineRule="auto"/>
              <w:ind w:firstLine="480" w:firstLineChars="200"/>
              <w:textAlignment w:val="center"/>
              <w:rPr>
                <w:rFonts w:ascii="Times New Roman" w:cs="Times New Roman"/>
                <w:sz w:val="24"/>
              </w:rPr>
            </w:pPr>
            <w:r>
              <w:rPr>
                <w:rFonts w:hint="eastAsia" w:ascii="Times New Roman" w:cs="Times New Roman"/>
                <w:sz w:val="24"/>
              </w:rPr>
              <w:t>等效连续</w:t>
            </w:r>
            <w:r>
              <w:rPr>
                <w:rFonts w:ascii="Times New Roman" w:cs="Times New Roman"/>
                <w:sz w:val="24"/>
              </w:rPr>
              <w:t>A</w:t>
            </w:r>
            <w:r>
              <w:rPr>
                <w:rFonts w:hint="eastAsia" w:ascii="Times New Roman" w:cs="Times New Roman"/>
                <w:sz w:val="24"/>
              </w:rPr>
              <w:t>声级，</w:t>
            </w:r>
            <w:r>
              <w:rPr>
                <w:rFonts w:ascii="Times New Roman" w:cs="Times New Roman"/>
                <w:sz w:val="24"/>
              </w:rPr>
              <w:t>dB</w:t>
            </w:r>
            <w:r>
              <w:rPr>
                <w:rFonts w:hint="eastAsia" w:ascii="Times New Roman" w:cs="Times New Roman"/>
                <w:sz w:val="24"/>
              </w:rPr>
              <w:t>（</w:t>
            </w:r>
            <w:r>
              <w:rPr>
                <w:rFonts w:ascii="Times New Roman" w:cs="Times New Roman"/>
                <w:sz w:val="24"/>
              </w:rPr>
              <w:t>A</w:t>
            </w:r>
            <w:r>
              <w:rPr>
                <w:rFonts w:hint="eastAsia" w:ascii="Times New Roman" w:cs="Times New Roman"/>
                <w:sz w:val="24"/>
              </w:rPr>
              <w:t>）；</w:t>
            </w:r>
          </w:p>
          <w:p>
            <w:pPr>
              <w:spacing w:line="360" w:lineRule="auto"/>
              <w:ind w:firstLine="480" w:firstLineChars="200"/>
              <w:textAlignment w:val="center"/>
              <w:rPr>
                <w:rFonts w:ascii="Times New Roman" w:cs="Times New Roman"/>
                <w:sz w:val="24"/>
              </w:rPr>
            </w:pPr>
            <w:r>
              <w:rPr>
                <w:rFonts w:hint="eastAsia" w:ascii="Times New Roman" w:cs="Times New Roman"/>
                <w:sz w:val="24"/>
              </w:rPr>
              <w:t>（</w:t>
            </w:r>
            <w:r>
              <w:rPr>
                <w:rFonts w:ascii="Times New Roman" w:cs="Times New Roman"/>
                <w:sz w:val="24"/>
              </w:rPr>
              <w:t>3</w:t>
            </w:r>
            <w:r>
              <w:rPr>
                <w:rFonts w:hint="eastAsia" w:ascii="Times New Roman" w:cs="Times New Roman"/>
                <w:sz w:val="24"/>
              </w:rPr>
              <w:t>）监测时间及频率</w:t>
            </w:r>
          </w:p>
          <w:p>
            <w:pPr>
              <w:spacing w:line="360" w:lineRule="auto"/>
              <w:ind w:firstLine="480" w:firstLineChars="200"/>
              <w:textAlignment w:val="center"/>
              <w:rPr>
                <w:rFonts w:ascii="Times New Roman" w:cs="Times New Roman"/>
                <w:sz w:val="24"/>
              </w:rPr>
            </w:pPr>
            <w:r>
              <w:rPr>
                <w:rFonts w:hint="eastAsia" w:ascii="Times New Roman" w:cs="Times New Roman"/>
                <w:sz w:val="24"/>
              </w:rPr>
              <w:t>监测时间：</w:t>
            </w:r>
            <w:r>
              <w:rPr>
                <w:rFonts w:ascii="Times New Roman" w:cs="Times New Roman"/>
                <w:sz w:val="24"/>
              </w:rPr>
              <w:t>20</w:t>
            </w:r>
            <w:r>
              <w:rPr>
                <w:rFonts w:hint="eastAsia" w:ascii="Times New Roman" w:cs="Times New Roman"/>
                <w:sz w:val="24"/>
              </w:rPr>
              <w:t>20年5月31日-6月3日。</w:t>
            </w:r>
          </w:p>
          <w:p>
            <w:pPr>
              <w:spacing w:line="360" w:lineRule="auto"/>
              <w:ind w:firstLine="480" w:firstLineChars="200"/>
              <w:textAlignment w:val="center"/>
              <w:rPr>
                <w:rFonts w:ascii="Times New Roman" w:cs="Times New Roman"/>
                <w:sz w:val="24"/>
              </w:rPr>
            </w:pPr>
            <w:r>
              <w:rPr>
                <w:rFonts w:hint="eastAsia" w:ascii="Times New Roman" w:cs="Times New Roman"/>
                <w:sz w:val="24"/>
              </w:rPr>
              <w:t>监测频率：监测各点位昼间及夜间的等效连续</w:t>
            </w:r>
            <w:r>
              <w:rPr>
                <w:rFonts w:ascii="Times New Roman" w:cs="Times New Roman"/>
                <w:sz w:val="24"/>
              </w:rPr>
              <w:t>A</w:t>
            </w:r>
            <w:r>
              <w:rPr>
                <w:rFonts w:hint="eastAsia" w:ascii="Times New Roman" w:cs="Times New Roman"/>
                <w:sz w:val="24"/>
              </w:rPr>
              <w:t>声级，监测2天，昼、夜各一次。</w:t>
            </w:r>
          </w:p>
          <w:p>
            <w:pPr>
              <w:spacing w:line="360" w:lineRule="auto"/>
              <w:ind w:firstLine="480" w:firstLineChars="200"/>
              <w:textAlignment w:val="center"/>
              <w:rPr>
                <w:rFonts w:ascii="Times New Roman" w:cs="Times New Roman"/>
                <w:sz w:val="24"/>
              </w:rPr>
            </w:pPr>
            <w:r>
              <w:rPr>
                <w:rFonts w:hint="eastAsia" w:ascii="Times New Roman" w:cs="Times New Roman"/>
                <w:sz w:val="24"/>
              </w:rPr>
              <w:t>（</w:t>
            </w:r>
            <w:r>
              <w:rPr>
                <w:rFonts w:ascii="Times New Roman" w:cs="Times New Roman"/>
                <w:sz w:val="24"/>
              </w:rPr>
              <w:t>4</w:t>
            </w:r>
            <w:r>
              <w:rPr>
                <w:rFonts w:hint="eastAsia" w:ascii="Times New Roman" w:cs="Times New Roman"/>
                <w:sz w:val="24"/>
              </w:rPr>
              <w:t>）监测方法及方法来源</w:t>
            </w:r>
          </w:p>
          <w:p>
            <w:pPr>
              <w:spacing w:line="360" w:lineRule="auto"/>
              <w:ind w:firstLine="480" w:firstLineChars="200"/>
              <w:textAlignment w:val="center"/>
              <w:rPr>
                <w:rFonts w:ascii="Times New Roman" w:cs="Times New Roman"/>
                <w:sz w:val="24"/>
              </w:rPr>
            </w:pPr>
            <w:r>
              <w:rPr>
                <w:rFonts w:hint="eastAsia" w:ascii="Times New Roman" w:cs="Times New Roman"/>
                <w:sz w:val="24"/>
              </w:rPr>
              <w:t>监测项目的监测方法、方法来源、使用仪器及检出限见下表。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w:t>
            </w:r>
            <w:r>
              <w:rPr>
                <w:rFonts w:hint="eastAsia" w:asciiTheme="minorEastAsia" w:hAnsiTheme="minorEastAsia" w:cstheme="minorEastAsia"/>
                <w:b/>
                <w:sz w:val="21"/>
                <w:szCs w:val="21"/>
                <w:lang w:val="en-US" w:eastAsia="zh-CN"/>
              </w:rPr>
              <w:t>6</w:t>
            </w:r>
            <w:r>
              <w:rPr>
                <w:rFonts w:hint="eastAsia" w:asciiTheme="minorEastAsia" w:hAnsiTheme="minorEastAsia" w:eastAsiaTheme="minorEastAsia" w:cstheme="minorEastAsia"/>
                <w:b/>
                <w:sz w:val="21"/>
                <w:szCs w:val="21"/>
                <w:lang w:val="en-US" w:eastAsia="zh-CN"/>
              </w:rPr>
              <w:t xml:space="preserve">  声环境监测方法、方法来源、使用仪器及检出限</w:t>
            </w:r>
          </w:p>
          <w:tbl>
            <w:tblPr>
              <w:tblStyle w:val="51"/>
              <w:tblpPr w:leftFromText="180" w:rightFromText="180" w:vertAnchor="text" w:tblpXSpec="center" w:tblpY="1"/>
              <w:tblOverlap w:val="never"/>
              <w:tblW w:w="9423" w:type="dxa"/>
              <w:tblInd w:w="0" w:type="dxa"/>
              <w:tblBorders>
                <w:top w:val="single" w:color="000000" w:sz="4" w:space="0"/>
                <w:left w:val="none" w:color="auto" w:sz="0" w:space="0"/>
                <w:bottom w:val="single" w:color="000000" w:sz="2" w:space="0"/>
                <w:right w:val="none" w:color="auto" w:sz="0" w:space="0"/>
                <w:insideH w:val="single" w:color="000000" w:sz="4" w:space="0"/>
                <w:insideV w:val="single" w:color="000000" w:sz="2" w:space="0"/>
              </w:tblBorders>
              <w:tblLayout w:type="fixed"/>
              <w:tblCellMar>
                <w:top w:w="0" w:type="dxa"/>
                <w:left w:w="28" w:type="dxa"/>
                <w:bottom w:w="0" w:type="dxa"/>
                <w:right w:w="28" w:type="dxa"/>
              </w:tblCellMar>
            </w:tblPr>
            <w:tblGrid>
              <w:gridCol w:w="1236"/>
              <w:gridCol w:w="2184"/>
              <w:gridCol w:w="1706"/>
              <w:gridCol w:w="3162"/>
              <w:gridCol w:w="1135"/>
            </w:tblGrid>
            <w:tr>
              <w:tblPrEx>
                <w:tblBorders>
                  <w:top w:val="single" w:color="000000" w:sz="4" w:space="0"/>
                  <w:left w:val="none" w:color="auto" w:sz="0" w:space="0"/>
                  <w:bottom w:val="single" w:color="000000" w:sz="2" w:space="0"/>
                  <w:right w:val="none" w:color="auto" w:sz="0" w:space="0"/>
                  <w:insideH w:val="single" w:color="000000" w:sz="4" w:space="0"/>
                  <w:insideV w:val="single" w:color="000000" w:sz="2" w:space="0"/>
                </w:tblBorders>
                <w:tblCellMar>
                  <w:top w:w="0" w:type="dxa"/>
                  <w:left w:w="28" w:type="dxa"/>
                  <w:bottom w:w="0" w:type="dxa"/>
                  <w:right w:w="28" w:type="dxa"/>
                </w:tblCellMar>
              </w:tblPrEx>
              <w:trPr>
                <w:cantSplit/>
                <w:trHeight w:val="340" w:hRule="atLeast"/>
              </w:trPr>
              <w:tc>
                <w:tcPr>
                  <w:tcW w:w="1236" w:type="dxa"/>
                  <w:tcBorders>
                    <w:tl2br w:val="nil"/>
                    <w:tr2bl w:val="nil"/>
                  </w:tcBorders>
                  <w:vAlign w:val="center"/>
                </w:tcPr>
                <w:p>
                  <w:pPr>
                    <w:pStyle w:val="108"/>
                    <w:rPr>
                      <w:rFonts w:ascii="Times New Roman" w:hAnsi="Times New Roman" w:eastAsiaTheme="minorEastAsia"/>
                      <w:b/>
                      <w:szCs w:val="21"/>
                    </w:rPr>
                  </w:pPr>
                  <w:r>
                    <w:rPr>
                      <w:rFonts w:ascii="Times New Roman" w:hAnsiTheme="minorEastAsia" w:eastAsiaTheme="minorEastAsia"/>
                      <w:b/>
                      <w:szCs w:val="21"/>
                    </w:rPr>
                    <w:t>项目</w:t>
                  </w:r>
                </w:p>
              </w:tc>
              <w:tc>
                <w:tcPr>
                  <w:tcW w:w="2184" w:type="dxa"/>
                  <w:tcBorders>
                    <w:tl2br w:val="nil"/>
                    <w:tr2bl w:val="nil"/>
                  </w:tcBorders>
                  <w:vAlign w:val="center"/>
                </w:tcPr>
                <w:p>
                  <w:pPr>
                    <w:pStyle w:val="108"/>
                    <w:rPr>
                      <w:rFonts w:ascii="Times New Roman" w:hAnsi="Times New Roman" w:eastAsiaTheme="minorEastAsia"/>
                      <w:b/>
                      <w:szCs w:val="21"/>
                    </w:rPr>
                  </w:pPr>
                  <w:r>
                    <w:rPr>
                      <w:rFonts w:ascii="Times New Roman" w:hAnsiTheme="minorEastAsia" w:eastAsiaTheme="minorEastAsia"/>
                      <w:b/>
                      <w:szCs w:val="21"/>
                    </w:rPr>
                    <w:t>监测方法</w:t>
                  </w:r>
                </w:p>
              </w:tc>
              <w:tc>
                <w:tcPr>
                  <w:tcW w:w="1706" w:type="dxa"/>
                  <w:tcBorders>
                    <w:tl2br w:val="nil"/>
                    <w:tr2bl w:val="nil"/>
                  </w:tcBorders>
                  <w:vAlign w:val="center"/>
                </w:tcPr>
                <w:p>
                  <w:pPr>
                    <w:pStyle w:val="108"/>
                    <w:rPr>
                      <w:rFonts w:ascii="Times New Roman" w:hAnsi="Times New Roman" w:eastAsiaTheme="minorEastAsia"/>
                      <w:b/>
                      <w:szCs w:val="21"/>
                    </w:rPr>
                  </w:pPr>
                  <w:r>
                    <w:rPr>
                      <w:rFonts w:ascii="Times New Roman" w:hAnsiTheme="minorEastAsia" w:eastAsiaTheme="minorEastAsia"/>
                      <w:b/>
                      <w:szCs w:val="21"/>
                    </w:rPr>
                    <w:t>方法来源</w:t>
                  </w:r>
                </w:p>
              </w:tc>
              <w:tc>
                <w:tcPr>
                  <w:tcW w:w="3162" w:type="dxa"/>
                  <w:tcBorders>
                    <w:tl2br w:val="nil"/>
                    <w:tr2bl w:val="nil"/>
                  </w:tcBorders>
                  <w:vAlign w:val="center"/>
                </w:tcPr>
                <w:p>
                  <w:pPr>
                    <w:pStyle w:val="108"/>
                    <w:rPr>
                      <w:rFonts w:ascii="Times New Roman" w:hAnsi="Times New Roman" w:eastAsiaTheme="minorEastAsia"/>
                      <w:b/>
                      <w:szCs w:val="21"/>
                    </w:rPr>
                  </w:pPr>
                  <w:r>
                    <w:rPr>
                      <w:rFonts w:ascii="Times New Roman" w:hAnsiTheme="minorEastAsia" w:eastAsiaTheme="minorEastAsia"/>
                      <w:b/>
                      <w:szCs w:val="21"/>
                    </w:rPr>
                    <w:t>使用仪器及编号</w:t>
                  </w:r>
                </w:p>
              </w:tc>
              <w:tc>
                <w:tcPr>
                  <w:tcW w:w="1135" w:type="dxa"/>
                  <w:tcBorders>
                    <w:tl2br w:val="nil"/>
                    <w:tr2bl w:val="nil"/>
                  </w:tcBorders>
                  <w:vAlign w:val="center"/>
                </w:tcPr>
                <w:p>
                  <w:pPr>
                    <w:pStyle w:val="108"/>
                    <w:rPr>
                      <w:rFonts w:ascii="Times New Roman" w:hAnsi="Times New Roman" w:eastAsiaTheme="minorEastAsia"/>
                      <w:b/>
                      <w:szCs w:val="21"/>
                    </w:rPr>
                  </w:pPr>
                  <w:r>
                    <w:rPr>
                      <w:rFonts w:ascii="Times New Roman" w:hAnsiTheme="minorEastAsia" w:eastAsiaTheme="minorEastAsia"/>
                      <w:b/>
                      <w:szCs w:val="21"/>
                    </w:rPr>
                    <w:t>检出限</w:t>
                  </w:r>
                </w:p>
              </w:tc>
            </w:tr>
            <w:tr>
              <w:tblPrEx>
                <w:tblBorders>
                  <w:top w:val="single" w:color="000000" w:sz="4" w:space="0"/>
                  <w:left w:val="none" w:color="auto" w:sz="0" w:space="0"/>
                  <w:bottom w:val="single" w:color="000000" w:sz="2" w:space="0"/>
                  <w:right w:val="none" w:color="auto" w:sz="0" w:space="0"/>
                  <w:insideH w:val="single" w:color="000000" w:sz="4" w:space="0"/>
                  <w:insideV w:val="single" w:color="000000" w:sz="2" w:space="0"/>
                </w:tblBorders>
                <w:tblCellMar>
                  <w:top w:w="0" w:type="dxa"/>
                  <w:left w:w="28" w:type="dxa"/>
                  <w:bottom w:w="0" w:type="dxa"/>
                  <w:right w:w="28" w:type="dxa"/>
                </w:tblCellMar>
              </w:tblPrEx>
              <w:trPr>
                <w:cantSplit/>
                <w:trHeight w:val="340" w:hRule="atLeast"/>
              </w:trPr>
              <w:tc>
                <w:tcPr>
                  <w:tcW w:w="1236" w:type="dxa"/>
                  <w:tcBorders>
                    <w:tl2br w:val="nil"/>
                    <w:tr2bl w:val="nil"/>
                  </w:tcBorders>
                  <w:vAlign w:val="center"/>
                </w:tcPr>
                <w:p>
                  <w:pPr>
                    <w:pStyle w:val="108"/>
                    <w:rPr>
                      <w:rFonts w:ascii="Times New Roman" w:hAnsi="Times New Roman" w:eastAsiaTheme="minorEastAsia"/>
                      <w:szCs w:val="21"/>
                    </w:rPr>
                  </w:pPr>
                  <w:r>
                    <w:rPr>
                      <w:rFonts w:ascii="Times New Roman" w:hAnsiTheme="minorEastAsia" w:eastAsiaTheme="minorEastAsia"/>
                      <w:szCs w:val="21"/>
                    </w:rPr>
                    <w:t>环境噪声</w:t>
                  </w:r>
                </w:p>
              </w:tc>
              <w:tc>
                <w:tcPr>
                  <w:tcW w:w="2184" w:type="dxa"/>
                  <w:tcBorders>
                    <w:tl2br w:val="nil"/>
                    <w:tr2bl w:val="nil"/>
                  </w:tcBorders>
                  <w:vAlign w:val="center"/>
                </w:tcPr>
                <w:p>
                  <w:pPr>
                    <w:pStyle w:val="108"/>
                    <w:rPr>
                      <w:rFonts w:ascii="Times New Roman" w:hAnsi="Times New Roman" w:eastAsiaTheme="minorEastAsia"/>
                      <w:szCs w:val="21"/>
                    </w:rPr>
                  </w:pPr>
                  <w:r>
                    <w:rPr>
                      <w:rFonts w:ascii="Times New Roman" w:hAnsiTheme="minorEastAsia" w:eastAsiaTheme="minorEastAsia"/>
                      <w:szCs w:val="21"/>
                    </w:rPr>
                    <w:t>声环境质量标准</w:t>
                  </w:r>
                </w:p>
              </w:tc>
              <w:tc>
                <w:tcPr>
                  <w:tcW w:w="1706" w:type="dxa"/>
                  <w:tcBorders>
                    <w:tl2br w:val="nil"/>
                    <w:tr2bl w:val="nil"/>
                  </w:tcBorders>
                  <w:vAlign w:val="center"/>
                </w:tcPr>
                <w:p>
                  <w:pPr>
                    <w:pStyle w:val="108"/>
                    <w:rPr>
                      <w:rFonts w:ascii="Times New Roman" w:hAnsi="Times New Roman" w:eastAsiaTheme="minorEastAsia"/>
                      <w:szCs w:val="21"/>
                    </w:rPr>
                  </w:pPr>
                  <w:r>
                    <w:rPr>
                      <w:rFonts w:ascii="Times New Roman" w:hAnsi="Times New Roman" w:eastAsiaTheme="minorEastAsia"/>
                      <w:szCs w:val="21"/>
                    </w:rPr>
                    <w:t>GB3096-2008</w:t>
                  </w:r>
                </w:p>
              </w:tc>
              <w:tc>
                <w:tcPr>
                  <w:tcW w:w="3162" w:type="dxa"/>
                  <w:tcBorders>
                    <w:tl2br w:val="nil"/>
                    <w:tr2bl w:val="nil"/>
                  </w:tcBorders>
                  <w:vAlign w:val="center"/>
                </w:tcPr>
                <w:p>
                  <w:pPr>
                    <w:pStyle w:val="108"/>
                    <w:rPr>
                      <w:rFonts w:ascii="Times New Roman" w:hAnsi="Times New Roman" w:eastAsiaTheme="minorEastAsia"/>
                      <w:szCs w:val="21"/>
                    </w:rPr>
                  </w:pPr>
                  <w:r>
                    <w:rPr>
                      <w:rFonts w:hint="eastAsia" w:ascii="Times New Roman" w:hAnsi="Times New Roman" w:eastAsiaTheme="minorEastAsia"/>
                      <w:szCs w:val="21"/>
                    </w:rPr>
                    <w:t>多功能声级计</w:t>
                  </w:r>
                  <w:r>
                    <w:rPr>
                      <w:rFonts w:ascii="Times New Roman" w:hAnsi="Times New Roman" w:eastAsiaTheme="minorEastAsia"/>
                      <w:szCs w:val="21"/>
                    </w:rPr>
                    <w:t>AWA6228  XS194</w:t>
                  </w:r>
                </w:p>
              </w:tc>
              <w:tc>
                <w:tcPr>
                  <w:tcW w:w="1135" w:type="dxa"/>
                  <w:tcBorders>
                    <w:tl2br w:val="nil"/>
                    <w:tr2bl w:val="nil"/>
                  </w:tcBorders>
                  <w:vAlign w:val="center"/>
                </w:tcPr>
                <w:p>
                  <w:pPr>
                    <w:pStyle w:val="108"/>
                    <w:rPr>
                      <w:rFonts w:ascii="Times New Roman" w:hAnsi="Times New Roman" w:eastAsiaTheme="minorEastAsia"/>
                      <w:szCs w:val="21"/>
                    </w:rPr>
                  </w:pPr>
                  <w:r>
                    <w:rPr>
                      <w:rFonts w:ascii="Times New Roman" w:hAnsi="Times New Roman" w:eastAsiaTheme="minorEastAsia"/>
                      <w:szCs w:val="21"/>
                    </w:rPr>
                    <w:t>/</w:t>
                  </w:r>
                </w:p>
              </w:tc>
            </w:tr>
          </w:tbl>
          <w:p>
            <w:pPr>
              <w:spacing w:before="156" w:beforeLines="50" w:line="360" w:lineRule="auto"/>
              <w:ind w:firstLine="480" w:firstLineChars="200"/>
              <w:rPr>
                <w:rFonts w:ascii="Times New Roman" w:hAnsi="Times New Roman" w:cs="Times New Roman"/>
                <w:sz w:val="24"/>
              </w:rPr>
            </w:pPr>
            <w:r>
              <w:rPr>
                <w:rFonts w:ascii="Times New Roman" w:cs="Times New Roman" w:hAnsiTheme="minorEastAsia"/>
                <w:sz w:val="24"/>
              </w:rPr>
              <w:t>（</w:t>
            </w:r>
            <w:r>
              <w:rPr>
                <w:rFonts w:ascii="Times New Roman" w:hAnsi="Times New Roman" w:cs="Times New Roman"/>
                <w:sz w:val="24"/>
              </w:rPr>
              <w:t>5</w:t>
            </w:r>
            <w:r>
              <w:rPr>
                <w:rFonts w:ascii="Times New Roman" w:cs="Times New Roman" w:hAnsiTheme="minorEastAsia"/>
                <w:sz w:val="24"/>
              </w:rPr>
              <w:t>）监测结果评价</w:t>
            </w:r>
          </w:p>
          <w:p>
            <w:pPr>
              <w:spacing w:line="360" w:lineRule="auto"/>
              <w:ind w:firstLine="600" w:firstLineChars="250"/>
              <w:rPr>
                <w:rFonts w:ascii="Times New Roman" w:hAnsi="Times New Roman" w:cs="Times New Roman"/>
                <w:bCs/>
                <w:sz w:val="24"/>
              </w:rPr>
            </w:pPr>
            <w:r>
              <w:rPr>
                <w:rFonts w:ascii="Times New Roman" w:cs="Times New Roman" w:hAnsiTheme="minorEastAsia"/>
                <w:bCs/>
                <w:sz w:val="24"/>
              </w:rPr>
              <w:t>监测结果评价见表3-</w:t>
            </w:r>
            <w:r>
              <w:rPr>
                <w:rFonts w:hint="eastAsia" w:ascii="Times New Roman" w:cs="Times New Roman" w:hAnsiTheme="minorEastAsia"/>
                <w:bCs/>
                <w:sz w:val="24"/>
                <w:lang w:val="en-US" w:eastAsia="zh-CN"/>
              </w:rPr>
              <w:t>7</w:t>
            </w:r>
            <w:r>
              <w:rPr>
                <w:rFonts w:ascii="Times New Roman" w:cs="Times New Roman" w:hAnsiTheme="minorEastAsia"/>
                <w:bCs/>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w:t>
            </w:r>
            <w:r>
              <w:rPr>
                <w:rFonts w:hint="eastAsia" w:asciiTheme="minorEastAsia" w:hAnsiTheme="minorEastAsia" w:cstheme="minorEastAsia"/>
                <w:b/>
                <w:sz w:val="21"/>
                <w:szCs w:val="21"/>
                <w:lang w:val="en-US" w:eastAsia="zh-CN"/>
              </w:rPr>
              <w:t>7</w:t>
            </w:r>
            <w:r>
              <w:rPr>
                <w:rFonts w:hint="eastAsia" w:asciiTheme="minorEastAsia" w:hAnsiTheme="minorEastAsia" w:eastAsiaTheme="minorEastAsia" w:cstheme="minorEastAsia"/>
                <w:b/>
                <w:sz w:val="21"/>
                <w:szCs w:val="21"/>
                <w:lang w:val="en-US" w:eastAsia="zh-CN"/>
              </w:rPr>
              <w:t xml:space="preserve">噪声监测结果评价表   </w:t>
            </w:r>
          </w:p>
          <w:tbl>
            <w:tblPr>
              <w:tblStyle w:val="52"/>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4421"/>
              <w:gridCol w:w="870"/>
              <w:gridCol w:w="761"/>
              <w:gridCol w:w="1046"/>
              <w:gridCol w:w="1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vMerge w:val="restart"/>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点位</w:t>
                  </w:r>
                </w:p>
                <w:p>
                  <w:pPr>
                    <w:spacing w:line="240" w:lineRule="exact"/>
                    <w:jc w:val="center"/>
                    <w:rPr>
                      <w:rFonts w:ascii="Times New Roman" w:hAnsi="Times New Roman" w:cs="Times New Roman"/>
                      <w:szCs w:val="21"/>
                    </w:rPr>
                  </w:pPr>
                  <w:r>
                    <w:rPr>
                      <w:rFonts w:ascii="Times New Roman" w:hAnsi="Times New Roman" w:cs="Times New Roman"/>
                      <w:szCs w:val="21"/>
                    </w:rPr>
                    <w:t>编号</w:t>
                  </w:r>
                </w:p>
              </w:tc>
              <w:tc>
                <w:tcPr>
                  <w:tcW w:w="4421" w:type="dxa"/>
                  <w:vMerge w:val="restart"/>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点位</w:t>
                  </w:r>
                </w:p>
                <w:p>
                  <w:pPr>
                    <w:spacing w:line="240" w:lineRule="exact"/>
                    <w:jc w:val="center"/>
                    <w:rPr>
                      <w:rFonts w:ascii="Times New Roman" w:hAnsi="Times New Roman" w:cs="Times New Roman"/>
                      <w:szCs w:val="21"/>
                    </w:rPr>
                  </w:pPr>
                  <w:r>
                    <w:rPr>
                      <w:rFonts w:ascii="Times New Roman" w:hAnsi="Times New Roman" w:cs="Times New Roman"/>
                      <w:szCs w:val="21"/>
                    </w:rPr>
                    <w:t>名称</w:t>
                  </w:r>
                </w:p>
              </w:tc>
              <w:tc>
                <w:tcPr>
                  <w:tcW w:w="1631" w:type="dxa"/>
                  <w:gridSpan w:val="2"/>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月</w:t>
                  </w:r>
                  <w:r>
                    <w:rPr>
                      <w:rFonts w:hint="eastAsia" w:ascii="Times New Roman" w:hAnsi="Times New Roman" w:cs="Times New Roman"/>
                      <w:szCs w:val="21"/>
                    </w:rPr>
                    <w:t>31</w:t>
                  </w:r>
                  <w:r>
                    <w:rPr>
                      <w:rFonts w:ascii="Times New Roman" w:hAnsi="Times New Roman" w:cs="Times New Roman"/>
                      <w:szCs w:val="21"/>
                    </w:rPr>
                    <w:t>日</w:t>
                  </w:r>
                </w:p>
              </w:tc>
              <w:tc>
                <w:tcPr>
                  <w:tcW w:w="2093" w:type="dxa"/>
                  <w:gridSpan w:val="2"/>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月</w:t>
                  </w:r>
                  <w:r>
                    <w:rPr>
                      <w:rFonts w:hint="eastAsia" w:ascii="Times New Roman" w:hAnsi="Times New Roman" w:cs="Times New Roman"/>
                      <w:szCs w:val="21"/>
                    </w:rPr>
                    <w:t>1</w:t>
                  </w:r>
                  <w:r>
                    <w:rPr>
                      <w:rFonts w:ascii="Times New Roman" w:hAnsi="Times New Roman" w:cs="Times New Roman"/>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vMerge w:val="continue"/>
                  <w:tcBorders>
                    <w:tl2br w:val="nil"/>
                    <w:tr2bl w:val="nil"/>
                  </w:tcBorders>
                  <w:vAlign w:val="center"/>
                </w:tcPr>
                <w:p>
                  <w:pPr>
                    <w:spacing w:line="240" w:lineRule="exact"/>
                    <w:jc w:val="center"/>
                    <w:rPr>
                      <w:rFonts w:ascii="Times New Roman" w:hAnsi="Times New Roman" w:cs="Times New Roman"/>
                      <w:szCs w:val="21"/>
                    </w:rPr>
                  </w:pPr>
                </w:p>
              </w:tc>
              <w:tc>
                <w:tcPr>
                  <w:tcW w:w="4421" w:type="dxa"/>
                  <w:vMerge w:val="continue"/>
                  <w:tcBorders>
                    <w:tl2br w:val="nil"/>
                    <w:tr2bl w:val="nil"/>
                  </w:tcBorders>
                  <w:vAlign w:val="center"/>
                </w:tcPr>
                <w:p>
                  <w:pPr>
                    <w:spacing w:line="240" w:lineRule="exact"/>
                    <w:jc w:val="center"/>
                    <w:rPr>
                      <w:rFonts w:ascii="Times New Roman" w:hAnsi="Times New Roman" w:cs="Times New Roman"/>
                      <w:szCs w:val="21"/>
                    </w:rPr>
                  </w:pPr>
                </w:p>
              </w:tc>
              <w:tc>
                <w:tcPr>
                  <w:tcW w:w="87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761"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夜间</w:t>
                  </w:r>
                </w:p>
              </w:tc>
              <w:tc>
                <w:tcPr>
                  <w:tcW w:w="104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104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1#</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肖包寺村安全饮水项目起点敏感点</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44</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41</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45</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2#</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肖包寺村安全饮水项目工程中点敏感点</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43</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44</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43</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3#</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肖包寺村安全饮水项目工程终点敏感点</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48</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47</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49</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4#</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肖包寺村饮水工程建设项目终点附近居民点1</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40</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33</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39</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5#</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肖包寺村饮水工程建设项目终点附近居民点2</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39</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37</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39</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8#</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烟囱村饮水工程起点居民敏感点</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38</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32</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51</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9#</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烟囱村饮水工程终点居民敏感点1</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51</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46</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51</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10#</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烟囱村饮水工程终点居民敏感点2</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43</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39</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42</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11#</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西宁关村饮水工程终点居民敏感点1</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58</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48</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58</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12#</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西宁关村饮水工程终点居民敏感点2</w:t>
                  </w:r>
                </w:p>
              </w:tc>
              <w:tc>
                <w:tcPr>
                  <w:tcW w:w="8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59</w:t>
                  </w:r>
                </w:p>
              </w:tc>
              <w:tc>
                <w:tcPr>
                  <w:tcW w:w="761"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44</w:t>
                  </w:r>
                </w:p>
              </w:tc>
              <w:tc>
                <w:tcPr>
                  <w:tcW w:w="104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52</w:t>
                  </w:r>
                </w:p>
              </w:tc>
              <w:tc>
                <w:tcPr>
                  <w:tcW w:w="104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vMerge w:val="restart"/>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点位</w:t>
                  </w:r>
                </w:p>
                <w:p>
                  <w:pPr>
                    <w:spacing w:line="240" w:lineRule="exact"/>
                    <w:jc w:val="center"/>
                    <w:rPr>
                      <w:rFonts w:ascii="Times New Roman" w:hAnsi="Times New Roman" w:cs="Times New Roman"/>
                      <w:szCs w:val="21"/>
                    </w:rPr>
                  </w:pPr>
                  <w:r>
                    <w:rPr>
                      <w:rFonts w:ascii="Times New Roman" w:hAnsi="Times New Roman" w:cs="Times New Roman"/>
                      <w:szCs w:val="21"/>
                    </w:rPr>
                    <w:t>编号</w:t>
                  </w:r>
                </w:p>
              </w:tc>
              <w:tc>
                <w:tcPr>
                  <w:tcW w:w="4421" w:type="dxa"/>
                  <w:vMerge w:val="restart"/>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点位</w:t>
                  </w:r>
                </w:p>
                <w:p>
                  <w:pPr>
                    <w:spacing w:line="240" w:lineRule="exact"/>
                    <w:jc w:val="center"/>
                    <w:rPr>
                      <w:rFonts w:ascii="Times New Roman" w:hAnsi="Times New Roman" w:cs="Times New Roman"/>
                      <w:szCs w:val="21"/>
                    </w:rPr>
                  </w:pPr>
                  <w:r>
                    <w:rPr>
                      <w:rFonts w:ascii="Times New Roman" w:hAnsi="Times New Roman" w:cs="Times New Roman"/>
                      <w:szCs w:val="21"/>
                    </w:rPr>
                    <w:t>名称</w:t>
                  </w:r>
                </w:p>
              </w:tc>
              <w:tc>
                <w:tcPr>
                  <w:tcW w:w="1631" w:type="dxa"/>
                  <w:gridSpan w:val="2"/>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月</w:t>
                  </w:r>
                  <w:r>
                    <w:rPr>
                      <w:rFonts w:hint="eastAsia" w:ascii="Times New Roman" w:hAnsi="Times New Roman" w:cs="Times New Roman"/>
                      <w:szCs w:val="21"/>
                    </w:rPr>
                    <w:t>2</w:t>
                  </w:r>
                  <w:r>
                    <w:rPr>
                      <w:rFonts w:ascii="Times New Roman" w:hAnsi="Times New Roman" w:cs="Times New Roman"/>
                      <w:szCs w:val="21"/>
                    </w:rPr>
                    <w:t>日</w:t>
                  </w:r>
                </w:p>
              </w:tc>
              <w:tc>
                <w:tcPr>
                  <w:tcW w:w="2093" w:type="dxa"/>
                  <w:gridSpan w:val="2"/>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月</w:t>
                  </w:r>
                  <w:r>
                    <w:rPr>
                      <w:rFonts w:hint="eastAsia" w:ascii="Times New Roman" w:hAnsi="Times New Roman" w:cs="Times New Roman"/>
                      <w:szCs w:val="21"/>
                    </w:rPr>
                    <w:t>3</w:t>
                  </w:r>
                  <w:r>
                    <w:rPr>
                      <w:rFonts w:ascii="Times New Roman" w:hAnsi="Times New Roman" w:cs="Times New Roman"/>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vMerge w:val="continue"/>
                  <w:tcBorders>
                    <w:tl2br w:val="nil"/>
                    <w:tr2bl w:val="nil"/>
                  </w:tcBorders>
                  <w:vAlign w:val="center"/>
                </w:tcPr>
                <w:p>
                  <w:pPr>
                    <w:spacing w:line="240" w:lineRule="exact"/>
                    <w:jc w:val="center"/>
                    <w:rPr>
                      <w:rFonts w:ascii="Times New Roman" w:hAnsi="Times New Roman" w:cs="Times New Roman"/>
                      <w:szCs w:val="21"/>
                    </w:rPr>
                  </w:pPr>
                </w:p>
              </w:tc>
              <w:tc>
                <w:tcPr>
                  <w:tcW w:w="4421" w:type="dxa"/>
                  <w:vMerge w:val="continue"/>
                  <w:tcBorders>
                    <w:tl2br w:val="nil"/>
                    <w:tr2bl w:val="nil"/>
                  </w:tcBorders>
                  <w:vAlign w:val="center"/>
                </w:tcPr>
                <w:p>
                  <w:pPr>
                    <w:spacing w:line="240" w:lineRule="exact"/>
                    <w:jc w:val="center"/>
                    <w:rPr>
                      <w:rFonts w:ascii="Times New Roman" w:hAnsi="Times New Roman" w:cs="Times New Roman"/>
                      <w:szCs w:val="21"/>
                    </w:rPr>
                  </w:pPr>
                </w:p>
              </w:tc>
              <w:tc>
                <w:tcPr>
                  <w:tcW w:w="870"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761"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夜间</w:t>
                  </w:r>
                </w:p>
              </w:tc>
              <w:tc>
                <w:tcPr>
                  <w:tcW w:w="1046"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1047"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6#</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安宏村饮水工程附近居民点1</w:t>
                  </w:r>
                </w:p>
              </w:tc>
              <w:tc>
                <w:tcPr>
                  <w:tcW w:w="870"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50</w:t>
                  </w:r>
                </w:p>
              </w:tc>
              <w:tc>
                <w:tcPr>
                  <w:tcW w:w="76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44</w:t>
                  </w:r>
                </w:p>
              </w:tc>
              <w:tc>
                <w:tcPr>
                  <w:tcW w:w="1046"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51</w:t>
                  </w:r>
                </w:p>
              </w:tc>
              <w:tc>
                <w:tcPr>
                  <w:tcW w:w="1047"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7#</w:t>
                  </w:r>
                </w:p>
              </w:tc>
              <w:tc>
                <w:tcPr>
                  <w:tcW w:w="442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安宏村饮水工程附近居民点2</w:t>
                  </w:r>
                </w:p>
              </w:tc>
              <w:tc>
                <w:tcPr>
                  <w:tcW w:w="870"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40</w:t>
                  </w:r>
                </w:p>
              </w:tc>
              <w:tc>
                <w:tcPr>
                  <w:tcW w:w="761"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38</w:t>
                  </w:r>
                </w:p>
              </w:tc>
              <w:tc>
                <w:tcPr>
                  <w:tcW w:w="1046"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43</w:t>
                  </w:r>
                </w:p>
              </w:tc>
              <w:tc>
                <w:tcPr>
                  <w:tcW w:w="1047" w:type="dxa"/>
                  <w:tcBorders>
                    <w:tl2br w:val="nil"/>
                    <w:tr2bl w:val="nil"/>
                  </w:tcBorders>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38</w:t>
                  </w:r>
                </w:p>
              </w:tc>
            </w:tr>
          </w:tbl>
          <w:p>
            <w:pPr>
              <w:spacing w:line="360" w:lineRule="auto"/>
              <w:ind w:firstLine="480" w:firstLineChars="200"/>
              <w:rPr>
                <w:bCs/>
                <w:color w:val="000000" w:themeColor="text1"/>
                <w:sz w:val="24"/>
              </w:rPr>
            </w:pPr>
            <w:r>
              <w:rPr>
                <w:rFonts w:hint="eastAsia"/>
                <w:bCs/>
                <w:color w:val="000000" w:themeColor="text1"/>
                <w:sz w:val="24"/>
              </w:rPr>
              <w:t>根据以上评价结果，项目区域声环境质量良好，满足</w:t>
            </w:r>
            <w:r>
              <w:rPr>
                <w:rFonts w:hint="eastAsia" w:ascii="Times New Roman" w:cs="Times New Roman"/>
                <w:color w:val="000000" w:themeColor="text1"/>
                <w:spacing w:val="-8"/>
                <w:sz w:val="24"/>
                <w:szCs w:val="20"/>
              </w:rPr>
              <w:t>《声环境质量标准》</w:t>
            </w:r>
            <w:r>
              <w:rPr>
                <w:rFonts w:ascii="Times New Roman" w:hAnsi="Times New Roman" w:cs="Times New Roman"/>
                <w:color w:val="000000" w:themeColor="text1"/>
                <w:spacing w:val="-8"/>
                <w:sz w:val="24"/>
                <w:szCs w:val="20"/>
              </w:rPr>
              <w:t>(GB3096-2008)2</w:t>
            </w:r>
            <w:r>
              <w:rPr>
                <w:rFonts w:hint="eastAsia" w:ascii="Times New Roman" w:hAnsi="Times New Roman" w:cs="Times New Roman"/>
                <w:color w:val="000000" w:themeColor="text1"/>
                <w:spacing w:val="-8"/>
                <w:sz w:val="24"/>
                <w:szCs w:val="20"/>
              </w:rPr>
              <w:t>类标准限值。</w:t>
            </w:r>
          </w:p>
          <w:p>
            <w:pPr>
              <w:spacing w:line="360" w:lineRule="auto"/>
              <w:rPr>
                <w:b/>
                <w:bCs/>
                <w:color w:val="000000" w:themeColor="text1"/>
                <w:sz w:val="24"/>
              </w:rPr>
            </w:pPr>
            <w:r>
              <w:rPr>
                <w:rFonts w:hint="eastAsia"/>
                <w:b/>
                <w:bCs/>
                <w:color w:val="000000" w:themeColor="text1"/>
                <w:sz w:val="24"/>
              </w:rPr>
              <w:t>四、生态环境</w:t>
            </w:r>
          </w:p>
          <w:p>
            <w:pPr>
              <w:spacing w:line="360" w:lineRule="auto"/>
              <w:ind w:firstLine="480" w:firstLineChars="200"/>
              <w:textAlignment w:val="center"/>
              <w:rPr>
                <w:rFonts w:ascii="Times New Roman" w:hAnsi="Times New Roman" w:cs="Times New Roman"/>
                <w:color w:val="000000" w:themeColor="text1"/>
                <w:sz w:val="24"/>
              </w:rPr>
            </w:pPr>
            <w:r>
              <w:rPr>
                <w:rFonts w:hint="eastAsia"/>
                <w:sz w:val="24"/>
              </w:rPr>
              <w:t>根据现场踏勘，本项目各点位于各乡深山中，为山林自然环境。项目流域主要为山沟，水体中无珍惜水生生物，主体水系为岷江。项目引水管道均在农田、乡村小道附近，管线铺设线路未涉及到穿越或跨越公用设施、住房、自然保护区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8" w:hRule="atLeast"/>
          <w:jc w:val="center"/>
        </w:trPr>
        <w:tc>
          <w:tcPr>
            <w:tcW w:w="9639" w:type="dxa"/>
          </w:tcPr>
          <w:p>
            <w:pPr>
              <w:spacing w:after="120" w:line="44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环境保护目标</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本项目主要环节影响发生在施工期，主要环境影响因素为扬尘，影响范围为线路两侧50m范围。</w:t>
            </w:r>
          </w:p>
          <w:p>
            <w:pPr>
              <w:spacing w:line="360" w:lineRule="auto"/>
              <w:ind w:firstLine="480" w:firstLineChars="200"/>
              <w:rPr>
                <w:rFonts w:ascii="Times New Roman" w:hAnsi="Times New Roman" w:eastAsia="黑体" w:cs="Times New Roman"/>
                <w:sz w:val="24"/>
              </w:rPr>
            </w:pPr>
            <w:r>
              <w:rPr>
                <w:rFonts w:ascii="Times New Roman" w:hAnsi="Times New Roman" w:eastAsia="黑体" w:cs="Times New Roman"/>
                <w:sz w:val="24"/>
              </w:rPr>
              <w:t>1、外环境关系</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现场踏勘，项目取水点均处在深山之中，远离居民活动区，皆为自然环境。项目引水管道均在农田、乡村小道附近，管线铺设线路未涉及到穿越或跨越公用设施、住房、自然保护区等情况。项目施工不涉及居民搬迁，本次施工路线两边无居民居住，不涉及居民搬迁。</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项目外环境关系见附图4。</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根据本项目排污特点和外环境特征确定环境保护目标和级别如下：</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环境空气：建设项目评价区内的空气环境质量应达到《环境空气质量标准》（GB3095-2012）二级标准要求；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声环境：建设项目评价区内的声环境质量应达到《声环境质量标准》（GB3096--2008）中的2类标准要求；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地表水环境：安宏乡肖包寺村、安宏乡安宏村、烟囱村、西宁关村岷江段地表水水质执行《地表水环境质量标准》（GB3838-2002）中Ⅱ类水域标准。</w:t>
            </w:r>
          </w:p>
          <w:p>
            <w:pPr>
              <w:autoSpaceDE w:val="0"/>
              <w:autoSpaceDN w:val="0"/>
              <w:adjustRightInd w:val="0"/>
              <w:snapToGrid w:val="0"/>
              <w:spacing w:line="360" w:lineRule="auto"/>
              <w:ind w:firstLine="480" w:firstLineChars="200"/>
              <w:rPr>
                <w:rFonts w:hint="eastAsia" w:ascii="Times New Roman" w:hAnsi="Times New Roman" w:cs="Times New Roman"/>
                <w:sz w:val="24"/>
              </w:rPr>
            </w:pPr>
            <w:r>
              <w:rPr>
                <w:rFonts w:hint="eastAsia" w:ascii="Times New Roman" w:cs="Times New Roman"/>
                <w:color w:val="auto"/>
                <w:sz w:val="24"/>
                <w:lang w:val="en-US" w:eastAsia="zh-CN"/>
              </w:rPr>
              <w:t>生态环境保护目标：项目区域内生态环境保护目标包括沿线的植被及水生生物，沿线植被包括工程占地范围内的可能扰动的植被部分，对其保持野生植物现状资源；对水生生物主要涉及评价河段包括牟尼沟及下游岷江河段影响段，对其保持水生生物现状资源。</w:t>
            </w:r>
          </w:p>
          <w:p>
            <w:pPr>
              <w:autoSpaceDE w:val="0"/>
              <w:autoSpaceDN w:val="0"/>
              <w:adjustRightInd w:val="0"/>
              <w:snapToGrid w:val="0"/>
              <w:spacing w:line="360" w:lineRule="auto"/>
              <w:ind w:firstLine="480" w:firstLineChars="200"/>
              <w:rPr>
                <w:rFonts w:ascii="Times New Roman" w:cs="Times New Roman"/>
                <w:color w:val="000000" w:themeColor="text1"/>
                <w:sz w:val="24"/>
              </w:rPr>
            </w:pPr>
            <w:r>
              <w:rPr>
                <w:rFonts w:hint="eastAsia" w:ascii="Times New Roman" w:hAnsi="Times New Roman" w:cs="Times New Roman"/>
                <w:sz w:val="24"/>
              </w:rPr>
              <w:t>根据工程特性及周围环境，确定拟建项目环境保护目标见表3-</w:t>
            </w:r>
            <w:r>
              <w:rPr>
                <w:rFonts w:hint="eastAsia" w:ascii="Times New Roman" w:hAnsi="Times New Roman" w:cs="Times New Roman"/>
                <w:sz w:val="24"/>
                <w:lang w:val="en-US" w:eastAsia="zh-CN"/>
              </w:rPr>
              <w:t>8</w:t>
            </w:r>
            <w:r>
              <w:rPr>
                <w:rFonts w:hint="eastAsia"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w:t>
            </w:r>
            <w:r>
              <w:rPr>
                <w:rFonts w:hint="eastAsia" w:asciiTheme="minorEastAsia" w:hAnsiTheme="minorEastAsia" w:cstheme="minorEastAsia"/>
                <w:b/>
                <w:sz w:val="21"/>
                <w:szCs w:val="21"/>
                <w:lang w:val="en-US" w:eastAsia="zh-CN"/>
              </w:rPr>
              <w:t>8</w:t>
            </w:r>
            <w:r>
              <w:rPr>
                <w:rFonts w:hint="eastAsia" w:asciiTheme="minorEastAsia" w:hAnsiTheme="minorEastAsia" w:eastAsiaTheme="minorEastAsia" w:cstheme="minorEastAsia"/>
                <w:b/>
                <w:sz w:val="21"/>
                <w:szCs w:val="21"/>
                <w:lang w:val="en-US" w:eastAsia="zh-CN"/>
              </w:rPr>
              <w:t xml:space="preserve">  项目大气环境保护目标</w:t>
            </w:r>
          </w:p>
          <w:tbl>
            <w:tblPr>
              <w:tblStyle w:val="51"/>
              <w:tblW w:w="93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1230"/>
              <w:gridCol w:w="1140"/>
              <w:gridCol w:w="750"/>
              <w:gridCol w:w="810"/>
              <w:gridCol w:w="1140"/>
              <w:gridCol w:w="1028"/>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059" w:type="dxa"/>
                  <w:vMerge w:val="restart"/>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名称</w:t>
                  </w:r>
                </w:p>
              </w:tc>
              <w:tc>
                <w:tcPr>
                  <w:tcW w:w="2370" w:type="dxa"/>
                  <w:gridSpan w:val="2"/>
                  <w:tcBorders>
                    <w:top w:val="single" w:color="auto" w:sz="12" w:space="0"/>
                    <w:left w:val="single" w:color="auto" w:sz="4" w:space="0"/>
                    <w:bottom w:val="single" w:color="auto" w:sz="4" w:space="0"/>
                    <w:right w:val="single" w:color="auto" w:sz="4" w:space="0"/>
                  </w:tcBorders>
                  <w:vAlign w:val="center"/>
                </w:tcPr>
                <w:p>
                  <w:pPr>
                    <w:pStyle w:val="50"/>
                    <w:spacing w:after="0"/>
                    <w:ind w:left="0" w:leftChars="0" w:firstLine="0" w:firstLineChars="0"/>
                    <w:jc w:val="center"/>
                    <w:rPr>
                      <w:szCs w:val="21"/>
                    </w:rPr>
                  </w:pPr>
                  <w:r>
                    <w:rPr>
                      <w:rFonts w:hint="eastAsia"/>
                      <w:szCs w:val="21"/>
                      <w:lang w:val="zh-CN"/>
                    </w:rPr>
                    <w:t>坐标</w:t>
                  </w:r>
                </w:p>
              </w:tc>
              <w:tc>
                <w:tcPr>
                  <w:tcW w:w="750"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lang w:val="zh-CN"/>
                    </w:rPr>
                    <w:t>保护对象</w:t>
                  </w:r>
                </w:p>
              </w:tc>
              <w:tc>
                <w:tcPr>
                  <w:tcW w:w="810"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保护内容</w:t>
                  </w:r>
                </w:p>
              </w:tc>
              <w:tc>
                <w:tcPr>
                  <w:tcW w:w="1140"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环境功能区</w:t>
                  </w:r>
                </w:p>
              </w:tc>
              <w:tc>
                <w:tcPr>
                  <w:tcW w:w="1028"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相对</w:t>
                  </w:r>
                  <w:r>
                    <w:rPr>
                      <w:rFonts w:hint="eastAsia"/>
                      <w:szCs w:val="21"/>
                    </w:rPr>
                    <w:t>项目</w:t>
                  </w:r>
                  <w:r>
                    <w:rPr>
                      <w:rFonts w:hint="eastAsia"/>
                      <w:szCs w:val="21"/>
                      <w:lang w:val="zh-CN"/>
                    </w:rPr>
                    <w:t>方位</w:t>
                  </w:r>
                </w:p>
              </w:tc>
              <w:tc>
                <w:tcPr>
                  <w:tcW w:w="1153" w:type="dxa"/>
                  <w:vMerge w:val="restart"/>
                  <w:tcBorders>
                    <w:top w:val="single" w:color="auto" w:sz="12" w:space="0"/>
                    <w:left w:val="single" w:color="auto" w:sz="4" w:space="0"/>
                    <w:bottom w:val="single" w:color="auto" w:sz="12" w:space="0"/>
                    <w:right w:val="nil"/>
                  </w:tcBorders>
                  <w:vAlign w:val="center"/>
                </w:tcPr>
                <w:p>
                  <w:pPr>
                    <w:pStyle w:val="50"/>
                    <w:spacing w:after="0"/>
                    <w:ind w:left="0" w:leftChars="0" w:firstLine="0" w:firstLineChars="0"/>
                    <w:jc w:val="center"/>
                    <w:rPr>
                      <w:szCs w:val="21"/>
                    </w:rPr>
                  </w:pPr>
                  <w:r>
                    <w:rPr>
                      <w:rFonts w:hint="eastAsia"/>
                      <w:szCs w:val="21"/>
                      <w:lang w:val="zh-CN"/>
                    </w:rPr>
                    <w:t>相对</w:t>
                  </w:r>
                  <w:r>
                    <w:rPr>
                      <w:rFonts w:hint="eastAsia"/>
                      <w:szCs w:val="21"/>
                    </w:rPr>
                    <w:t>项目</w:t>
                  </w:r>
                  <w:r>
                    <w:rPr>
                      <w:rFonts w:hint="eastAsia"/>
                      <w:szCs w:val="21"/>
                      <w:lang w:val="zh-CN"/>
                    </w:rPr>
                    <w:t>距离</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vMerge w:val="continue"/>
                  <w:tcBorders>
                    <w:top w:val="single" w:color="auto" w:sz="12" w:space="0"/>
                    <w:left w:val="nil"/>
                    <w:bottom w:val="single" w:color="auto" w:sz="12" w:space="0"/>
                    <w:right w:val="single" w:color="auto" w:sz="4" w:space="0"/>
                  </w:tcBorders>
                  <w:vAlign w:val="center"/>
                </w:tcPr>
                <w:p>
                  <w:pPr>
                    <w:widowControl/>
                    <w:jc w:val="left"/>
                    <w:rPr>
                      <w:rFonts w:ascii="Times New Roman" w:hAnsi="Times New Roman"/>
                      <w:szCs w:val="21"/>
                      <w:lang w:val="zh-CN"/>
                    </w:rPr>
                  </w:pPr>
                </w:p>
              </w:tc>
              <w:tc>
                <w:tcPr>
                  <w:tcW w:w="1230"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szCs w:val="21"/>
                    </w:rPr>
                    <w:t>X</w:t>
                  </w:r>
                  <w:r>
                    <w:rPr>
                      <w:rFonts w:hint="eastAsia"/>
                      <w:szCs w:val="21"/>
                    </w:rPr>
                    <w:t>（经度）</w:t>
                  </w:r>
                </w:p>
              </w:tc>
              <w:tc>
                <w:tcPr>
                  <w:tcW w:w="1140"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szCs w:val="21"/>
                    </w:rPr>
                    <w:t>Y</w:t>
                  </w:r>
                  <w:r>
                    <w:rPr>
                      <w:rFonts w:hint="eastAsia"/>
                      <w:szCs w:val="21"/>
                    </w:rPr>
                    <w:t>（纬度）</w:t>
                  </w:r>
                </w:p>
              </w:tc>
              <w:tc>
                <w:tcPr>
                  <w:tcW w:w="750"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rPr>
                  </w:pPr>
                </w:p>
              </w:tc>
              <w:tc>
                <w:tcPr>
                  <w:tcW w:w="810"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1140"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1028"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1153" w:type="dxa"/>
                  <w:vMerge w:val="continue"/>
                  <w:tcBorders>
                    <w:top w:val="single" w:color="auto" w:sz="12" w:space="0"/>
                    <w:left w:val="single" w:color="auto" w:sz="4" w:space="0"/>
                    <w:bottom w:val="single" w:color="auto" w:sz="12" w:space="0"/>
                    <w:right w:val="nil"/>
                  </w:tcBorders>
                  <w:vAlign w:val="center"/>
                </w:tcPr>
                <w:p>
                  <w:pPr>
                    <w:widowControl/>
                    <w:jc w:val="lef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肖包寺居民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103.601665</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32.520330</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50户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环境空气</w:t>
                  </w:r>
                </w:p>
              </w:tc>
              <w:tc>
                <w:tcPr>
                  <w:tcW w:w="1140" w:type="dxa"/>
                  <w:tcBorders>
                    <w:top w:val="single" w:color="auto" w:sz="12" w:space="0"/>
                    <w:left w:val="single" w:color="auto" w:sz="4" w:space="0"/>
                    <w:bottom w:val="single" w:color="auto" w:sz="12" w:space="0"/>
                    <w:right w:val="single" w:color="auto" w:sz="4" w:space="0"/>
                  </w:tcBorders>
                  <w:vAlign w:val="center"/>
                </w:tcPr>
                <w:p>
                  <w:pPr>
                    <w:rPr>
                      <w:szCs w:val="21"/>
                    </w:rPr>
                  </w:pPr>
                  <w:r>
                    <w:rPr>
                      <w:szCs w:val="21"/>
                    </w:rPr>
                    <w:t>GB3095-</w:t>
                  </w:r>
                </w:p>
                <w:p>
                  <w:pPr>
                    <w:rPr>
                      <w:rFonts w:ascii="Times New Roman" w:hAnsi="Times New Roman"/>
                      <w:szCs w:val="21"/>
                      <w:lang w:val="zh-CN"/>
                    </w:rPr>
                  </w:pPr>
                  <w:r>
                    <w:rPr>
                      <w:szCs w:val="21"/>
                    </w:rPr>
                    <w:t>2012</w:t>
                  </w:r>
                  <w:r>
                    <w:rPr>
                      <w:rFonts w:hint="eastAsia"/>
                      <w:szCs w:val="21"/>
                    </w:rPr>
                    <w:t>二级</w:t>
                  </w:r>
                </w:p>
              </w:tc>
              <w:tc>
                <w:tcPr>
                  <w:tcW w:w="1028"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N</w:t>
                  </w:r>
                </w:p>
              </w:tc>
              <w:tc>
                <w:tcPr>
                  <w:tcW w:w="1153" w:type="dxa"/>
                  <w:tcBorders>
                    <w:top w:val="single" w:color="auto" w:sz="12" w:space="0"/>
                    <w:left w:val="single" w:color="auto" w:sz="4" w:space="0"/>
                    <w:bottom w:val="single" w:color="auto" w:sz="12" w:space="0"/>
                    <w:right w:val="nil"/>
                  </w:tcBorders>
                  <w:vAlign w:val="center"/>
                </w:tcPr>
                <w:p>
                  <w:pPr>
                    <w:jc w:val="center"/>
                    <w:rPr>
                      <w:rFonts w:ascii="Times New Roman" w:hAnsi="Times New Roman"/>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肖包寺居民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103.599814</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32.525198</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40户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环境空气</w:t>
                  </w:r>
                </w:p>
              </w:tc>
              <w:tc>
                <w:tcPr>
                  <w:tcW w:w="1140" w:type="dxa"/>
                  <w:tcBorders>
                    <w:top w:val="single" w:color="auto" w:sz="12" w:space="0"/>
                    <w:left w:val="single" w:color="auto" w:sz="4" w:space="0"/>
                    <w:bottom w:val="single" w:color="auto" w:sz="12" w:space="0"/>
                    <w:right w:val="single" w:color="auto" w:sz="4" w:space="0"/>
                  </w:tcBorders>
                  <w:vAlign w:val="center"/>
                </w:tcPr>
                <w:p>
                  <w:pPr>
                    <w:rPr>
                      <w:szCs w:val="21"/>
                    </w:rPr>
                  </w:pPr>
                  <w:r>
                    <w:rPr>
                      <w:szCs w:val="21"/>
                    </w:rPr>
                    <w:t>GB3095-</w:t>
                  </w:r>
                </w:p>
                <w:p>
                  <w:pPr>
                    <w:rPr>
                      <w:szCs w:val="21"/>
                    </w:rPr>
                  </w:pPr>
                  <w:r>
                    <w:rPr>
                      <w:szCs w:val="21"/>
                    </w:rPr>
                    <w:t>2012</w:t>
                  </w:r>
                  <w:r>
                    <w:rPr>
                      <w:rFonts w:hint="eastAsia"/>
                      <w:szCs w:val="21"/>
                    </w:rPr>
                    <w:t>二级</w:t>
                  </w:r>
                </w:p>
              </w:tc>
              <w:tc>
                <w:tcPr>
                  <w:tcW w:w="1028"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ES</w:t>
                  </w:r>
                </w:p>
              </w:tc>
              <w:tc>
                <w:tcPr>
                  <w:tcW w:w="1153"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安宏村居民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103.638510</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32.509996</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10余户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环境空气</w:t>
                  </w:r>
                </w:p>
              </w:tc>
              <w:tc>
                <w:tcPr>
                  <w:tcW w:w="1140" w:type="dxa"/>
                  <w:tcBorders>
                    <w:top w:val="single" w:color="auto" w:sz="12" w:space="0"/>
                    <w:left w:val="single" w:color="auto" w:sz="4" w:space="0"/>
                    <w:bottom w:val="single" w:color="auto" w:sz="12" w:space="0"/>
                    <w:right w:val="single" w:color="auto" w:sz="4" w:space="0"/>
                  </w:tcBorders>
                  <w:vAlign w:val="center"/>
                </w:tcPr>
                <w:p>
                  <w:pPr>
                    <w:rPr>
                      <w:szCs w:val="21"/>
                    </w:rPr>
                  </w:pPr>
                  <w:r>
                    <w:rPr>
                      <w:szCs w:val="21"/>
                    </w:rPr>
                    <w:t>GB3095-</w:t>
                  </w:r>
                </w:p>
                <w:p>
                  <w:pPr>
                    <w:rPr>
                      <w:szCs w:val="21"/>
                    </w:rPr>
                  </w:pPr>
                  <w:r>
                    <w:rPr>
                      <w:szCs w:val="21"/>
                    </w:rPr>
                    <w:t>2012</w:t>
                  </w:r>
                  <w:r>
                    <w:rPr>
                      <w:rFonts w:hint="eastAsia"/>
                      <w:szCs w:val="21"/>
                    </w:rPr>
                    <w:t>二级</w:t>
                  </w:r>
                </w:p>
              </w:tc>
              <w:tc>
                <w:tcPr>
                  <w:tcW w:w="1028"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EN</w:t>
                  </w:r>
                </w:p>
              </w:tc>
              <w:tc>
                <w:tcPr>
                  <w:tcW w:w="1153"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烟囱村居民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103.509996</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32.564715</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环境空气</w:t>
                  </w:r>
                </w:p>
              </w:tc>
              <w:tc>
                <w:tcPr>
                  <w:tcW w:w="1140" w:type="dxa"/>
                  <w:tcBorders>
                    <w:top w:val="single" w:color="auto" w:sz="12" w:space="0"/>
                    <w:left w:val="single" w:color="auto" w:sz="4" w:space="0"/>
                    <w:bottom w:val="single" w:color="auto" w:sz="12" w:space="0"/>
                    <w:right w:val="single" w:color="auto" w:sz="4" w:space="0"/>
                  </w:tcBorders>
                  <w:vAlign w:val="center"/>
                </w:tcPr>
                <w:p>
                  <w:pPr>
                    <w:rPr>
                      <w:szCs w:val="21"/>
                    </w:rPr>
                  </w:pPr>
                  <w:r>
                    <w:rPr>
                      <w:szCs w:val="21"/>
                    </w:rPr>
                    <w:t>GB3095-</w:t>
                  </w:r>
                </w:p>
                <w:p>
                  <w:pPr>
                    <w:rPr>
                      <w:szCs w:val="21"/>
                    </w:rPr>
                  </w:pPr>
                  <w:r>
                    <w:rPr>
                      <w:szCs w:val="21"/>
                    </w:rPr>
                    <w:t>2012</w:t>
                  </w:r>
                  <w:r>
                    <w:rPr>
                      <w:rFonts w:hint="eastAsia"/>
                      <w:szCs w:val="21"/>
                    </w:rPr>
                    <w:t>二级</w:t>
                  </w:r>
                </w:p>
              </w:tc>
              <w:tc>
                <w:tcPr>
                  <w:tcW w:w="1028"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w:t>
                  </w:r>
                </w:p>
              </w:tc>
              <w:tc>
                <w:tcPr>
                  <w:tcW w:w="1153"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西宁关村居民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103.618308</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32.563878</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20余户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环境空气</w:t>
                  </w:r>
                </w:p>
              </w:tc>
              <w:tc>
                <w:tcPr>
                  <w:tcW w:w="1140" w:type="dxa"/>
                  <w:tcBorders>
                    <w:top w:val="single" w:color="auto" w:sz="12" w:space="0"/>
                    <w:left w:val="single" w:color="auto" w:sz="4" w:space="0"/>
                    <w:bottom w:val="single" w:color="auto" w:sz="12" w:space="0"/>
                    <w:right w:val="single" w:color="auto" w:sz="4" w:space="0"/>
                  </w:tcBorders>
                  <w:vAlign w:val="center"/>
                </w:tcPr>
                <w:p>
                  <w:pPr>
                    <w:rPr>
                      <w:szCs w:val="21"/>
                    </w:rPr>
                  </w:pPr>
                  <w:r>
                    <w:rPr>
                      <w:szCs w:val="21"/>
                    </w:rPr>
                    <w:t>GB3095-</w:t>
                  </w:r>
                </w:p>
                <w:p>
                  <w:pPr>
                    <w:rPr>
                      <w:szCs w:val="21"/>
                    </w:rPr>
                  </w:pPr>
                  <w:r>
                    <w:rPr>
                      <w:szCs w:val="21"/>
                    </w:rPr>
                    <w:t>2012</w:t>
                  </w:r>
                  <w:r>
                    <w:rPr>
                      <w:rFonts w:hint="eastAsia"/>
                      <w:szCs w:val="21"/>
                    </w:rPr>
                    <w:t>二级</w:t>
                  </w:r>
                </w:p>
              </w:tc>
              <w:tc>
                <w:tcPr>
                  <w:tcW w:w="1028"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E</w:t>
                  </w:r>
                </w:p>
              </w:tc>
              <w:tc>
                <w:tcPr>
                  <w:tcW w:w="1153"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bl>
          <w:p>
            <w:pPr>
              <w:pStyle w:val="2"/>
              <w:spacing w:after="0" w:line="240" w:lineRule="auto"/>
              <w:ind w:left="0" w:leftChars="0"/>
              <w:jc w:val="center"/>
              <w:rPr>
                <w:rFonts w:ascii="Times New Roman" w:cs="Times New Roman" w:hAnsiTheme="minorEastAsia"/>
                <w:b/>
                <w:color w:val="000000" w:themeColor="text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w:t>
            </w:r>
            <w:r>
              <w:rPr>
                <w:rFonts w:hint="eastAsia" w:asciiTheme="minorEastAsia" w:hAnsiTheme="minorEastAsia" w:cstheme="minorEastAsia"/>
                <w:b/>
                <w:sz w:val="21"/>
                <w:szCs w:val="21"/>
                <w:lang w:val="en-US" w:eastAsia="zh-CN"/>
              </w:rPr>
              <w:t>9</w:t>
            </w:r>
            <w:r>
              <w:rPr>
                <w:rFonts w:hint="eastAsia" w:asciiTheme="minorEastAsia" w:hAnsiTheme="minorEastAsia" w:eastAsiaTheme="minorEastAsia" w:cstheme="minorEastAsia"/>
                <w:b/>
                <w:sz w:val="21"/>
                <w:szCs w:val="21"/>
                <w:lang w:val="en-US" w:eastAsia="zh-CN"/>
              </w:rPr>
              <w:t xml:space="preserve">  本项目噪声环境保护目标</w:t>
            </w:r>
          </w:p>
          <w:tbl>
            <w:tblPr>
              <w:tblStyle w:val="51"/>
              <w:tblW w:w="93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1230"/>
              <w:gridCol w:w="1140"/>
              <w:gridCol w:w="750"/>
              <w:gridCol w:w="810"/>
              <w:gridCol w:w="1320"/>
              <w:gridCol w:w="945"/>
              <w:gridCol w:w="10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059" w:type="dxa"/>
                  <w:vMerge w:val="restart"/>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名称</w:t>
                  </w:r>
                </w:p>
              </w:tc>
              <w:tc>
                <w:tcPr>
                  <w:tcW w:w="2370" w:type="dxa"/>
                  <w:gridSpan w:val="2"/>
                  <w:tcBorders>
                    <w:top w:val="single" w:color="auto" w:sz="12" w:space="0"/>
                    <w:left w:val="single" w:color="auto" w:sz="4" w:space="0"/>
                    <w:bottom w:val="single" w:color="auto" w:sz="4" w:space="0"/>
                    <w:right w:val="single" w:color="auto" w:sz="4" w:space="0"/>
                  </w:tcBorders>
                  <w:vAlign w:val="center"/>
                </w:tcPr>
                <w:p>
                  <w:pPr>
                    <w:pStyle w:val="50"/>
                    <w:spacing w:after="0"/>
                    <w:ind w:left="0" w:leftChars="0" w:firstLine="0" w:firstLineChars="0"/>
                    <w:jc w:val="center"/>
                    <w:rPr>
                      <w:szCs w:val="21"/>
                    </w:rPr>
                  </w:pPr>
                  <w:r>
                    <w:rPr>
                      <w:rFonts w:hint="eastAsia"/>
                      <w:szCs w:val="21"/>
                      <w:lang w:val="zh-CN"/>
                    </w:rPr>
                    <w:t>坐标</w:t>
                  </w:r>
                </w:p>
              </w:tc>
              <w:tc>
                <w:tcPr>
                  <w:tcW w:w="750"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lang w:val="zh-CN"/>
                    </w:rPr>
                    <w:t>保护对象</w:t>
                  </w:r>
                </w:p>
              </w:tc>
              <w:tc>
                <w:tcPr>
                  <w:tcW w:w="810"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保护内容</w:t>
                  </w:r>
                </w:p>
              </w:tc>
              <w:tc>
                <w:tcPr>
                  <w:tcW w:w="1320"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环境功能区</w:t>
                  </w:r>
                </w:p>
              </w:tc>
              <w:tc>
                <w:tcPr>
                  <w:tcW w:w="945"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相对</w:t>
                  </w:r>
                  <w:r>
                    <w:rPr>
                      <w:rFonts w:hint="eastAsia"/>
                      <w:szCs w:val="21"/>
                    </w:rPr>
                    <w:t>项目</w:t>
                  </w:r>
                  <w:r>
                    <w:rPr>
                      <w:rFonts w:hint="eastAsia"/>
                      <w:szCs w:val="21"/>
                      <w:lang w:val="zh-CN"/>
                    </w:rPr>
                    <w:t>方位</w:t>
                  </w:r>
                </w:p>
              </w:tc>
              <w:tc>
                <w:tcPr>
                  <w:tcW w:w="1056" w:type="dxa"/>
                  <w:vMerge w:val="restart"/>
                  <w:tcBorders>
                    <w:top w:val="single" w:color="auto" w:sz="12" w:space="0"/>
                    <w:left w:val="single" w:color="auto" w:sz="4" w:space="0"/>
                    <w:bottom w:val="single" w:color="auto" w:sz="12" w:space="0"/>
                    <w:right w:val="nil"/>
                  </w:tcBorders>
                  <w:vAlign w:val="center"/>
                </w:tcPr>
                <w:p>
                  <w:pPr>
                    <w:pStyle w:val="50"/>
                    <w:spacing w:after="0"/>
                    <w:ind w:left="0" w:leftChars="0" w:firstLine="0" w:firstLineChars="0"/>
                    <w:jc w:val="center"/>
                    <w:rPr>
                      <w:szCs w:val="21"/>
                    </w:rPr>
                  </w:pPr>
                  <w:r>
                    <w:rPr>
                      <w:rFonts w:hint="eastAsia"/>
                      <w:szCs w:val="21"/>
                      <w:lang w:val="zh-CN"/>
                    </w:rPr>
                    <w:t>相对</w:t>
                  </w:r>
                  <w:r>
                    <w:rPr>
                      <w:rFonts w:hint="eastAsia"/>
                      <w:szCs w:val="21"/>
                    </w:rPr>
                    <w:t>项目</w:t>
                  </w:r>
                  <w:r>
                    <w:rPr>
                      <w:rFonts w:hint="eastAsia"/>
                      <w:szCs w:val="21"/>
                      <w:lang w:val="zh-CN"/>
                    </w:rPr>
                    <w:t>距离</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vMerge w:val="continue"/>
                  <w:tcBorders>
                    <w:top w:val="single" w:color="auto" w:sz="12" w:space="0"/>
                    <w:left w:val="nil"/>
                    <w:bottom w:val="single" w:color="auto" w:sz="12" w:space="0"/>
                    <w:right w:val="single" w:color="auto" w:sz="4" w:space="0"/>
                  </w:tcBorders>
                  <w:vAlign w:val="center"/>
                </w:tcPr>
                <w:p>
                  <w:pPr>
                    <w:widowControl/>
                    <w:jc w:val="left"/>
                    <w:rPr>
                      <w:rFonts w:ascii="Times New Roman" w:hAnsi="Times New Roman"/>
                      <w:szCs w:val="21"/>
                      <w:lang w:val="zh-CN"/>
                    </w:rPr>
                  </w:pPr>
                </w:p>
              </w:tc>
              <w:tc>
                <w:tcPr>
                  <w:tcW w:w="1230"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szCs w:val="21"/>
                    </w:rPr>
                    <w:t>X</w:t>
                  </w:r>
                  <w:r>
                    <w:rPr>
                      <w:rFonts w:hint="eastAsia"/>
                      <w:szCs w:val="21"/>
                    </w:rPr>
                    <w:t>（经度）</w:t>
                  </w:r>
                </w:p>
              </w:tc>
              <w:tc>
                <w:tcPr>
                  <w:tcW w:w="1140"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szCs w:val="21"/>
                    </w:rPr>
                    <w:t>Y</w:t>
                  </w:r>
                  <w:r>
                    <w:rPr>
                      <w:rFonts w:hint="eastAsia"/>
                      <w:szCs w:val="21"/>
                    </w:rPr>
                    <w:t>（纬度）</w:t>
                  </w:r>
                </w:p>
              </w:tc>
              <w:tc>
                <w:tcPr>
                  <w:tcW w:w="750"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rPr>
                  </w:pPr>
                </w:p>
              </w:tc>
              <w:tc>
                <w:tcPr>
                  <w:tcW w:w="810"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1320"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945"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1056" w:type="dxa"/>
                  <w:vMerge w:val="continue"/>
                  <w:tcBorders>
                    <w:top w:val="single" w:color="auto" w:sz="12" w:space="0"/>
                    <w:left w:val="single" w:color="auto" w:sz="4" w:space="0"/>
                    <w:bottom w:val="single" w:color="auto" w:sz="12" w:space="0"/>
                    <w:right w:val="nil"/>
                  </w:tcBorders>
                  <w:vAlign w:val="center"/>
                </w:tcPr>
                <w:p>
                  <w:pPr>
                    <w:widowControl/>
                    <w:jc w:val="lef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肖包寺居民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103.601665</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32.520330</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50户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声环境</w:t>
                  </w:r>
                </w:p>
              </w:tc>
              <w:tc>
                <w:tcPr>
                  <w:tcW w:w="132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GB3096-</w:t>
                  </w:r>
                </w:p>
                <w:p>
                  <w:pPr>
                    <w:pStyle w:val="50"/>
                    <w:spacing w:after="0"/>
                    <w:ind w:left="0" w:leftChars="0" w:firstLine="0" w:firstLineChars="0"/>
                    <w:jc w:val="center"/>
                    <w:rPr>
                      <w:rFonts w:ascii="Times New Roman" w:hAnsi="Times New Roman"/>
                      <w:szCs w:val="21"/>
                      <w:lang w:val="zh-CN"/>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N</w:t>
                  </w:r>
                </w:p>
              </w:tc>
              <w:tc>
                <w:tcPr>
                  <w:tcW w:w="1056" w:type="dxa"/>
                  <w:tcBorders>
                    <w:top w:val="single" w:color="auto" w:sz="12" w:space="0"/>
                    <w:left w:val="single" w:color="auto" w:sz="4" w:space="0"/>
                    <w:bottom w:val="single" w:color="auto" w:sz="12" w:space="0"/>
                    <w:right w:val="nil"/>
                  </w:tcBorders>
                  <w:vAlign w:val="center"/>
                </w:tcPr>
                <w:p>
                  <w:pPr>
                    <w:jc w:val="center"/>
                    <w:rPr>
                      <w:rFonts w:ascii="Times New Roman" w:hAnsi="Times New Roman"/>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肖包寺居民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103.599814</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32.525198</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40户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声环境</w:t>
                  </w:r>
                </w:p>
              </w:tc>
              <w:tc>
                <w:tcPr>
                  <w:tcW w:w="132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GB3096-</w:t>
                  </w:r>
                </w:p>
                <w:p>
                  <w:pPr>
                    <w:pStyle w:val="50"/>
                    <w:spacing w:after="0"/>
                    <w:ind w:left="0" w:leftChars="0" w:firstLine="0" w:firstLineChars="0"/>
                    <w:jc w:val="center"/>
                    <w:rPr>
                      <w:szCs w:val="21"/>
                      <w:lang w:val="zh-CN"/>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ES</w:t>
                  </w:r>
                </w:p>
              </w:tc>
              <w:tc>
                <w:tcPr>
                  <w:tcW w:w="1056"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安宏村居民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103.638510</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32.509996</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10余户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声环境</w:t>
                  </w:r>
                </w:p>
              </w:tc>
              <w:tc>
                <w:tcPr>
                  <w:tcW w:w="132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GB3096-</w:t>
                  </w:r>
                </w:p>
                <w:p>
                  <w:pPr>
                    <w:pStyle w:val="50"/>
                    <w:spacing w:after="0"/>
                    <w:ind w:left="0" w:leftChars="0" w:firstLine="0" w:firstLineChars="0"/>
                    <w:jc w:val="center"/>
                    <w:rPr>
                      <w:rFonts w:eastAsiaTheme="minorEastAsia"/>
                      <w:szCs w:val="21"/>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EN</w:t>
                  </w:r>
                </w:p>
              </w:tc>
              <w:tc>
                <w:tcPr>
                  <w:tcW w:w="1056"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烟囱村居民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103.509996</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32.564715</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声环境</w:t>
                  </w:r>
                </w:p>
              </w:tc>
              <w:tc>
                <w:tcPr>
                  <w:tcW w:w="132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GB3096-</w:t>
                  </w:r>
                </w:p>
                <w:p>
                  <w:pPr>
                    <w:pStyle w:val="50"/>
                    <w:spacing w:after="0"/>
                    <w:ind w:left="0" w:leftChars="0" w:firstLine="0" w:firstLineChars="0"/>
                    <w:jc w:val="center"/>
                    <w:rPr>
                      <w:rFonts w:eastAsiaTheme="minorEastAsia"/>
                      <w:szCs w:val="21"/>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w:t>
                  </w:r>
                </w:p>
              </w:tc>
              <w:tc>
                <w:tcPr>
                  <w:tcW w:w="1056"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9" w:type="dxa"/>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西宁关村居民 集中居住区</w:t>
                  </w:r>
                </w:p>
              </w:tc>
              <w:tc>
                <w:tcPr>
                  <w:tcW w:w="123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103.618308</w:t>
                  </w:r>
                </w:p>
              </w:tc>
              <w:tc>
                <w:tcPr>
                  <w:tcW w:w="114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32.563878</w:t>
                  </w:r>
                </w:p>
              </w:tc>
              <w:tc>
                <w:tcPr>
                  <w:tcW w:w="750"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20余户</w:t>
                  </w:r>
                </w:p>
              </w:tc>
              <w:tc>
                <w:tcPr>
                  <w:tcW w:w="81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声环境</w:t>
                  </w:r>
                </w:p>
              </w:tc>
              <w:tc>
                <w:tcPr>
                  <w:tcW w:w="1320" w:type="dxa"/>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GB3096-</w:t>
                  </w:r>
                </w:p>
                <w:p>
                  <w:pPr>
                    <w:pStyle w:val="50"/>
                    <w:spacing w:after="0"/>
                    <w:ind w:left="0" w:leftChars="0" w:firstLine="0" w:firstLineChars="0"/>
                    <w:jc w:val="center"/>
                    <w:rPr>
                      <w:rFonts w:eastAsiaTheme="minorEastAsia"/>
                      <w:szCs w:val="21"/>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color="auto" w:sz="12"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E</w:t>
                  </w:r>
                </w:p>
              </w:tc>
              <w:tc>
                <w:tcPr>
                  <w:tcW w:w="1056" w:type="dxa"/>
                  <w:tcBorders>
                    <w:top w:val="single" w:color="auto" w:sz="12" w:space="0"/>
                    <w:left w:val="single" w:color="auto" w:sz="4" w:space="0"/>
                    <w:bottom w:val="single" w:color="auto" w:sz="12" w:space="0"/>
                    <w:right w:val="nil"/>
                  </w:tcBorders>
                  <w:vAlign w:val="center"/>
                </w:tcPr>
                <w:p>
                  <w:pPr>
                    <w:jc w:val="center"/>
                    <w:rPr>
                      <w:szCs w:val="21"/>
                    </w:rPr>
                  </w:pPr>
                  <w:r>
                    <w:rPr>
                      <w:rFonts w:hint="eastAsia"/>
                      <w:szCs w:val="21"/>
                    </w:rPr>
                    <w:t>≥20</w:t>
                  </w:r>
                  <w:r>
                    <w:rPr>
                      <w:szCs w:val="21"/>
                    </w:rPr>
                    <w:t>m</w:t>
                  </w:r>
                </w:p>
              </w:tc>
            </w:tr>
          </w:tbl>
          <w:p>
            <w:pPr>
              <w:pStyle w:val="2"/>
              <w:spacing w:after="0" w:line="240" w:lineRule="auto"/>
              <w:ind w:left="0" w:leftChars="0"/>
              <w:jc w:val="center"/>
              <w:rPr>
                <w:rFonts w:ascii="Times New Roman" w:cs="Times New Roman" w:hAnsiTheme="minorEastAsia"/>
                <w:b/>
                <w:color w:val="000000" w:themeColor="text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表3-</w:t>
            </w:r>
            <w:r>
              <w:rPr>
                <w:rFonts w:hint="eastAsia" w:asciiTheme="minorEastAsia" w:hAnsiTheme="minorEastAsia" w:cstheme="minorEastAsia"/>
                <w:b/>
                <w:sz w:val="21"/>
                <w:szCs w:val="21"/>
                <w:lang w:val="en-US" w:eastAsia="zh-CN"/>
              </w:rPr>
              <w:t>10</w:t>
            </w:r>
            <w:r>
              <w:rPr>
                <w:rFonts w:hint="eastAsia" w:asciiTheme="minorEastAsia" w:hAnsiTheme="minorEastAsia" w:eastAsiaTheme="minorEastAsia" w:cstheme="minorEastAsia"/>
                <w:b/>
                <w:sz w:val="21"/>
                <w:szCs w:val="21"/>
                <w:lang w:val="en-US" w:eastAsia="zh-CN"/>
              </w:rPr>
              <w:t xml:space="preserve">  本项目水环境保护</w:t>
            </w:r>
          </w:p>
          <w:tbl>
            <w:tblPr>
              <w:tblStyle w:val="51"/>
              <w:tblW w:w="89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240"/>
              <w:gridCol w:w="2068"/>
              <w:gridCol w:w="903"/>
              <w:gridCol w:w="1293"/>
              <w:gridCol w:w="930"/>
              <w:gridCol w:w="1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64" w:type="dxa"/>
                  <w:gridSpan w:val="2"/>
                  <w:vMerge w:val="restart"/>
                  <w:tcBorders>
                    <w:top w:val="single" w:color="auto" w:sz="12" w:space="0"/>
                    <w:left w:val="nil"/>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保护目标</w:t>
                  </w:r>
                </w:p>
              </w:tc>
              <w:tc>
                <w:tcPr>
                  <w:tcW w:w="2068"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保护级别</w:t>
                  </w:r>
                </w:p>
              </w:tc>
              <w:tc>
                <w:tcPr>
                  <w:tcW w:w="903"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方位</w:t>
                  </w:r>
                </w:p>
              </w:tc>
              <w:tc>
                <w:tcPr>
                  <w:tcW w:w="1293"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与本项目</w:t>
                  </w:r>
                </w:p>
                <w:p>
                  <w:pPr>
                    <w:pStyle w:val="50"/>
                    <w:spacing w:after="0"/>
                    <w:ind w:left="0" w:leftChars="0" w:firstLine="0" w:firstLineChars="0"/>
                    <w:jc w:val="center"/>
                    <w:rPr>
                      <w:szCs w:val="21"/>
                      <w:lang w:val="zh-CN"/>
                    </w:rPr>
                  </w:pPr>
                  <w:r>
                    <w:rPr>
                      <w:rFonts w:hint="eastAsia"/>
                      <w:szCs w:val="21"/>
                      <w:lang w:val="zh-CN"/>
                    </w:rPr>
                    <w:t>距离</w:t>
                  </w:r>
                </w:p>
              </w:tc>
              <w:tc>
                <w:tcPr>
                  <w:tcW w:w="930" w:type="dxa"/>
                  <w:vMerge w:val="restart"/>
                  <w:tcBorders>
                    <w:top w:val="single" w:color="auto" w:sz="12"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备注</w:t>
                  </w:r>
                </w:p>
              </w:tc>
              <w:tc>
                <w:tcPr>
                  <w:tcW w:w="1617" w:type="dxa"/>
                  <w:tcBorders>
                    <w:top w:val="single" w:color="auto" w:sz="12" w:space="0"/>
                    <w:left w:val="single" w:color="auto" w:sz="4" w:space="0"/>
                    <w:bottom w:val="single" w:color="auto" w:sz="4" w:space="0"/>
                    <w:right w:val="nil"/>
                  </w:tcBorders>
                  <w:vAlign w:val="center"/>
                </w:tcPr>
                <w:p>
                  <w:pPr>
                    <w:pStyle w:val="50"/>
                    <w:spacing w:after="0"/>
                    <w:ind w:left="0" w:leftChars="0" w:firstLine="0" w:firstLineChars="0"/>
                    <w:jc w:val="center"/>
                    <w:rPr>
                      <w:szCs w:val="21"/>
                      <w:lang w:val="zh-CN"/>
                    </w:rPr>
                  </w:pPr>
                  <w:r>
                    <w:rPr>
                      <w:rFonts w:hint="eastAsia"/>
                      <w:szCs w:val="21"/>
                      <w:lang w:val="zh-CN"/>
                    </w:rPr>
                    <w:t>影响因子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4" w:type="dxa"/>
                  <w:gridSpan w:val="2"/>
                  <w:vMerge w:val="continue"/>
                  <w:tcBorders>
                    <w:top w:val="single" w:color="auto" w:sz="12" w:space="0"/>
                    <w:left w:val="nil"/>
                    <w:bottom w:val="single" w:color="auto" w:sz="12" w:space="0"/>
                    <w:right w:val="single" w:color="auto" w:sz="4" w:space="0"/>
                  </w:tcBorders>
                  <w:vAlign w:val="center"/>
                </w:tcPr>
                <w:p>
                  <w:pPr>
                    <w:widowControl/>
                    <w:jc w:val="left"/>
                    <w:rPr>
                      <w:rFonts w:ascii="Times New Roman" w:hAnsi="Times New Roman"/>
                      <w:szCs w:val="21"/>
                      <w:lang w:val="zh-CN"/>
                    </w:rPr>
                  </w:pPr>
                </w:p>
              </w:tc>
              <w:tc>
                <w:tcPr>
                  <w:tcW w:w="2068"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903"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1293"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930" w:type="dxa"/>
                  <w:vMerge w:val="continue"/>
                  <w:tcBorders>
                    <w:top w:val="single" w:color="auto" w:sz="12" w:space="0"/>
                    <w:left w:val="single" w:color="auto" w:sz="4" w:space="0"/>
                    <w:bottom w:val="single" w:color="auto" w:sz="12" w:space="0"/>
                    <w:right w:val="single" w:color="auto" w:sz="4" w:space="0"/>
                  </w:tcBorders>
                  <w:vAlign w:val="center"/>
                </w:tcPr>
                <w:p>
                  <w:pPr>
                    <w:widowControl/>
                    <w:jc w:val="left"/>
                    <w:rPr>
                      <w:rFonts w:ascii="Times New Roman" w:hAnsi="Times New Roman"/>
                      <w:szCs w:val="21"/>
                      <w:lang w:val="zh-CN"/>
                    </w:rPr>
                  </w:pPr>
                </w:p>
              </w:tc>
              <w:tc>
                <w:tcPr>
                  <w:tcW w:w="1617" w:type="dxa"/>
                  <w:tcBorders>
                    <w:top w:val="single" w:color="auto" w:sz="4" w:space="0"/>
                    <w:left w:val="single" w:color="auto" w:sz="4" w:space="0"/>
                    <w:bottom w:val="single" w:color="auto" w:sz="12" w:space="0"/>
                    <w:right w:val="nil"/>
                  </w:tcBorders>
                  <w:vAlign w:val="center"/>
                </w:tcPr>
                <w:p>
                  <w:pPr>
                    <w:pStyle w:val="50"/>
                    <w:spacing w:after="0"/>
                    <w:ind w:left="0" w:leftChars="0" w:firstLine="0" w:firstLineChars="0"/>
                    <w:jc w:val="center"/>
                    <w:rPr>
                      <w:szCs w:val="21"/>
                      <w:lang w:val="zh-CN"/>
                    </w:rPr>
                  </w:pPr>
                  <w:r>
                    <w:rPr>
                      <w:rFonts w:hint="eastAsia"/>
                      <w:szCs w:val="21"/>
                      <w:lang w:val="zh-CN"/>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924" w:type="dxa"/>
                  <w:tcBorders>
                    <w:top w:val="single" w:color="auto" w:sz="4" w:space="0"/>
                    <w:left w:val="nil"/>
                    <w:bottom w:val="single" w:color="auto" w:sz="4" w:space="0"/>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水环境</w:t>
                  </w:r>
                </w:p>
              </w:tc>
              <w:tc>
                <w:tcPr>
                  <w:tcW w:w="1240" w:type="dxa"/>
                  <w:tcBorders>
                    <w:top w:val="single" w:color="auto" w:sz="4" w:space="0"/>
                    <w:left w:val="single" w:color="auto" w:sz="4" w:space="0"/>
                    <w:bottom w:val="single" w:color="auto" w:sz="4" w:space="0"/>
                    <w:right w:val="single" w:color="auto" w:sz="4" w:space="0"/>
                  </w:tcBorders>
                  <w:vAlign w:val="center"/>
                </w:tcPr>
                <w:p>
                  <w:pPr>
                    <w:pStyle w:val="50"/>
                    <w:spacing w:after="0"/>
                    <w:ind w:left="0" w:leftChars="0" w:firstLine="0" w:firstLineChars="0"/>
                    <w:jc w:val="center"/>
                    <w:rPr>
                      <w:szCs w:val="21"/>
                    </w:rPr>
                  </w:pPr>
                  <w:r>
                    <w:rPr>
                      <w:rFonts w:hint="eastAsia"/>
                      <w:szCs w:val="21"/>
                    </w:rPr>
                    <w:t>牟泥沟</w:t>
                  </w:r>
                </w:p>
              </w:tc>
              <w:tc>
                <w:tcPr>
                  <w:tcW w:w="2068" w:type="dxa"/>
                  <w:tcBorders>
                    <w:top w:val="single" w:color="auto" w:sz="4" w:space="0"/>
                    <w:left w:val="single" w:color="auto" w:sz="4" w:space="0"/>
                    <w:bottom w:val="single" w:color="auto" w:sz="4"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GB3838-2002</w:t>
                  </w:r>
                  <w:r>
                    <w:rPr>
                      <w:szCs w:val="21"/>
                    </w:rPr>
                    <w:t xml:space="preserve"> </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zh-CN"/>
                    </w:rPr>
                    <w:t>Ⅱ</w:t>
                  </w:r>
                  <w:r>
                    <w:rPr>
                      <w:rFonts w:hint="eastAsia"/>
                      <w:szCs w:val="21"/>
                      <w:lang w:val="zh-CN"/>
                    </w:rPr>
                    <w:t>类</w:t>
                  </w:r>
                </w:p>
              </w:tc>
              <w:tc>
                <w:tcPr>
                  <w:tcW w:w="903" w:type="dxa"/>
                  <w:tcBorders>
                    <w:top w:val="single" w:color="auto" w:sz="4" w:space="0"/>
                    <w:left w:val="single" w:color="auto" w:sz="4" w:space="0"/>
                    <w:bottom w:val="single" w:color="auto" w:sz="4" w:space="0"/>
                    <w:right w:val="single" w:color="auto" w:sz="4" w:space="0"/>
                  </w:tcBorders>
                  <w:vAlign w:val="center"/>
                </w:tcPr>
                <w:p>
                  <w:pPr>
                    <w:pStyle w:val="50"/>
                    <w:spacing w:after="0"/>
                    <w:ind w:left="0" w:leftChars="0" w:firstLine="0" w:firstLineChars="0"/>
                    <w:jc w:val="center"/>
                    <w:rPr>
                      <w:szCs w:val="21"/>
                    </w:rPr>
                  </w:pPr>
                  <w:r>
                    <w:rPr>
                      <w:rFonts w:hint="eastAsia"/>
                      <w:szCs w:val="21"/>
                    </w:rPr>
                    <w:t>项目区域内</w:t>
                  </w:r>
                  <w:r>
                    <w:rPr>
                      <w:szCs w:val="21"/>
                    </w:rPr>
                    <w:t xml:space="preserve"> </w:t>
                  </w:r>
                </w:p>
              </w:tc>
              <w:tc>
                <w:tcPr>
                  <w:tcW w:w="1293" w:type="dxa"/>
                  <w:tcBorders>
                    <w:top w:val="single" w:color="auto" w:sz="4" w:space="0"/>
                    <w:left w:val="single" w:color="auto" w:sz="4" w:space="0"/>
                    <w:bottom w:val="single" w:color="auto" w:sz="4" w:space="0"/>
                    <w:right w:val="single" w:color="auto" w:sz="4" w:space="0"/>
                  </w:tcBorders>
                  <w:vAlign w:val="center"/>
                </w:tcPr>
                <w:p>
                  <w:pPr>
                    <w:pStyle w:val="50"/>
                    <w:spacing w:after="0"/>
                    <w:ind w:left="0" w:leftChars="0" w:firstLine="0" w:firstLineChars="0"/>
                    <w:jc w:val="center"/>
                    <w:rPr>
                      <w:szCs w:val="21"/>
                    </w:rPr>
                  </w:pPr>
                  <w:r>
                    <w:rPr>
                      <w:rFonts w:hint="eastAsia"/>
                      <w:szCs w:val="21"/>
                    </w:rPr>
                    <w:t>≥100</w:t>
                  </w:r>
                  <w:r>
                    <w:rPr>
                      <w:szCs w:val="21"/>
                    </w:rPr>
                    <w:t>m</w:t>
                  </w:r>
                </w:p>
              </w:tc>
              <w:tc>
                <w:tcPr>
                  <w:tcW w:w="930" w:type="dxa"/>
                  <w:tcBorders>
                    <w:top w:val="single" w:color="auto" w:sz="4" w:space="0"/>
                    <w:left w:val="single" w:color="auto" w:sz="4" w:space="0"/>
                    <w:bottom w:val="single" w:color="auto" w:sz="4"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w:t>
                  </w:r>
                </w:p>
              </w:tc>
              <w:tc>
                <w:tcPr>
                  <w:tcW w:w="1617" w:type="dxa"/>
                  <w:tcBorders>
                    <w:top w:val="single" w:color="auto" w:sz="4" w:space="0"/>
                    <w:left w:val="single" w:color="auto" w:sz="4" w:space="0"/>
                    <w:bottom w:val="single" w:color="auto" w:sz="4" w:space="0"/>
                    <w:right w:val="nil"/>
                  </w:tcBorders>
                  <w:vAlign w:val="center"/>
                </w:tcPr>
                <w:p>
                  <w:pPr>
                    <w:pStyle w:val="50"/>
                    <w:spacing w:after="0"/>
                    <w:ind w:left="0" w:leftChars="0" w:firstLine="0" w:firstLineChars="0"/>
                    <w:jc w:val="center"/>
                    <w:rPr>
                      <w:szCs w:val="21"/>
                    </w:rPr>
                  </w:pPr>
                  <w:r>
                    <w:rPr>
                      <w:rFonts w:hint="eastAsia"/>
                      <w:szCs w:val="21"/>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924" w:type="dxa"/>
                  <w:tcBorders>
                    <w:top w:val="single" w:color="auto" w:sz="4" w:space="0"/>
                    <w:left w:val="nil"/>
                    <w:right w:val="single" w:color="auto" w:sz="4" w:space="0"/>
                  </w:tcBorders>
                  <w:vAlign w:val="center"/>
                </w:tcPr>
                <w:p>
                  <w:pPr>
                    <w:pStyle w:val="50"/>
                    <w:spacing w:after="0"/>
                    <w:ind w:left="0" w:leftChars="0" w:firstLine="0" w:firstLineChars="0"/>
                    <w:jc w:val="center"/>
                    <w:rPr>
                      <w:szCs w:val="21"/>
                      <w:lang w:val="zh-CN"/>
                    </w:rPr>
                  </w:pPr>
                  <w:r>
                    <w:rPr>
                      <w:rFonts w:hint="eastAsia"/>
                      <w:szCs w:val="21"/>
                      <w:lang w:val="zh-CN"/>
                    </w:rPr>
                    <w:t>水环境</w:t>
                  </w:r>
                </w:p>
              </w:tc>
              <w:tc>
                <w:tcPr>
                  <w:tcW w:w="1240"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岷江</w:t>
                  </w:r>
                </w:p>
              </w:tc>
              <w:tc>
                <w:tcPr>
                  <w:tcW w:w="2068"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GB3838-2002</w:t>
                  </w:r>
                  <w:r>
                    <w:rPr>
                      <w:szCs w:val="21"/>
                    </w:rPr>
                    <w:t xml:space="preserve">  </w:t>
                  </w:r>
                  <w:r>
                    <w:rPr>
                      <w:rFonts w:hint="eastAsia" w:asciiTheme="minorEastAsia" w:hAnsiTheme="minorEastAsia" w:eastAsiaTheme="minorEastAsia" w:cstheme="minorEastAsia"/>
                      <w:szCs w:val="21"/>
                      <w:lang w:val="zh-CN"/>
                    </w:rPr>
                    <w:t>Ⅱ</w:t>
                  </w:r>
                  <w:r>
                    <w:rPr>
                      <w:rFonts w:hint="eastAsia"/>
                      <w:szCs w:val="21"/>
                      <w:lang w:val="zh-CN"/>
                    </w:rPr>
                    <w:t>类</w:t>
                  </w:r>
                </w:p>
              </w:tc>
              <w:tc>
                <w:tcPr>
                  <w:tcW w:w="903"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项目区域内</w:t>
                  </w:r>
                  <w:r>
                    <w:rPr>
                      <w:szCs w:val="21"/>
                    </w:rPr>
                    <w:t xml:space="preserve"> </w:t>
                  </w:r>
                </w:p>
              </w:tc>
              <w:tc>
                <w:tcPr>
                  <w:tcW w:w="1293"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rPr>
                  </w:pPr>
                  <w:r>
                    <w:rPr>
                      <w:rFonts w:hint="eastAsia"/>
                      <w:szCs w:val="21"/>
                    </w:rPr>
                    <w:t>≥50</w:t>
                  </w:r>
                  <w:r>
                    <w:rPr>
                      <w:szCs w:val="21"/>
                    </w:rPr>
                    <w:t>m</w:t>
                  </w:r>
                </w:p>
              </w:tc>
              <w:tc>
                <w:tcPr>
                  <w:tcW w:w="930" w:type="dxa"/>
                  <w:tcBorders>
                    <w:top w:val="single" w:color="auto" w:sz="4" w:space="0"/>
                    <w:left w:val="single" w:color="auto" w:sz="4" w:space="0"/>
                    <w:bottom w:val="single" w:color="auto" w:sz="12" w:space="0"/>
                    <w:right w:val="single" w:color="auto" w:sz="4" w:space="0"/>
                  </w:tcBorders>
                  <w:vAlign w:val="center"/>
                </w:tcPr>
                <w:p>
                  <w:pPr>
                    <w:pStyle w:val="50"/>
                    <w:spacing w:after="0"/>
                    <w:ind w:left="0" w:leftChars="0" w:firstLine="0" w:firstLineChars="0"/>
                    <w:jc w:val="center"/>
                    <w:rPr>
                      <w:szCs w:val="21"/>
                      <w:lang w:val="zh-CN"/>
                    </w:rPr>
                  </w:pPr>
                  <w:r>
                    <w:rPr>
                      <w:szCs w:val="21"/>
                      <w:lang w:val="zh-CN"/>
                    </w:rPr>
                    <w:t>/</w:t>
                  </w:r>
                </w:p>
              </w:tc>
              <w:tc>
                <w:tcPr>
                  <w:tcW w:w="1617" w:type="dxa"/>
                  <w:tcBorders>
                    <w:top w:val="single" w:color="auto" w:sz="4" w:space="0"/>
                    <w:left w:val="single" w:color="auto" w:sz="4" w:space="0"/>
                    <w:right w:val="nil"/>
                  </w:tcBorders>
                  <w:vAlign w:val="center"/>
                </w:tcPr>
                <w:p>
                  <w:pPr>
                    <w:pStyle w:val="50"/>
                    <w:spacing w:after="0"/>
                    <w:ind w:left="0" w:leftChars="0" w:firstLine="0" w:firstLineChars="0"/>
                    <w:jc w:val="center"/>
                    <w:rPr>
                      <w:szCs w:val="21"/>
                    </w:rPr>
                  </w:pPr>
                  <w:r>
                    <w:rPr>
                      <w:rFonts w:hint="eastAsia"/>
                      <w:szCs w:val="21"/>
                    </w:rPr>
                    <w:t>环境风险</w:t>
                  </w:r>
                </w:p>
              </w:tc>
            </w:tr>
          </w:tbl>
          <w:p>
            <w:pPr>
              <w:jc w:val="center"/>
              <w:rPr>
                <w:rFonts w:hint="eastAsia"/>
                <w:b/>
                <w:bCs/>
                <w:color w:val="auto"/>
                <w:szCs w:val="21"/>
                <w:lang w:val="en-US" w:eastAsia="zh-CN"/>
              </w:rPr>
            </w:pPr>
          </w:p>
          <w:p>
            <w:pPr>
              <w:jc w:val="center"/>
              <w:rPr>
                <w:rFonts w:hint="eastAsia"/>
                <w:b/>
                <w:bCs/>
                <w:color w:val="auto"/>
                <w:szCs w:val="21"/>
                <w:lang w:val="en-US" w:eastAsia="zh-CN"/>
              </w:rPr>
            </w:pPr>
            <w:r>
              <w:rPr>
                <w:rFonts w:hint="eastAsia"/>
                <w:b/>
                <w:bCs/>
                <w:color w:val="auto"/>
                <w:szCs w:val="21"/>
                <w:lang w:val="en-US" w:eastAsia="zh-CN"/>
              </w:rPr>
              <w:t>表3-11 本项目生态环境保护</w:t>
            </w:r>
          </w:p>
          <w:tbl>
            <w:tblPr>
              <w:tblStyle w:val="52"/>
              <w:tblW w:w="924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4965"/>
              <w:gridCol w:w="2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6" w:type="dxa"/>
                  <w:tcBorders>
                    <w:tl2br w:val="nil"/>
                    <w:tr2bl w:val="nil"/>
                  </w:tcBorders>
                </w:tcPr>
                <w:p>
                  <w:pPr>
                    <w:pStyle w:val="78"/>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保护目标</w:t>
                  </w:r>
                </w:p>
              </w:tc>
              <w:tc>
                <w:tcPr>
                  <w:tcW w:w="4965" w:type="dxa"/>
                  <w:tcBorders>
                    <w:tl2br w:val="nil"/>
                    <w:tr2bl w:val="nil"/>
                  </w:tcBorders>
                </w:tcPr>
                <w:p>
                  <w:pPr>
                    <w:pStyle w:val="78"/>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保护内容</w:t>
                  </w:r>
                </w:p>
              </w:tc>
              <w:tc>
                <w:tcPr>
                  <w:tcW w:w="2700" w:type="dxa"/>
                  <w:tcBorders>
                    <w:tl2br w:val="nil"/>
                    <w:tr2bl w:val="nil"/>
                  </w:tcBorders>
                </w:tcPr>
                <w:p>
                  <w:pPr>
                    <w:pStyle w:val="78"/>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6" w:type="dxa"/>
                  <w:tcBorders>
                    <w:tl2br w:val="nil"/>
                    <w:tr2bl w:val="nil"/>
                  </w:tcBorders>
                </w:tcPr>
                <w:p>
                  <w:pPr>
                    <w:pStyle w:val="78"/>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沿线植被</w:t>
                  </w:r>
                </w:p>
              </w:tc>
              <w:tc>
                <w:tcPr>
                  <w:tcW w:w="4965" w:type="dxa"/>
                  <w:tcBorders>
                    <w:tl2br w:val="nil"/>
                    <w:tr2bl w:val="nil"/>
                  </w:tcBorders>
                </w:tcPr>
                <w:p>
                  <w:pPr>
                    <w:pStyle w:val="78"/>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工程占地范围内的可能扰动的植被部分</w:t>
                  </w:r>
                </w:p>
              </w:tc>
              <w:tc>
                <w:tcPr>
                  <w:tcW w:w="2700" w:type="dxa"/>
                  <w:tcBorders>
                    <w:tl2br w:val="nil"/>
                    <w:tr2bl w:val="nil"/>
                  </w:tcBorders>
                </w:tcPr>
                <w:p>
                  <w:pPr>
                    <w:pStyle w:val="78"/>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保持野生植物现状资源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6" w:type="dxa"/>
                  <w:tcBorders>
                    <w:tl2br w:val="nil"/>
                    <w:tr2bl w:val="nil"/>
                  </w:tcBorders>
                </w:tcPr>
                <w:p>
                  <w:pPr>
                    <w:pStyle w:val="78"/>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水生生物</w:t>
                  </w:r>
                </w:p>
              </w:tc>
              <w:tc>
                <w:tcPr>
                  <w:tcW w:w="4965" w:type="dxa"/>
                  <w:tcBorders>
                    <w:tl2br w:val="nil"/>
                    <w:tr2bl w:val="nil"/>
                  </w:tcBorders>
                </w:tcPr>
                <w:p>
                  <w:pPr>
                    <w:pStyle w:val="78"/>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评价河段包括牟尼沟及下游岷江河段影响段</w:t>
                  </w:r>
                </w:p>
              </w:tc>
              <w:tc>
                <w:tcPr>
                  <w:tcW w:w="2700" w:type="dxa"/>
                  <w:tcBorders>
                    <w:tl2br w:val="nil"/>
                    <w:tr2bl w:val="nil"/>
                  </w:tcBorders>
                </w:tcPr>
                <w:p>
                  <w:pPr>
                    <w:pStyle w:val="78"/>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保持水生生物现状资源</w:t>
                  </w:r>
                </w:p>
              </w:tc>
            </w:tr>
          </w:tbl>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pPr>
              <w:pStyle w:val="3"/>
              <w:rPr>
                <w:lang w:eastAsia="zh-CN"/>
              </w:rPr>
            </w:pPr>
          </w:p>
          <w:p/>
        </w:tc>
      </w:tr>
    </w:tbl>
    <w:p>
      <w:pPr>
        <w:rPr>
          <w:rFonts w:ascii="Times New Roman" w:hAnsi="Times New Roman" w:cs="Times New Roman"/>
          <w:color w:val="000000" w:themeColor="text1"/>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000000" w:themeColor="text1"/>
          <w:sz w:val="30"/>
          <w:szCs w:val="30"/>
        </w:rPr>
      </w:pPr>
      <w:r>
        <w:rPr>
          <w:rFonts w:hint="eastAsia" w:ascii="Times New Roman" w:hAnsi="Times New Roman" w:cs="Times New Roman"/>
          <w:b/>
          <w:color w:val="000000" w:themeColor="text1"/>
          <w:sz w:val="30"/>
          <w:szCs w:val="30"/>
        </w:rPr>
        <w:t>评价标准                                            (</w:t>
      </w:r>
      <w:r>
        <w:rPr>
          <w:rFonts w:hint="eastAsia" w:ascii="Times New Roman" w:hAnsi="Times New Roman" w:cs="Times New Roman"/>
          <w:b/>
          <w:snapToGrid w:val="0"/>
          <w:color w:val="000000" w:themeColor="text1"/>
          <w:kern w:val="0"/>
          <w:sz w:val="30"/>
          <w:szCs w:val="30"/>
        </w:rPr>
        <w:t>表四)</w:t>
      </w:r>
    </w:p>
    <w:tbl>
      <w:tblPr>
        <w:tblStyle w:val="5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6" w:hRule="atLeast"/>
          <w:jc w:val="center"/>
        </w:trPr>
        <w:tc>
          <w:tcPr>
            <w:tcW w:w="852" w:type="dxa"/>
            <w:vAlign w:val="center"/>
          </w:tcPr>
          <w:p>
            <w:pPr>
              <w:snapToGrid w:val="0"/>
              <w:jc w:val="center"/>
              <w:rPr>
                <w:rFonts w:ascii="Times New Roman" w:hAnsi="Times New Roman" w:cs="Times New Roman"/>
                <w:color w:val="000000" w:themeColor="text1"/>
                <w:sz w:val="28"/>
                <w:szCs w:val="28"/>
              </w:rPr>
            </w:pPr>
            <w:r>
              <w:rPr>
                <w:rFonts w:hint="eastAsia" w:ascii="Times New Roman" w:hAnsi="Times New Roman" w:cs="Times New Roman"/>
                <w:color w:val="000000" w:themeColor="text1"/>
                <w:sz w:val="28"/>
                <w:szCs w:val="28"/>
              </w:rPr>
              <w:t>环境质量标准</w:t>
            </w:r>
          </w:p>
        </w:tc>
        <w:tc>
          <w:tcPr>
            <w:tcW w:w="8787" w:type="dxa"/>
          </w:tcPr>
          <w:p>
            <w:pPr>
              <w:spacing w:line="360" w:lineRule="auto"/>
              <w:ind w:firstLine="480" w:firstLineChars="200"/>
              <w:rPr>
                <w:rFonts w:ascii="Times New Roman" w:hAnsi="Times New Roman" w:cs="Times New Roman"/>
                <w:color w:val="000000" w:themeColor="text1"/>
                <w:sz w:val="24"/>
                <w:szCs w:val="20"/>
              </w:rPr>
            </w:pPr>
            <w:r>
              <w:rPr>
                <w:rFonts w:hint="eastAsia" w:ascii="Times New Roman" w:cs="Times New Roman"/>
                <w:color w:val="000000" w:themeColor="text1"/>
                <w:sz w:val="24"/>
                <w:szCs w:val="20"/>
              </w:rPr>
              <w:t>本项目具体执行标准如下示：</w:t>
            </w:r>
          </w:p>
          <w:p>
            <w:pPr>
              <w:numPr>
                <w:ilvl w:val="0"/>
                <w:numId w:val="4"/>
              </w:numPr>
              <w:spacing w:line="360" w:lineRule="auto"/>
              <w:rPr>
                <w:rFonts w:ascii="Times New Roman" w:hAnsi="Times New Roman" w:cs="Times New Roman"/>
                <w:b/>
                <w:color w:val="000000" w:themeColor="text1"/>
                <w:sz w:val="24"/>
                <w:szCs w:val="20"/>
              </w:rPr>
            </w:pPr>
            <w:r>
              <w:rPr>
                <w:rFonts w:hint="eastAsia" w:ascii="Times New Roman" w:cs="Times New Roman"/>
                <w:b/>
                <w:color w:val="000000" w:themeColor="text1"/>
                <w:sz w:val="24"/>
                <w:szCs w:val="20"/>
              </w:rPr>
              <w:t>环境空气</w:t>
            </w:r>
          </w:p>
          <w:p>
            <w:pPr>
              <w:spacing w:line="360" w:lineRule="auto"/>
              <w:ind w:firstLine="480" w:firstLineChars="200"/>
              <w:rPr>
                <w:rFonts w:ascii="Times New Roman" w:hAnsi="Times New Roman" w:cs="Times New Roman"/>
                <w:color w:val="000000" w:themeColor="text1"/>
                <w:sz w:val="24"/>
                <w:szCs w:val="20"/>
              </w:rPr>
            </w:pPr>
            <w:r>
              <w:rPr>
                <w:rFonts w:hint="eastAsia" w:ascii="Times New Roman" w:cs="Times New Roman"/>
                <w:color w:val="000000" w:themeColor="text1"/>
                <w:sz w:val="24"/>
                <w:szCs w:val="20"/>
              </w:rPr>
              <w:t>执行《环境空气质量标准》</w:t>
            </w:r>
            <w:r>
              <w:rPr>
                <w:rFonts w:ascii="Times New Roman" w:hAnsi="Times New Roman" w:cs="Times New Roman"/>
                <w:color w:val="000000" w:themeColor="text1"/>
                <w:sz w:val="24"/>
                <w:szCs w:val="20"/>
              </w:rPr>
              <w:t>(GB3095-2012)</w:t>
            </w:r>
            <w:r>
              <w:rPr>
                <w:rFonts w:hint="eastAsia" w:ascii="Times New Roman" w:cs="Times New Roman"/>
                <w:color w:val="000000" w:themeColor="text1"/>
                <w:sz w:val="24"/>
                <w:szCs w:val="20"/>
              </w:rPr>
              <w:t>二级标准要求。见表</w:t>
            </w:r>
            <w:r>
              <w:rPr>
                <w:rFonts w:ascii="Times New Roman" w:hAnsi="Times New Roman" w:cs="Times New Roman"/>
                <w:color w:val="000000" w:themeColor="text1"/>
                <w:sz w:val="24"/>
                <w:szCs w:val="20"/>
              </w:rPr>
              <w:t>4-1</w:t>
            </w:r>
            <w:r>
              <w:rPr>
                <w:rFonts w:hint="eastAsia" w:ascii="Times New Roman" w:cs="Times New Roman"/>
                <w:color w:val="000000" w:themeColor="text1"/>
                <w:sz w:val="24"/>
                <w:szCs w:val="20"/>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表4-1   环境空气质量执行标准</w:t>
            </w:r>
          </w:p>
          <w:tbl>
            <w:tblPr>
              <w:tblStyle w:val="51"/>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451"/>
              <w:gridCol w:w="1701"/>
              <w:gridCol w:w="1550"/>
              <w:gridCol w:w="1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1726" w:type="dxa"/>
                  <w:tcBorders>
                    <w:tl2br w:val="nil"/>
                    <w:tr2bl w:val="nil"/>
                  </w:tcBorders>
                  <w:vAlign w:val="center"/>
                </w:tcPr>
                <w:p>
                  <w:pPr>
                    <w:pStyle w:val="297"/>
                    <w:ind w:firstLine="0" w:firstLineChars="0"/>
                    <w:jc w:val="center"/>
                  </w:pPr>
                  <w:r>
                    <w:rPr>
                      <w:rFonts w:hint="eastAsia"/>
                    </w:rPr>
                    <w:t>污染物名称</w:t>
                  </w:r>
                </w:p>
              </w:tc>
              <w:tc>
                <w:tcPr>
                  <w:tcW w:w="1451" w:type="dxa"/>
                  <w:tcBorders>
                    <w:tl2br w:val="nil"/>
                    <w:tr2bl w:val="nil"/>
                  </w:tcBorders>
                  <w:vAlign w:val="center"/>
                </w:tcPr>
                <w:p>
                  <w:pPr>
                    <w:pStyle w:val="297"/>
                    <w:ind w:firstLine="0" w:firstLineChars="0"/>
                    <w:jc w:val="center"/>
                  </w:pPr>
                  <w:r>
                    <w:rPr>
                      <w:rFonts w:hint="eastAsia"/>
                    </w:rPr>
                    <w:t>年平均浓度限值</w:t>
                  </w:r>
                </w:p>
              </w:tc>
              <w:tc>
                <w:tcPr>
                  <w:tcW w:w="1701" w:type="dxa"/>
                  <w:tcBorders>
                    <w:tl2br w:val="nil"/>
                    <w:tr2bl w:val="nil"/>
                  </w:tcBorders>
                  <w:vAlign w:val="center"/>
                </w:tcPr>
                <w:p>
                  <w:pPr>
                    <w:pStyle w:val="297"/>
                    <w:ind w:firstLine="0" w:firstLineChars="0"/>
                    <w:jc w:val="center"/>
                  </w:pPr>
                  <w:r>
                    <w:rPr>
                      <w:rFonts w:hint="eastAsia"/>
                    </w:rPr>
                    <w:t>日平均浓度限值</w:t>
                  </w:r>
                </w:p>
              </w:tc>
              <w:tc>
                <w:tcPr>
                  <w:tcW w:w="1550" w:type="dxa"/>
                  <w:tcBorders>
                    <w:tl2br w:val="nil"/>
                    <w:tr2bl w:val="nil"/>
                  </w:tcBorders>
                  <w:vAlign w:val="center"/>
                </w:tcPr>
                <w:p>
                  <w:pPr>
                    <w:pStyle w:val="297"/>
                    <w:ind w:firstLine="0" w:firstLineChars="0"/>
                    <w:jc w:val="center"/>
                  </w:pPr>
                  <w:r>
                    <w:t>1</w:t>
                  </w:r>
                  <w:r>
                    <w:rPr>
                      <w:rFonts w:hint="eastAsia"/>
                    </w:rPr>
                    <w:t>小时平均浓度限值</w:t>
                  </w:r>
                </w:p>
              </w:tc>
              <w:tc>
                <w:tcPr>
                  <w:tcW w:w="1510" w:type="dxa"/>
                  <w:tcBorders>
                    <w:tl2br w:val="nil"/>
                    <w:tr2bl w:val="nil"/>
                  </w:tcBorders>
                  <w:vAlign w:val="center"/>
                </w:tcPr>
                <w:p>
                  <w:pPr>
                    <w:pStyle w:val="297"/>
                    <w:ind w:firstLine="0" w:firstLineChars="0"/>
                    <w:jc w:val="center"/>
                  </w:pPr>
                  <w:r>
                    <w:rPr>
                      <w:rFonts w:hint="eastAsia"/>
                    </w:rPr>
                    <w:t>8小时平均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ind w:firstLine="0" w:firstLineChars="0"/>
                    <w:jc w:val="center"/>
                  </w:pPr>
                  <w:r>
                    <w:t>SO</w:t>
                  </w:r>
                  <w:r>
                    <w:rPr>
                      <w:vertAlign w:val="subscript"/>
                    </w:rPr>
                    <w:t>2</w:t>
                  </w:r>
                </w:p>
              </w:tc>
              <w:tc>
                <w:tcPr>
                  <w:tcW w:w="1451" w:type="dxa"/>
                  <w:tcBorders>
                    <w:tl2br w:val="nil"/>
                    <w:tr2bl w:val="nil"/>
                  </w:tcBorders>
                  <w:vAlign w:val="center"/>
                </w:tcPr>
                <w:p>
                  <w:pPr>
                    <w:pStyle w:val="297"/>
                    <w:ind w:firstLine="0" w:firstLineChars="0"/>
                    <w:jc w:val="center"/>
                  </w:pPr>
                  <w:r>
                    <w:rPr>
                      <w:szCs w:val="21"/>
                    </w:rPr>
                    <w:t>60µg/m</w:t>
                  </w:r>
                  <w:r>
                    <w:rPr>
                      <w:szCs w:val="21"/>
                      <w:vertAlign w:val="superscript"/>
                    </w:rPr>
                    <w:t>3</w:t>
                  </w:r>
                </w:p>
              </w:tc>
              <w:tc>
                <w:tcPr>
                  <w:tcW w:w="1701" w:type="dxa"/>
                  <w:tcBorders>
                    <w:tl2br w:val="nil"/>
                    <w:tr2bl w:val="nil"/>
                  </w:tcBorders>
                  <w:vAlign w:val="center"/>
                </w:tcPr>
                <w:p>
                  <w:pPr>
                    <w:pStyle w:val="297"/>
                    <w:ind w:firstLine="0" w:firstLineChars="0"/>
                    <w:jc w:val="center"/>
                  </w:pPr>
                  <w:r>
                    <w:rPr>
                      <w:szCs w:val="21"/>
                    </w:rPr>
                    <w:t>150µg/m</w:t>
                  </w:r>
                  <w:r>
                    <w:rPr>
                      <w:szCs w:val="21"/>
                      <w:vertAlign w:val="superscript"/>
                    </w:rPr>
                    <w:t>3</w:t>
                  </w:r>
                </w:p>
              </w:tc>
              <w:tc>
                <w:tcPr>
                  <w:tcW w:w="1550" w:type="dxa"/>
                  <w:tcBorders>
                    <w:tl2br w:val="nil"/>
                    <w:tr2bl w:val="nil"/>
                  </w:tcBorders>
                  <w:vAlign w:val="center"/>
                </w:tcPr>
                <w:p>
                  <w:pPr>
                    <w:pStyle w:val="297"/>
                    <w:ind w:firstLine="0" w:firstLineChars="0"/>
                    <w:jc w:val="center"/>
                  </w:pPr>
                  <w:r>
                    <w:rPr>
                      <w:szCs w:val="21"/>
                    </w:rPr>
                    <w:t>500µg/m</w:t>
                  </w:r>
                  <w:r>
                    <w:rPr>
                      <w:szCs w:val="21"/>
                      <w:vertAlign w:val="superscript"/>
                    </w:rPr>
                    <w:t>3</w:t>
                  </w:r>
                </w:p>
              </w:tc>
              <w:tc>
                <w:tcPr>
                  <w:tcW w:w="1510" w:type="dxa"/>
                  <w:tcBorders>
                    <w:tl2br w:val="nil"/>
                    <w:tr2bl w:val="nil"/>
                  </w:tcBorders>
                  <w:vAlign w:val="center"/>
                </w:tcPr>
                <w:p>
                  <w:pPr>
                    <w:pStyle w:val="297"/>
                    <w:ind w:firstLine="0" w:firstLineChars="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ind w:firstLine="0" w:firstLineChars="0"/>
                    <w:jc w:val="center"/>
                  </w:pPr>
                  <w:r>
                    <w:t>NO</w:t>
                  </w:r>
                  <w:r>
                    <w:rPr>
                      <w:vertAlign w:val="subscript"/>
                    </w:rPr>
                    <w:t>2</w:t>
                  </w:r>
                </w:p>
              </w:tc>
              <w:tc>
                <w:tcPr>
                  <w:tcW w:w="1451" w:type="dxa"/>
                  <w:tcBorders>
                    <w:tl2br w:val="nil"/>
                    <w:tr2bl w:val="nil"/>
                  </w:tcBorders>
                  <w:vAlign w:val="center"/>
                </w:tcPr>
                <w:p>
                  <w:pPr>
                    <w:pStyle w:val="297"/>
                    <w:ind w:firstLine="0" w:firstLineChars="0"/>
                    <w:jc w:val="center"/>
                  </w:pPr>
                  <w:r>
                    <w:rPr>
                      <w:szCs w:val="21"/>
                    </w:rPr>
                    <w:t>40µg/m</w:t>
                  </w:r>
                  <w:r>
                    <w:rPr>
                      <w:szCs w:val="21"/>
                      <w:vertAlign w:val="superscript"/>
                    </w:rPr>
                    <w:t>3</w:t>
                  </w:r>
                </w:p>
              </w:tc>
              <w:tc>
                <w:tcPr>
                  <w:tcW w:w="1701" w:type="dxa"/>
                  <w:tcBorders>
                    <w:tl2br w:val="nil"/>
                    <w:tr2bl w:val="nil"/>
                  </w:tcBorders>
                  <w:vAlign w:val="center"/>
                </w:tcPr>
                <w:p>
                  <w:pPr>
                    <w:pStyle w:val="297"/>
                    <w:ind w:firstLine="0" w:firstLineChars="0"/>
                    <w:jc w:val="center"/>
                  </w:pPr>
                  <w:r>
                    <w:rPr>
                      <w:szCs w:val="21"/>
                    </w:rPr>
                    <w:t>80µg/m</w:t>
                  </w:r>
                  <w:r>
                    <w:rPr>
                      <w:szCs w:val="21"/>
                      <w:vertAlign w:val="superscript"/>
                    </w:rPr>
                    <w:t>3</w:t>
                  </w:r>
                </w:p>
              </w:tc>
              <w:tc>
                <w:tcPr>
                  <w:tcW w:w="1550" w:type="dxa"/>
                  <w:tcBorders>
                    <w:tl2br w:val="nil"/>
                    <w:tr2bl w:val="nil"/>
                  </w:tcBorders>
                  <w:vAlign w:val="center"/>
                </w:tcPr>
                <w:p>
                  <w:pPr>
                    <w:pStyle w:val="297"/>
                    <w:ind w:firstLine="0" w:firstLineChars="0"/>
                    <w:jc w:val="center"/>
                  </w:pPr>
                  <w:r>
                    <w:rPr>
                      <w:szCs w:val="21"/>
                    </w:rPr>
                    <w:t>200µg/m</w:t>
                  </w:r>
                  <w:r>
                    <w:rPr>
                      <w:szCs w:val="21"/>
                      <w:vertAlign w:val="superscript"/>
                    </w:rPr>
                    <w:t>3</w:t>
                  </w:r>
                </w:p>
              </w:tc>
              <w:tc>
                <w:tcPr>
                  <w:tcW w:w="1510" w:type="dxa"/>
                  <w:tcBorders>
                    <w:tl2br w:val="nil"/>
                    <w:tr2bl w:val="nil"/>
                  </w:tcBorders>
                  <w:vAlign w:val="center"/>
                </w:tcPr>
                <w:p>
                  <w:pPr>
                    <w:pStyle w:val="297"/>
                    <w:ind w:firstLine="0" w:firstLineChars="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ind w:firstLine="0" w:firstLineChars="0"/>
                    <w:jc w:val="center"/>
                  </w:pPr>
                  <w:r>
                    <w:t>PM</w:t>
                  </w:r>
                  <w:r>
                    <w:rPr>
                      <w:vertAlign w:val="subscript"/>
                    </w:rPr>
                    <w:t>10</w:t>
                  </w:r>
                </w:p>
              </w:tc>
              <w:tc>
                <w:tcPr>
                  <w:tcW w:w="1451" w:type="dxa"/>
                  <w:tcBorders>
                    <w:tl2br w:val="nil"/>
                    <w:tr2bl w:val="nil"/>
                  </w:tcBorders>
                  <w:vAlign w:val="center"/>
                </w:tcPr>
                <w:p>
                  <w:pPr>
                    <w:pStyle w:val="297"/>
                    <w:ind w:firstLine="0" w:firstLineChars="0"/>
                    <w:jc w:val="center"/>
                  </w:pPr>
                  <w:r>
                    <w:rPr>
                      <w:szCs w:val="21"/>
                    </w:rPr>
                    <w:t>70µg/m</w:t>
                  </w:r>
                  <w:r>
                    <w:rPr>
                      <w:szCs w:val="21"/>
                      <w:vertAlign w:val="superscript"/>
                    </w:rPr>
                    <w:t>3</w:t>
                  </w:r>
                </w:p>
              </w:tc>
              <w:tc>
                <w:tcPr>
                  <w:tcW w:w="1701" w:type="dxa"/>
                  <w:tcBorders>
                    <w:tl2br w:val="nil"/>
                    <w:tr2bl w:val="nil"/>
                  </w:tcBorders>
                  <w:vAlign w:val="center"/>
                </w:tcPr>
                <w:p>
                  <w:pPr>
                    <w:pStyle w:val="297"/>
                    <w:ind w:firstLine="0" w:firstLineChars="0"/>
                    <w:jc w:val="center"/>
                  </w:pPr>
                  <w:r>
                    <w:rPr>
                      <w:szCs w:val="21"/>
                    </w:rPr>
                    <w:t>150µg/m</w:t>
                  </w:r>
                  <w:r>
                    <w:rPr>
                      <w:szCs w:val="21"/>
                      <w:vertAlign w:val="superscript"/>
                    </w:rPr>
                    <w:t>3</w:t>
                  </w:r>
                </w:p>
              </w:tc>
              <w:tc>
                <w:tcPr>
                  <w:tcW w:w="1550" w:type="dxa"/>
                  <w:tcBorders>
                    <w:tl2br w:val="nil"/>
                    <w:tr2bl w:val="nil"/>
                  </w:tcBorders>
                  <w:vAlign w:val="center"/>
                </w:tcPr>
                <w:p>
                  <w:pPr>
                    <w:pStyle w:val="297"/>
                    <w:ind w:firstLine="0" w:firstLineChars="0"/>
                    <w:jc w:val="center"/>
                  </w:pPr>
                  <w:r>
                    <w:t>/</w:t>
                  </w:r>
                </w:p>
              </w:tc>
              <w:tc>
                <w:tcPr>
                  <w:tcW w:w="1510" w:type="dxa"/>
                  <w:tcBorders>
                    <w:tl2br w:val="nil"/>
                    <w:tr2bl w:val="nil"/>
                  </w:tcBorders>
                  <w:vAlign w:val="center"/>
                </w:tcPr>
                <w:p>
                  <w:pPr>
                    <w:pStyle w:val="297"/>
                    <w:ind w:firstLine="0" w:firstLineChars="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ind w:firstLine="0" w:firstLineChars="0"/>
                    <w:jc w:val="center"/>
                  </w:pPr>
                  <w:r>
                    <w:t>PM</w:t>
                  </w:r>
                  <w:r>
                    <w:rPr>
                      <w:rFonts w:hint="eastAsia"/>
                      <w:vertAlign w:val="subscript"/>
                    </w:rPr>
                    <w:t>2.5</w:t>
                  </w:r>
                </w:p>
              </w:tc>
              <w:tc>
                <w:tcPr>
                  <w:tcW w:w="1451" w:type="dxa"/>
                  <w:tcBorders>
                    <w:tl2br w:val="nil"/>
                    <w:tr2bl w:val="nil"/>
                  </w:tcBorders>
                  <w:vAlign w:val="center"/>
                </w:tcPr>
                <w:p>
                  <w:pPr>
                    <w:pStyle w:val="297"/>
                    <w:ind w:firstLine="0" w:firstLineChars="0"/>
                    <w:jc w:val="center"/>
                    <w:rPr>
                      <w:szCs w:val="21"/>
                    </w:rPr>
                  </w:pPr>
                  <w:r>
                    <w:rPr>
                      <w:rFonts w:hint="eastAsia"/>
                      <w:szCs w:val="21"/>
                    </w:rPr>
                    <w:t>35</w:t>
                  </w:r>
                  <w:r>
                    <w:rPr>
                      <w:szCs w:val="21"/>
                    </w:rPr>
                    <w:t>µg/m</w:t>
                  </w:r>
                  <w:r>
                    <w:rPr>
                      <w:szCs w:val="21"/>
                      <w:vertAlign w:val="superscript"/>
                    </w:rPr>
                    <w:t>3</w:t>
                  </w:r>
                </w:p>
              </w:tc>
              <w:tc>
                <w:tcPr>
                  <w:tcW w:w="1701" w:type="dxa"/>
                  <w:tcBorders>
                    <w:tl2br w:val="nil"/>
                    <w:tr2bl w:val="nil"/>
                  </w:tcBorders>
                  <w:vAlign w:val="center"/>
                </w:tcPr>
                <w:p>
                  <w:pPr>
                    <w:pStyle w:val="297"/>
                    <w:ind w:firstLine="0" w:firstLineChars="0"/>
                    <w:jc w:val="center"/>
                    <w:rPr>
                      <w:szCs w:val="21"/>
                    </w:rPr>
                  </w:pPr>
                  <w:r>
                    <w:rPr>
                      <w:rFonts w:hint="eastAsia"/>
                      <w:szCs w:val="21"/>
                    </w:rPr>
                    <w:t>75</w:t>
                  </w:r>
                  <w:r>
                    <w:rPr>
                      <w:szCs w:val="21"/>
                    </w:rPr>
                    <w:t>µg/m</w:t>
                  </w:r>
                  <w:r>
                    <w:rPr>
                      <w:szCs w:val="21"/>
                      <w:vertAlign w:val="superscript"/>
                    </w:rPr>
                    <w:t>3</w:t>
                  </w:r>
                </w:p>
              </w:tc>
              <w:tc>
                <w:tcPr>
                  <w:tcW w:w="1550" w:type="dxa"/>
                  <w:tcBorders>
                    <w:tl2br w:val="nil"/>
                    <w:tr2bl w:val="nil"/>
                  </w:tcBorders>
                  <w:vAlign w:val="center"/>
                </w:tcPr>
                <w:p>
                  <w:pPr>
                    <w:pStyle w:val="297"/>
                    <w:ind w:firstLine="0" w:firstLineChars="0"/>
                    <w:jc w:val="center"/>
                  </w:pPr>
                  <w:r>
                    <w:rPr>
                      <w:rFonts w:hint="eastAsia"/>
                    </w:rPr>
                    <w:t>/</w:t>
                  </w:r>
                </w:p>
              </w:tc>
              <w:tc>
                <w:tcPr>
                  <w:tcW w:w="1510" w:type="dxa"/>
                  <w:tcBorders>
                    <w:tl2br w:val="nil"/>
                    <w:tr2bl w:val="nil"/>
                  </w:tcBorders>
                  <w:vAlign w:val="center"/>
                </w:tcPr>
                <w:p>
                  <w:pPr>
                    <w:pStyle w:val="297"/>
                    <w:ind w:firstLine="0" w:firstLineChars="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exact"/>
                <w:jc w:val="center"/>
              </w:trPr>
              <w:tc>
                <w:tcPr>
                  <w:tcW w:w="1726" w:type="dxa"/>
                  <w:tcBorders>
                    <w:tl2br w:val="nil"/>
                    <w:tr2bl w:val="nil"/>
                  </w:tcBorders>
                  <w:vAlign w:val="center"/>
                </w:tcPr>
                <w:p>
                  <w:pPr>
                    <w:pStyle w:val="297"/>
                    <w:ind w:firstLine="0" w:firstLineChars="0"/>
                    <w:jc w:val="center"/>
                  </w:pPr>
                  <w:r>
                    <w:t>一氧化碳</w:t>
                  </w:r>
                  <w:r>
                    <w:rPr>
                      <w:rFonts w:hint="eastAsia"/>
                    </w:rPr>
                    <w:t>（CO）</w:t>
                  </w:r>
                </w:p>
              </w:tc>
              <w:tc>
                <w:tcPr>
                  <w:tcW w:w="1451" w:type="dxa"/>
                  <w:tcBorders>
                    <w:tl2br w:val="nil"/>
                    <w:tr2bl w:val="nil"/>
                  </w:tcBorders>
                  <w:vAlign w:val="center"/>
                </w:tcPr>
                <w:p>
                  <w:pPr>
                    <w:pStyle w:val="297"/>
                    <w:ind w:firstLine="0" w:firstLineChars="0"/>
                    <w:jc w:val="center"/>
                    <w:rPr>
                      <w:szCs w:val="21"/>
                    </w:rPr>
                  </w:pPr>
                  <w:r>
                    <w:rPr>
                      <w:rFonts w:hint="eastAsia"/>
                      <w:szCs w:val="21"/>
                    </w:rPr>
                    <w:t>/</w:t>
                  </w:r>
                </w:p>
              </w:tc>
              <w:tc>
                <w:tcPr>
                  <w:tcW w:w="1701" w:type="dxa"/>
                  <w:tcBorders>
                    <w:tl2br w:val="nil"/>
                    <w:tr2bl w:val="nil"/>
                  </w:tcBorders>
                  <w:vAlign w:val="center"/>
                </w:tcPr>
                <w:p>
                  <w:pPr>
                    <w:pStyle w:val="297"/>
                    <w:ind w:firstLine="0" w:firstLineChars="0"/>
                    <w:jc w:val="center"/>
                    <w:rPr>
                      <w:szCs w:val="21"/>
                    </w:rPr>
                  </w:pPr>
                  <w:r>
                    <w:rPr>
                      <w:rFonts w:hint="eastAsia"/>
                      <w:szCs w:val="21"/>
                    </w:rPr>
                    <w:t>4000</w:t>
                  </w:r>
                  <w:r>
                    <w:rPr>
                      <w:szCs w:val="21"/>
                    </w:rPr>
                    <w:t>µg/m</w:t>
                  </w:r>
                  <w:r>
                    <w:rPr>
                      <w:szCs w:val="21"/>
                      <w:vertAlign w:val="superscript"/>
                    </w:rPr>
                    <w:t>3</w:t>
                  </w:r>
                </w:p>
              </w:tc>
              <w:tc>
                <w:tcPr>
                  <w:tcW w:w="1550" w:type="dxa"/>
                  <w:tcBorders>
                    <w:tl2br w:val="nil"/>
                    <w:tr2bl w:val="nil"/>
                  </w:tcBorders>
                  <w:vAlign w:val="center"/>
                </w:tcPr>
                <w:p>
                  <w:pPr>
                    <w:pStyle w:val="297"/>
                    <w:ind w:firstLine="0" w:firstLineChars="0"/>
                    <w:jc w:val="center"/>
                  </w:pPr>
                  <w:r>
                    <w:rPr>
                      <w:rFonts w:hint="eastAsia"/>
                    </w:rPr>
                    <w:t>/</w:t>
                  </w:r>
                </w:p>
              </w:tc>
              <w:tc>
                <w:tcPr>
                  <w:tcW w:w="1510" w:type="dxa"/>
                  <w:tcBorders>
                    <w:tl2br w:val="nil"/>
                    <w:tr2bl w:val="nil"/>
                  </w:tcBorders>
                  <w:vAlign w:val="center"/>
                </w:tcPr>
                <w:p>
                  <w:pPr>
                    <w:pStyle w:val="297"/>
                    <w:ind w:firstLine="0" w:firstLineChars="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ind w:firstLine="0" w:firstLineChars="0"/>
                    <w:jc w:val="center"/>
                  </w:pPr>
                  <w:r>
                    <w:t>臭氧</w:t>
                  </w:r>
                  <w:r>
                    <w:rPr>
                      <w:rFonts w:hint="eastAsia"/>
                    </w:rPr>
                    <w:t>（O</w:t>
                  </w:r>
                  <w:r>
                    <w:rPr>
                      <w:rFonts w:hint="eastAsia"/>
                      <w:vertAlign w:val="subscript"/>
                    </w:rPr>
                    <w:t>3</w:t>
                  </w:r>
                  <w:r>
                    <w:rPr>
                      <w:rFonts w:hint="eastAsia"/>
                    </w:rPr>
                    <w:t>）</w:t>
                  </w:r>
                </w:p>
              </w:tc>
              <w:tc>
                <w:tcPr>
                  <w:tcW w:w="1451" w:type="dxa"/>
                  <w:tcBorders>
                    <w:tl2br w:val="nil"/>
                    <w:tr2bl w:val="nil"/>
                  </w:tcBorders>
                  <w:vAlign w:val="center"/>
                </w:tcPr>
                <w:p>
                  <w:pPr>
                    <w:pStyle w:val="297"/>
                    <w:ind w:firstLine="0" w:firstLineChars="0"/>
                    <w:jc w:val="center"/>
                    <w:rPr>
                      <w:szCs w:val="21"/>
                    </w:rPr>
                  </w:pPr>
                  <w:r>
                    <w:rPr>
                      <w:rFonts w:hint="eastAsia"/>
                      <w:szCs w:val="21"/>
                    </w:rPr>
                    <w:t>/</w:t>
                  </w:r>
                </w:p>
              </w:tc>
              <w:tc>
                <w:tcPr>
                  <w:tcW w:w="1701" w:type="dxa"/>
                  <w:tcBorders>
                    <w:tl2br w:val="nil"/>
                    <w:tr2bl w:val="nil"/>
                  </w:tcBorders>
                  <w:vAlign w:val="center"/>
                </w:tcPr>
                <w:p>
                  <w:pPr>
                    <w:pStyle w:val="297"/>
                    <w:ind w:firstLine="0" w:firstLineChars="0"/>
                    <w:jc w:val="center"/>
                    <w:rPr>
                      <w:szCs w:val="21"/>
                    </w:rPr>
                  </w:pPr>
                  <w:r>
                    <w:rPr>
                      <w:rFonts w:hint="eastAsia"/>
                      <w:szCs w:val="21"/>
                    </w:rPr>
                    <w:t>/</w:t>
                  </w:r>
                </w:p>
              </w:tc>
              <w:tc>
                <w:tcPr>
                  <w:tcW w:w="1550" w:type="dxa"/>
                  <w:tcBorders>
                    <w:tl2br w:val="nil"/>
                    <w:tr2bl w:val="nil"/>
                  </w:tcBorders>
                  <w:vAlign w:val="center"/>
                </w:tcPr>
                <w:p>
                  <w:pPr>
                    <w:pStyle w:val="297"/>
                    <w:ind w:firstLine="0" w:firstLineChars="0"/>
                    <w:jc w:val="center"/>
                  </w:pPr>
                  <w:r>
                    <w:rPr>
                      <w:rFonts w:hint="eastAsia"/>
                    </w:rPr>
                    <w:t>/</w:t>
                  </w:r>
                </w:p>
              </w:tc>
              <w:tc>
                <w:tcPr>
                  <w:tcW w:w="1510" w:type="dxa"/>
                  <w:tcBorders>
                    <w:tl2br w:val="nil"/>
                    <w:tr2bl w:val="nil"/>
                  </w:tcBorders>
                  <w:vAlign w:val="center"/>
                </w:tcPr>
                <w:p>
                  <w:pPr>
                    <w:pStyle w:val="297"/>
                    <w:ind w:firstLine="0" w:firstLineChars="0"/>
                    <w:jc w:val="center"/>
                  </w:pPr>
                  <w:r>
                    <w:rPr>
                      <w:rFonts w:hint="eastAsia"/>
                    </w:rPr>
                    <w:t>160</w:t>
                  </w:r>
                  <w:r>
                    <w:rPr>
                      <w:szCs w:val="21"/>
                    </w:rPr>
                    <w:t>µg/m</w:t>
                  </w:r>
                  <w:r>
                    <w:rPr>
                      <w:szCs w:val="21"/>
                      <w:vertAlign w:val="superscript"/>
                    </w:rPr>
                    <w:t>3</w:t>
                  </w:r>
                </w:p>
              </w:tc>
            </w:tr>
          </w:tbl>
          <w:p>
            <w:pPr>
              <w:numPr>
                <w:ilvl w:val="0"/>
                <w:numId w:val="4"/>
              </w:numPr>
              <w:spacing w:line="360" w:lineRule="auto"/>
              <w:rPr>
                <w:rFonts w:ascii="Times New Roman" w:hAnsi="Times New Roman" w:cs="Times New Roman"/>
                <w:b/>
                <w:color w:val="000000" w:themeColor="text1"/>
                <w:sz w:val="24"/>
                <w:szCs w:val="20"/>
              </w:rPr>
            </w:pPr>
            <w:r>
              <w:rPr>
                <w:rFonts w:ascii="Times New Roman" w:cs="Times New Roman"/>
                <w:b/>
                <w:color w:val="000000" w:themeColor="text1"/>
                <w:sz w:val="24"/>
                <w:szCs w:val="20"/>
              </w:rPr>
              <w:t>声环境</w:t>
            </w:r>
          </w:p>
          <w:p>
            <w:pPr>
              <w:spacing w:line="360" w:lineRule="auto"/>
              <w:ind w:firstLine="448" w:firstLineChars="200"/>
              <w:rPr>
                <w:rFonts w:ascii="Times New Roman" w:hAnsi="Times New Roman" w:cs="Times New Roman"/>
                <w:color w:val="000000" w:themeColor="text1"/>
                <w:sz w:val="24"/>
                <w:szCs w:val="20"/>
              </w:rPr>
            </w:pPr>
            <w:r>
              <w:rPr>
                <w:rFonts w:hint="eastAsia" w:ascii="Times New Roman" w:cs="Times New Roman"/>
                <w:color w:val="000000" w:themeColor="text1"/>
                <w:spacing w:val="-8"/>
                <w:sz w:val="24"/>
                <w:szCs w:val="20"/>
              </w:rPr>
              <w:t>执行《声环境质量标准》</w:t>
            </w:r>
            <w:r>
              <w:rPr>
                <w:rFonts w:ascii="Times New Roman" w:hAnsi="Times New Roman" w:cs="Times New Roman"/>
                <w:color w:val="000000" w:themeColor="text1"/>
                <w:spacing w:val="-8"/>
                <w:sz w:val="24"/>
                <w:szCs w:val="20"/>
              </w:rPr>
              <w:t>(GB3096-2008) 2</w:t>
            </w:r>
            <w:r>
              <w:rPr>
                <w:rFonts w:hint="eastAsia" w:ascii="Times New Roman" w:cs="Times New Roman"/>
                <w:color w:val="000000" w:themeColor="text1"/>
                <w:spacing w:val="-8"/>
                <w:sz w:val="24"/>
                <w:szCs w:val="20"/>
              </w:rPr>
              <w:t>类标准</w:t>
            </w:r>
            <w:r>
              <w:rPr>
                <w:rFonts w:hint="eastAsia" w:ascii="Times New Roman" w:cs="Times New Roman"/>
                <w:color w:val="000000" w:themeColor="text1"/>
                <w:sz w:val="24"/>
                <w:szCs w:val="20"/>
              </w:rPr>
              <w:t>。见表</w:t>
            </w:r>
            <w:r>
              <w:rPr>
                <w:rFonts w:ascii="Times New Roman" w:hAnsi="Times New Roman" w:cs="Times New Roman"/>
                <w:color w:val="000000" w:themeColor="text1"/>
                <w:sz w:val="24"/>
                <w:szCs w:val="20"/>
              </w:rPr>
              <w:t>4-2</w:t>
            </w:r>
            <w:r>
              <w:rPr>
                <w:rFonts w:hint="eastAsia" w:ascii="Times New Roman" w:cs="Times New Roman"/>
                <w:color w:val="000000" w:themeColor="text1"/>
                <w:sz w:val="24"/>
                <w:szCs w:val="20"/>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表4-2   声环境标准  单位：dB(A)</w:t>
            </w:r>
          </w:p>
          <w:tbl>
            <w:tblPr>
              <w:tblStyle w:val="51"/>
              <w:tblW w:w="8096"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2699"/>
              <w:gridCol w:w="2699"/>
              <w:gridCol w:w="2698"/>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PrEx>
              <w:trPr>
                <w:trHeight w:val="300" w:hRule="atLeast"/>
                <w:jc w:val="center"/>
              </w:trPr>
              <w:tc>
                <w:tcPr>
                  <w:tcW w:w="2699" w:type="dxa"/>
                  <w:tcBorders>
                    <w:tl2br w:val="nil"/>
                    <w:tr2bl w:val="nil"/>
                  </w:tcBorders>
                  <w:vAlign w:val="center"/>
                </w:tcPr>
                <w:p>
                  <w:pPr>
                    <w:widowControl/>
                    <w:jc w:val="center"/>
                    <w:rPr>
                      <w:rFonts w:ascii="Times New Roman" w:hAnsi="Times New Roman" w:cs="Times New Roman"/>
                      <w:color w:val="000000" w:themeColor="text1"/>
                      <w:kern w:val="0"/>
                      <w:szCs w:val="21"/>
                    </w:rPr>
                  </w:pPr>
                  <w:r>
                    <w:rPr>
                      <w:rFonts w:ascii="Times New Roman" w:hAnsi="宋体" w:cs="Times New Roman"/>
                      <w:color w:val="000000" w:themeColor="text1"/>
                      <w:kern w:val="0"/>
                      <w:szCs w:val="21"/>
                    </w:rPr>
                    <w:t>标准类别</w:t>
                  </w:r>
                </w:p>
              </w:tc>
              <w:tc>
                <w:tcPr>
                  <w:tcW w:w="2699" w:type="dxa"/>
                  <w:tcBorders>
                    <w:tl2br w:val="nil"/>
                    <w:tr2bl w:val="nil"/>
                  </w:tcBorders>
                  <w:vAlign w:val="center"/>
                </w:tcPr>
                <w:p>
                  <w:pPr>
                    <w:widowControl/>
                    <w:jc w:val="center"/>
                    <w:rPr>
                      <w:rFonts w:ascii="Times New Roman" w:hAnsi="Times New Roman" w:cs="Times New Roman"/>
                      <w:color w:val="000000" w:themeColor="text1"/>
                      <w:kern w:val="0"/>
                      <w:szCs w:val="21"/>
                    </w:rPr>
                  </w:pPr>
                  <w:r>
                    <w:rPr>
                      <w:rFonts w:ascii="Times New Roman" w:hAnsi="宋体" w:cs="Times New Roman"/>
                      <w:color w:val="000000" w:themeColor="text1"/>
                      <w:kern w:val="0"/>
                      <w:szCs w:val="21"/>
                    </w:rPr>
                    <w:t>昼间</w:t>
                  </w:r>
                </w:p>
              </w:tc>
              <w:tc>
                <w:tcPr>
                  <w:tcW w:w="2698" w:type="dxa"/>
                  <w:tcBorders>
                    <w:tl2br w:val="nil"/>
                    <w:tr2bl w:val="nil"/>
                  </w:tcBorders>
                  <w:vAlign w:val="center"/>
                </w:tcPr>
                <w:p>
                  <w:pPr>
                    <w:widowControl/>
                    <w:jc w:val="center"/>
                    <w:rPr>
                      <w:rFonts w:ascii="Times New Roman" w:hAnsi="Times New Roman" w:cs="Times New Roman"/>
                      <w:color w:val="000000" w:themeColor="text1"/>
                      <w:kern w:val="0"/>
                      <w:szCs w:val="21"/>
                    </w:rPr>
                  </w:pPr>
                  <w:r>
                    <w:rPr>
                      <w:rFonts w:ascii="Times New Roman" w:hAnsi="宋体" w:cs="Times New Roman"/>
                      <w:color w:val="000000" w:themeColor="text1"/>
                      <w:kern w:val="0"/>
                      <w:szCs w:val="21"/>
                    </w:rPr>
                    <w:t>夜间</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PrEx>
              <w:trPr>
                <w:trHeight w:val="300" w:hRule="atLeast"/>
                <w:jc w:val="center"/>
              </w:trPr>
              <w:tc>
                <w:tcPr>
                  <w:tcW w:w="2699" w:type="dxa"/>
                  <w:tcBorders>
                    <w:tl2br w:val="nil"/>
                    <w:tr2bl w:val="nil"/>
                  </w:tcBorders>
                  <w:vAlign w:val="center"/>
                </w:tcPr>
                <w:p>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2</w:t>
                  </w:r>
                  <w:r>
                    <w:rPr>
                      <w:rFonts w:ascii="Times New Roman" w:hAnsi="宋体" w:cs="Times New Roman"/>
                      <w:color w:val="000000" w:themeColor="text1"/>
                      <w:kern w:val="0"/>
                      <w:szCs w:val="21"/>
                    </w:rPr>
                    <w:t>类</w:t>
                  </w:r>
                </w:p>
              </w:tc>
              <w:tc>
                <w:tcPr>
                  <w:tcW w:w="2699" w:type="dxa"/>
                  <w:tcBorders>
                    <w:tl2br w:val="nil"/>
                    <w:tr2bl w:val="nil"/>
                  </w:tcBorders>
                  <w:vAlign w:val="center"/>
                </w:tcPr>
                <w:p>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60</w:t>
                  </w:r>
                </w:p>
              </w:tc>
              <w:tc>
                <w:tcPr>
                  <w:tcW w:w="2698" w:type="dxa"/>
                  <w:tcBorders>
                    <w:tl2br w:val="nil"/>
                    <w:tr2bl w:val="nil"/>
                  </w:tcBorders>
                  <w:vAlign w:val="center"/>
                </w:tcPr>
                <w:p>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50</w:t>
                  </w:r>
                </w:p>
              </w:tc>
            </w:tr>
          </w:tbl>
          <w:p>
            <w:pPr>
              <w:ind w:firstLine="561"/>
              <w:jc w:val="center"/>
              <w:rPr>
                <w:rFonts w:ascii="Times New Roman" w:hAnsi="Times New Roman" w:cs="Times New Roman"/>
                <w:b/>
                <w:color w:val="000000" w:themeColor="text1"/>
                <w:szCs w:val="21"/>
              </w:rPr>
            </w:pPr>
          </w:p>
          <w:p>
            <w:pPr>
              <w:numPr>
                <w:ilvl w:val="0"/>
                <w:numId w:val="4"/>
              </w:numPr>
              <w:adjustRightInd w:val="0"/>
              <w:spacing w:line="360" w:lineRule="auto"/>
              <w:ind w:right="113"/>
              <w:rPr>
                <w:rFonts w:ascii="Times New Roman" w:hAnsi="Times New Roman" w:cs="Times New Roman"/>
                <w:b/>
                <w:color w:val="000000" w:themeColor="text1"/>
                <w:kern w:val="0"/>
                <w:sz w:val="24"/>
              </w:rPr>
            </w:pPr>
            <w:r>
              <w:rPr>
                <w:rFonts w:hint="eastAsia" w:ascii="Times New Roman" w:cs="Times New Roman"/>
                <w:b/>
                <w:color w:val="000000" w:themeColor="text1"/>
                <w:kern w:val="0"/>
                <w:sz w:val="24"/>
              </w:rPr>
              <w:t>地表水</w:t>
            </w:r>
          </w:p>
          <w:p>
            <w:pPr>
              <w:adjustRightInd w:val="0"/>
              <w:spacing w:line="360" w:lineRule="auto"/>
              <w:ind w:right="113" w:firstLine="480" w:firstLineChars="200"/>
              <w:rPr>
                <w:rFonts w:ascii="Times New Roman" w:hAnsi="Times New Roman" w:cs="Times New Roman"/>
                <w:color w:val="000000" w:themeColor="text1"/>
                <w:kern w:val="0"/>
                <w:sz w:val="24"/>
              </w:rPr>
            </w:pPr>
            <w:r>
              <w:rPr>
                <w:rFonts w:hint="eastAsia" w:ascii="Times New Roman" w:cs="Times New Roman"/>
                <w:color w:val="000000" w:themeColor="text1"/>
                <w:kern w:val="0"/>
                <w:sz w:val="24"/>
              </w:rPr>
              <w:t>执行《地表水环境质量标准》</w:t>
            </w:r>
            <w:r>
              <w:rPr>
                <w:rFonts w:ascii="Times New Roman" w:hAnsi="Times New Roman" w:cs="Times New Roman"/>
                <w:color w:val="000000" w:themeColor="text1"/>
                <w:kern w:val="0"/>
                <w:sz w:val="24"/>
              </w:rPr>
              <w:t>(GB3838-2002)</w:t>
            </w:r>
            <w:r>
              <w:rPr>
                <w:rFonts w:hint="eastAsia" w:asciiTheme="minorEastAsia" w:hAnsiTheme="minorEastAsia" w:cstheme="minorEastAsia"/>
                <w:color w:val="000000" w:themeColor="text1"/>
                <w:kern w:val="0"/>
                <w:sz w:val="24"/>
              </w:rPr>
              <w:t>Ⅱ类和Ⅲ</w:t>
            </w:r>
            <w:r>
              <w:rPr>
                <w:rFonts w:hint="eastAsia" w:ascii="Times New Roman" w:cs="Times New Roman"/>
                <w:color w:val="000000" w:themeColor="text1"/>
                <w:kern w:val="0"/>
                <w:sz w:val="24"/>
              </w:rPr>
              <w:t>类水域标准。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表4-3  地表水环境质量标准 单位mg/L， pH除外</w:t>
            </w:r>
          </w:p>
          <w:tbl>
            <w:tblPr>
              <w:tblStyle w:val="51"/>
              <w:tblW w:w="80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117"/>
              <w:gridCol w:w="1286"/>
              <w:gridCol w:w="1287"/>
              <w:gridCol w:w="1291"/>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l2br w:val="nil"/>
                    <w:tr2bl w:val="nil"/>
                  </w:tcBorders>
                  <w:vAlign w:val="center"/>
                </w:tcPr>
                <w:p>
                  <w:pPr>
                    <w:jc w:val="center"/>
                    <w:rPr>
                      <w:rFonts w:ascii="Times New Roman" w:hAnsi="Times New Roman" w:cs="Times New Roman"/>
                      <w:bCs/>
                      <w:color w:val="000000" w:themeColor="text1"/>
                      <w:kern w:val="0"/>
                      <w:szCs w:val="21"/>
                    </w:rPr>
                  </w:pPr>
                  <w:r>
                    <w:rPr>
                      <w:rFonts w:hint="eastAsia" w:ascii="Times New Roman" w:cs="Times New Roman"/>
                      <w:bCs/>
                      <w:color w:val="000000" w:themeColor="text1"/>
                      <w:kern w:val="0"/>
                      <w:szCs w:val="21"/>
                    </w:rPr>
                    <w:t>项目</w:t>
                  </w:r>
                </w:p>
              </w:tc>
              <w:tc>
                <w:tcPr>
                  <w:tcW w:w="111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PH</w:t>
                  </w:r>
                </w:p>
              </w:tc>
              <w:tc>
                <w:tcPr>
                  <w:tcW w:w="1286"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COD</w:t>
                  </w:r>
                  <w:r>
                    <w:rPr>
                      <w:rFonts w:ascii="Times New Roman" w:hAnsi="Times New Roman" w:cs="Times New Roman"/>
                      <w:bCs/>
                      <w:color w:val="000000" w:themeColor="text1"/>
                      <w:kern w:val="0"/>
                      <w:szCs w:val="21"/>
                      <w:vertAlign w:val="subscript"/>
                    </w:rPr>
                    <w:t>Cr</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BOD</w:t>
                  </w:r>
                  <w:r>
                    <w:rPr>
                      <w:rFonts w:ascii="Times New Roman" w:hAnsi="Times New Roman" w:cs="Times New Roman"/>
                      <w:bCs/>
                      <w:color w:val="000000" w:themeColor="text1"/>
                      <w:kern w:val="0"/>
                      <w:szCs w:val="21"/>
                      <w:vertAlign w:val="subscript"/>
                    </w:rPr>
                    <w:t>5</w:t>
                  </w:r>
                </w:p>
              </w:tc>
              <w:tc>
                <w:tcPr>
                  <w:tcW w:w="1291" w:type="dxa"/>
                  <w:tcBorders>
                    <w:tl2br w:val="nil"/>
                    <w:tr2bl w:val="nil"/>
                  </w:tcBorders>
                  <w:vAlign w:val="center"/>
                </w:tcPr>
                <w:p>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NH</w:t>
                  </w:r>
                  <w:r>
                    <w:rPr>
                      <w:rFonts w:ascii="Times New Roman" w:hAnsi="Times New Roman" w:cs="Times New Roman"/>
                      <w:bCs/>
                      <w:color w:val="000000" w:themeColor="text1"/>
                      <w:kern w:val="0"/>
                      <w:szCs w:val="21"/>
                      <w:vertAlign w:val="subscript"/>
                    </w:rPr>
                    <w:t>3</w:t>
                  </w:r>
                  <w:r>
                    <w:rPr>
                      <w:rFonts w:ascii="Times New Roman" w:hAnsi="Times New Roman" w:cs="Times New Roman"/>
                      <w:bCs/>
                      <w:color w:val="000000" w:themeColor="text1"/>
                      <w:kern w:val="0"/>
                      <w:szCs w:val="21"/>
                    </w:rPr>
                    <w:t>-N</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hint="eastAsia"/>
                      <w:snapToGrid w:val="0"/>
                    </w:rPr>
                    <w:t>总磷（以</w:t>
                  </w:r>
                  <w:r>
                    <w:rPr>
                      <w:snapToGrid w:val="0"/>
                    </w:rPr>
                    <w:t>P</w:t>
                  </w:r>
                  <w:r>
                    <w:rPr>
                      <w:rFonts w:hint="eastAsia"/>
                      <w:snapToGrid w:val="0"/>
                    </w:rPr>
                    <w:t>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l2br w:val="nil"/>
                    <w:tr2bl w:val="nil"/>
                  </w:tcBorders>
                  <w:vAlign w:val="center"/>
                </w:tcPr>
                <w:p>
                  <w:pPr>
                    <w:jc w:val="center"/>
                    <w:rPr>
                      <w:rFonts w:asciiTheme="minorEastAsia" w:hAnsiTheme="minorEastAsia" w:cstheme="minorEastAsia"/>
                      <w:bCs/>
                      <w:color w:val="000000" w:themeColor="text1"/>
                      <w:kern w:val="0"/>
                      <w:szCs w:val="21"/>
                    </w:rPr>
                  </w:pPr>
                  <w:r>
                    <w:rPr>
                      <w:rFonts w:hint="eastAsia" w:asciiTheme="minorEastAsia" w:hAnsiTheme="minorEastAsia" w:cstheme="minorEastAsia"/>
                      <w:color w:val="000000" w:themeColor="text1"/>
                      <w:kern w:val="0"/>
                      <w:szCs w:val="21"/>
                    </w:rPr>
                    <w:t>Ⅱ类</w:t>
                  </w:r>
                  <w:r>
                    <w:rPr>
                      <w:rFonts w:hint="eastAsia" w:asciiTheme="minorEastAsia" w:hAnsiTheme="minorEastAsia" w:cstheme="minorEastAsia"/>
                      <w:bCs/>
                      <w:color w:val="000000" w:themeColor="text1"/>
                      <w:kern w:val="0"/>
                      <w:szCs w:val="21"/>
                    </w:rPr>
                    <w:t>标准值mg/L</w:t>
                  </w:r>
                </w:p>
              </w:tc>
              <w:tc>
                <w:tcPr>
                  <w:tcW w:w="111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6~9</w:t>
                  </w:r>
                </w:p>
              </w:tc>
              <w:tc>
                <w:tcPr>
                  <w:tcW w:w="1286"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≤15</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w:t>
                  </w:r>
                </w:p>
              </w:tc>
              <w:tc>
                <w:tcPr>
                  <w:tcW w:w="1291" w:type="dxa"/>
                  <w:tcBorders>
                    <w:tl2br w:val="nil"/>
                    <w:tr2bl w:val="nil"/>
                  </w:tcBorders>
                  <w:vAlign w:val="center"/>
                </w:tcPr>
                <w:p>
                  <w:pPr>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≤0.5</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snapToGrid w:val="0"/>
                    </w:rPr>
                    <w:t>≤0.</w:t>
                  </w:r>
                  <w:r>
                    <w:rPr>
                      <w:rFonts w:hint="eastAsia"/>
                      <w:snapToGrid w:val="0"/>
                    </w:rPr>
                    <w:t>1</w:t>
                  </w:r>
                  <w:r>
                    <w:rPr>
                      <w:snapToGrid w:val="0"/>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l2br w:val="nil"/>
                    <w:tr2bl w:val="nil"/>
                  </w:tcBorders>
                  <w:vAlign w:val="center"/>
                </w:tcPr>
                <w:p>
                  <w:pPr>
                    <w:jc w:val="center"/>
                    <w:rPr>
                      <w:rFonts w:asciiTheme="minorEastAsia" w:hAnsiTheme="minorEastAsia" w:cstheme="minorEastAsia"/>
                      <w:bCs/>
                      <w:color w:val="000000" w:themeColor="text1"/>
                      <w:kern w:val="0"/>
                      <w:szCs w:val="21"/>
                    </w:rPr>
                  </w:pPr>
                  <w:r>
                    <w:rPr>
                      <w:rFonts w:hint="eastAsia" w:asciiTheme="minorEastAsia" w:hAnsiTheme="minorEastAsia" w:cstheme="minorEastAsia"/>
                      <w:color w:val="000000" w:themeColor="text1"/>
                      <w:kern w:val="0"/>
                      <w:szCs w:val="21"/>
                    </w:rPr>
                    <w:t>Ⅲ类</w:t>
                  </w:r>
                  <w:r>
                    <w:rPr>
                      <w:rFonts w:hint="eastAsia" w:asciiTheme="minorEastAsia" w:hAnsiTheme="minorEastAsia" w:cstheme="minorEastAsia"/>
                      <w:bCs/>
                      <w:color w:val="000000" w:themeColor="text1"/>
                      <w:kern w:val="0"/>
                      <w:szCs w:val="21"/>
                    </w:rPr>
                    <w:t>标准值mg/L</w:t>
                  </w:r>
                </w:p>
              </w:tc>
              <w:tc>
                <w:tcPr>
                  <w:tcW w:w="111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6~9</w:t>
                  </w:r>
                </w:p>
              </w:tc>
              <w:tc>
                <w:tcPr>
                  <w:tcW w:w="1286"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≤20</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≤4</w:t>
                  </w:r>
                </w:p>
              </w:tc>
              <w:tc>
                <w:tcPr>
                  <w:tcW w:w="1291" w:type="dxa"/>
                  <w:tcBorders>
                    <w:tl2br w:val="nil"/>
                    <w:tr2bl w:val="nil"/>
                  </w:tcBorders>
                  <w:vAlign w:val="center"/>
                </w:tcPr>
                <w:p>
                  <w:pPr>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≤1</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000000" w:themeColor="text1"/>
                      <w:kern w:val="0"/>
                      <w:szCs w:val="21"/>
                    </w:rPr>
                  </w:pPr>
                  <w:r>
                    <w:rPr>
                      <w:snapToGrid w:val="0"/>
                    </w:rPr>
                    <w:t>≤0.</w:t>
                  </w:r>
                  <w:r>
                    <w:rPr>
                      <w:rFonts w:hint="eastAsia"/>
                      <w:snapToGrid w:val="0"/>
                    </w:rPr>
                    <w:t>2</w:t>
                  </w:r>
                  <w:r>
                    <w:rPr>
                      <w:snapToGrid w:val="0"/>
                    </w:rPr>
                    <w:t>mg/L</w:t>
                  </w:r>
                </w:p>
              </w:tc>
            </w:tr>
          </w:tbl>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r>
              <w:rPr>
                <w:rFonts w:hint="eastAsia" w:ascii="Times New Roman" w:hAnsi="Times New Roman" w:cs="Times New Roman"/>
                <w:color w:val="000000" w:themeColor="text1"/>
                <w:sz w:val="24"/>
              </w:rPr>
              <w:t xml:space="preserve"> </w:t>
            </w:r>
          </w:p>
          <w:p>
            <w:pPr>
              <w:widowControl/>
              <w:snapToGrid w:val="0"/>
              <w:jc w:val="left"/>
              <w:rPr>
                <w:rFonts w:ascii="Times New Roman" w:hAnsi="Times New Roman" w:cs="Times New Roman"/>
                <w:color w:val="000000" w:themeColor="text1"/>
                <w:sz w:val="24"/>
              </w:rPr>
            </w:pPr>
          </w:p>
          <w:p>
            <w:pPr>
              <w:widowControl/>
              <w:snapToGrid w:val="0"/>
              <w:jc w:val="left"/>
              <w:rPr>
                <w:rFonts w:ascii="Times New Roman" w:hAnsi="Times New Roman" w:cs="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jc w:val="center"/>
        </w:trPr>
        <w:tc>
          <w:tcPr>
            <w:tcW w:w="852" w:type="dxa"/>
            <w:vAlign w:val="center"/>
          </w:tcPr>
          <w:p>
            <w:pPr>
              <w:snapToGri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污染物排放标准</w:t>
            </w:r>
          </w:p>
        </w:tc>
        <w:tc>
          <w:tcPr>
            <w:tcW w:w="8787" w:type="dxa"/>
          </w:tcPr>
          <w:p>
            <w:pPr>
              <w:numPr>
                <w:ilvl w:val="0"/>
                <w:numId w:val="5"/>
              </w:numPr>
              <w:spacing w:line="360" w:lineRule="auto"/>
              <w:rPr>
                <w:rFonts w:ascii="t" w:hAnsi="t"/>
                <w:b/>
                <w:color w:val="000000" w:themeColor="text1"/>
                <w:spacing w:val="-4"/>
                <w:sz w:val="24"/>
                <w:szCs w:val="20"/>
              </w:rPr>
            </w:pPr>
            <w:r>
              <w:rPr>
                <w:rFonts w:ascii="t" w:hAnsi="t"/>
                <w:b/>
                <w:color w:val="000000" w:themeColor="text1"/>
                <w:spacing w:val="-4"/>
                <w:sz w:val="24"/>
                <w:szCs w:val="20"/>
              </w:rPr>
              <w:t>废气</w:t>
            </w:r>
          </w:p>
          <w:p>
            <w:pPr>
              <w:adjustRightInd w:val="0"/>
              <w:snapToGrid w:val="0"/>
              <w:spacing w:line="360" w:lineRule="auto"/>
              <w:ind w:firstLine="480" w:firstLineChars="200"/>
              <w:rPr>
                <w:rFonts w:hAnsi="宋体"/>
                <w:sz w:val="24"/>
              </w:rPr>
            </w:pPr>
            <w:r>
              <w:rPr>
                <w:rFonts w:hAnsi="宋体"/>
                <w:sz w:val="24"/>
              </w:rPr>
              <w:t>项目施工期的废气排放执行《大气污染物综合排放标准》（</w:t>
            </w:r>
            <w:r>
              <w:rPr>
                <w:sz w:val="24"/>
              </w:rPr>
              <w:t>GB16297-</w:t>
            </w:r>
            <w:r>
              <w:rPr>
                <w:rFonts w:hint="eastAsia"/>
                <w:sz w:val="24"/>
              </w:rPr>
              <w:t>19</w:t>
            </w:r>
            <w:r>
              <w:rPr>
                <w:sz w:val="24"/>
              </w:rPr>
              <w:t>96</w:t>
            </w:r>
            <w:r>
              <w:rPr>
                <w:rFonts w:hAnsi="宋体"/>
                <w:sz w:val="24"/>
              </w:rPr>
              <w:t>）的二级标准</w:t>
            </w:r>
            <w:r>
              <w:rPr>
                <w:rFonts w:hint="eastAsia" w:hAnsi="宋体"/>
                <w:sz w:val="24"/>
              </w:rPr>
              <w:t>，</w:t>
            </w:r>
            <w:r>
              <w:rPr>
                <w:rFonts w:hAnsi="宋体"/>
                <w:sz w:val="24"/>
              </w:rPr>
              <w:t>详见表</w:t>
            </w:r>
            <w:r>
              <w:rPr>
                <w:sz w:val="24"/>
              </w:rPr>
              <w:t>4-</w:t>
            </w:r>
            <w:r>
              <w:rPr>
                <w:rFonts w:hint="eastAsia"/>
                <w:sz w:val="24"/>
              </w:rPr>
              <w:t>4</w:t>
            </w:r>
            <w:r>
              <w:rPr>
                <w:rFonts w:hAnsi="宋体"/>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表4-4  大气污染物综合排放标准    单位：mg/m</w:t>
            </w:r>
            <w:r>
              <w:rPr>
                <w:rFonts w:hint="eastAsia" w:asciiTheme="minorEastAsia" w:hAnsiTheme="minorEastAsia" w:eastAsiaTheme="minorEastAsia" w:cstheme="minorEastAsia"/>
                <w:b/>
                <w:sz w:val="21"/>
                <w:szCs w:val="21"/>
                <w:vertAlign w:val="superscript"/>
                <w:lang w:val="en-US" w:eastAsia="zh-CN"/>
              </w:rPr>
              <w:t>3</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5"/>
              <w:gridCol w:w="1417"/>
              <w:gridCol w:w="1761"/>
              <w:gridCol w:w="1207"/>
              <w:gridCol w:w="1092"/>
              <w:gridCol w:w="14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295" w:type="dxa"/>
                  <w:vMerge w:val="restart"/>
                  <w:tcBorders>
                    <w:tl2br w:val="nil"/>
                    <w:tr2bl w:val="nil"/>
                  </w:tcBorders>
                  <w:vAlign w:val="center"/>
                </w:tcPr>
                <w:p>
                  <w:pPr>
                    <w:jc w:val="center"/>
                    <w:rPr>
                      <w:szCs w:val="21"/>
                    </w:rPr>
                  </w:pPr>
                  <w:r>
                    <w:rPr>
                      <w:szCs w:val="21"/>
                    </w:rPr>
                    <w:t>污染物</w:t>
                  </w:r>
                </w:p>
              </w:tc>
              <w:tc>
                <w:tcPr>
                  <w:tcW w:w="1417" w:type="dxa"/>
                  <w:vMerge w:val="restart"/>
                  <w:tcBorders>
                    <w:tl2br w:val="nil"/>
                    <w:tr2bl w:val="nil"/>
                  </w:tcBorders>
                  <w:vAlign w:val="center"/>
                </w:tcPr>
                <w:p>
                  <w:pPr>
                    <w:jc w:val="center"/>
                    <w:rPr>
                      <w:szCs w:val="21"/>
                    </w:rPr>
                  </w:pPr>
                  <w:r>
                    <w:rPr>
                      <w:szCs w:val="21"/>
                    </w:rPr>
                    <w:t>最高允许排放浓度</w:t>
                  </w:r>
                </w:p>
              </w:tc>
              <w:tc>
                <w:tcPr>
                  <w:tcW w:w="2968" w:type="dxa"/>
                  <w:gridSpan w:val="2"/>
                  <w:tcBorders>
                    <w:tl2br w:val="nil"/>
                    <w:tr2bl w:val="nil"/>
                  </w:tcBorders>
                  <w:vAlign w:val="center"/>
                </w:tcPr>
                <w:p>
                  <w:pPr>
                    <w:jc w:val="center"/>
                    <w:rPr>
                      <w:szCs w:val="21"/>
                    </w:rPr>
                  </w:pPr>
                  <w:r>
                    <w:rPr>
                      <w:szCs w:val="21"/>
                    </w:rPr>
                    <w:t>最高允许排放（kg/h）</w:t>
                  </w:r>
                </w:p>
              </w:tc>
              <w:tc>
                <w:tcPr>
                  <w:tcW w:w="2576" w:type="dxa"/>
                  <w:gridSpan w:val="2"/>
                  <w:tcBorders>
                    <w:tl2br w:val="nil"/>
                    <w:tr2bl w:val="nil"/>
                  </w:tcBorders>
                  <w:vAlign w:val="center"/>
                </w:tcPr>
                <w:p>
                  <w:pPr>
                    <w:jc w:val="center"/>
                    <w:rPr>
                      <w:szCs w:val="21"/>
                    </w:rPr>
                  </w:pPr>
                  <w:r>
                    <w:rPr>
                      <w:szCs w:val="21"/>
                    </w:rPr>
                    <w:t>无组织排放监控浓值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295" w:type="dxa"/>
                  <w:vMerge w:val="continue"/>
                  <w:tcBorders>
                    <w:tl2br w:val="nil"/>
                    <w:tr2bl w:val="nil"/>
                  </w:tcBorders>
                  <w:vAlign w:val="center"/>
                </w:tcPr>
                <w:p>
                  <w:pPr>
                    <w:jc w:val="center"/>
                    <w:rPr>
                      <w:szCs w:val="21"/>
                    </w:rPr>
                  </w:pPr>
                </w:p>
              </w:tc>
              <w:tc>
                <w:tcPr>
                  <w:tcW w:w="1417" w:type="dxa"/>
                  <w:vMerge w:val="continue"/>
                  <w:tcBorders>
                    <w:tl2br w:val="nil"/>
                    <w:tr2bl w:val="nil"/>
                  </w:tcBorders>
                  <w:vAlign w:val="center"/>
                </w:tcPr>
                <w:p>
                  <w:pPr>
                    <w:jc w:val="center"/>
                    <w:rPr>
                      <w:szCs w:val="21"/>
                    </w:rPr>
                  </w:pPr>
                </w:p>
              </w:tc>
              <w:tc>
                <w:tcPr>
                  <w:tcW w:w="1761" w:type="dxa"/>
                  <w:tcBorders>
                    <w:tl2br w:val="nil"/>
                    <w:tr2bl w:val="nil"/>
                  </w:tcBorders>
                  <w:vAlign w:val="center"/>
                </w:tcPr>
                <w:p>
                  <w:pPr>
                    <w:jc w:val="center"/>
                    <w:rPr>
                      <w:szCs w:val="21"/>
                    </w:rPr>
                  </w:pPr>
                  <w:r>
                    <w:rPr>
                      <w:szCs w:val="21"/>
                    </w:rPr>
                    <w:t>排气筒（m）</w:t>
                  </w:r>
                </w:p>
              </w:tc>
              <w:tc>
                <w:tcPr>
                  <w:tcW w:w="1207" w:type="dxa"/>
                  <w:tcBorders>
                    <w:tl2br w:val="nil"/>
                    <w:tr2bl w:val="nil"/>
                  </w:tcBorders>
                  <w:vAlign w:val="center"/>
                </w:tcPr>
                <w:p>
                  <w:pPr>
                    <w:jc w:val="center"/>
                    <w:rPr>
                      <w:szCs w:val="21"/>
                    </w:rPr>
                  </w:pPr>
                  <w:r>
                    <w:rPr>
                      <w:szCs w:val="21"/>
                    </w:rPr>
                    <w:t>二级</w:t>
                  </w:r>
                </w:p>
              </w:tc>
              <w:tc>
                <w:tcPr>
                  <w:tcW w:w="1092" w:type="dxa"/>
                  <w:tcBorders>
                    <w:tl2br w:val="nil"/>
                    <w:tr2bl w:val="nil"/>
                  </w:tcBorders>
                  <w:vAlign w:val="center"/>
                </w:tcPr>
                <w:p>
                  <w:pPr>
                    <w:jc w:val="center"/>
                    <w:rPr>
                      <w:szCs w:val="21"/>
                    </w:rPr>
                  </w:pPr>
                  <w:r>
                    <w:rPr>
                      <w:szCs w:val="21"/>
                    </w:rPr>
                    <w:t>监控点</w:t>
                  </w:r>
                </w:p>
              </w:tc>
              <w:tc>
                <w:tcPr>
                  <w:tcW w:w="1484" w:type="dxa"/>
                  <w:tcBorders>
                    <w:tl2br w:val="nil"/>
                    <w:tr2bl w:val="nil"/>
                  </w:tcBorders>
                  <w:vAlign w:val="center"/>
                </w:tcPr>
                <w:p>
                  <w:pPr>
                    <w:jc w:val="center"/>
                    <w:rPr>
                      <w:szCs w:val="21"/>
                    </w:rPr>
                  </w:pPr>
                  <w:r>
                    <w:rPr>
                      <w:szCs w:val="21"/>
                    </w:rPr>
                    <w:t>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295" w:type="dxa"/>
                  <w:tcBorders>
                    <w:tl2br w:val="nil"/>
                    <w:tr2bl w:val="nil"/>
                  </w:tcBorders>
                  <w:vAlign w:val="center"/>
                </w:tcPr>
                <w:p>
                  <w:pPr>
                    <w:jc w:val="center"/>
                    <w:rPr>
                      <w:szCs w:val="21"/>
                    </w:rPr>
                  </w:pPr>
                  <w:r>
                    <w:rPr>
                      <w:szCs w:val="21"/>
                    </w:rPr>
                    <w:t>颗粒物</w:t>
                  </w:r>
                </w:p>
              </w:tc>
              <w:tc>
                <w:tcPr>
                  <w:tcW w:w="1417" w:type="dxa"/>
                  <w:tcBorders>
                    <w:tl2br w:val="nil"/>
                    <w:tr2bl w:val="nil"/>
                  </w:tcBorders>
                  <w:vAlign w:val="center"/>
                </w:tcPr>
                <w:p>
                  <w:pPr>
                    <w:jc w:val="center"/>
                    <w:rPr>
                      <w:szCs w:val="21"/>
                    </w:rPr>
                  </w:pPr>
                  <w:r>
                    <w:rPr>
                      <w:szCs w:val="21"/>
                    </w:rPr>
                    <w:t>120</w:t>
                  </w:r>
                </w:p>
              </w:tc>
              <w:tc>
                <w:tcPr>
                  <w:tcW w:w="1761" w:type="dxa"/>
                  <w:tcBorders>
                    <w:tl2br w:val="nil"/>
                    <w:tr2bl w:val="nil"/>
                  </w:tcBorders>
                  <w:vAlign w:val="center"/>
                </w:tcPr>
                <w:p>
                  <w:pPr>
                    <w:jc w:val="center"/>
                    <w:rPr>
                      <w:szCs w:val="21"/>
                    </w:rPr>
                  </w:pPr>
                  <w:r>
                    <w:rPr>
                      <w:szCs w:val="21"/>
                    </w:rPr>
                    <w:t>15</w:t>
                  </w:r>
                </w:p>
              </w:tc>
              <w:tc>
                <w:tcPr>
                  <w:tcW w:w="1207" w:type="dxa"/>
                  <w:tcBorders>
                    <w:tl2br w:val="nil"/>
                    <w:tr2bl w:val="nil"/>
                  </w:tcBorders>
                  <w:vAlign w:val="center"/>
                </w:tcPr>
                <w:p>
                  <w:pPr>
                    <w:jc w:val="center"/>
                    <w:rPr>
                      <w:szCs w:val="21"/>
                    </w:rPr>
                  </w:pPr>
                  <w:r>
                    <w:rPr>
                      <w:szCs w:val="21"/>
                    </w:rPr>
                    <w:t>3.5</w:t>
                  </w:r>
                </w:p>
              </w:tc>
              <w:tc>
                <w:tcPr>
                  <w:tcW w:w="1092" w:type="dxa"/>
                  <w:vMerge w:val="restart"/>
                  <w:tcBorders>
                    <w:tl2br w:val="nil"/>
                    <w:tr2bl w:val="nil"/>
                  </w:tcBorders>
                  <w:vAlign w:val="center"/>
                </w:tcPr>
                <w:p>
                  <w:pPr>
                    <w:jc w:val="center"/>
                    <w:rPr>
                      <w:szCs w:val="21"/>
                    </w:rPr>
                  </w:pPr>
                  <w:r>
                    <w:rPr>
                      <w:szCs w:val="21"/>
                    </w:rPr>
                    <w:t>周界外浓度最高点</w:t>
                  </w:r>
                </w:p>
              </w:tc>
              <w:tc>
                <w:tcPr>
                  <w:tcW w:w="1484" w:type="dxa"/>
                  <w:tcBorders>
                    <w:tl2br w:val="nil"/>
                    <w:tr2bl w:val="nil"/>
                  </w:tcBorders>
                  <w:vAlign w:val="center"/>
                </w:tcPr>
                <w:p>
                  <w:pPr>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295" w:type="dxa"/>
                  <w:tcBorders>
                    <w:tl2br w:val="nil"/>
                    <w:tr2bl w:val="nil"/>
                  </w:tcBorders>
                  <w:vAlign w:val="center"/>
                </w:tcPr>
                <w:p>
                  <w:pPr>
                    <w:jc w:val="center"/>
                    <w:rPr>
                      <w:szCs w:val="21"/>
                    </w:rPr>
                  </w:pPr>
                  <w:r>
                    <w:rPr>
                      <w:szCs w:val="21"/>
                    </w:rPr>
                    <w:t>二氧化硫</w:t>
                  </w:r>
                </w:p>
              </w:tc>
              <w:tc>
                <w:tcPr>
                  <w:tcW w:w="1417" w:type="dxa"/>
                  <w:tcBorders>
                    <w:tl2br w:val="nil"/>
                    <w:tr2bl w:val="nil"/>
                  </w:tcBorders>
                  <w:vAlign w:val="center"/>
                </w:tcPr>
                <w:p>
                  <w:pPr>
                    <w:jc w:val="center"/>
                    <w:rPr>
                      <w:szCs w:val="21"/>
                    </w:rPr>
                  </w:pPr>
                  <w:r>
                    <w:rPr>
                      <w:szCs w:val="21"/>
                    </w:rPr>
                    <w:t>550</w:t>
                  </w:r>
                </w:p>
              </w:tc>
              <w:tc>
                <w:tcPr>
                  <w:tcW w:w="1761" w:type="dxa"/>
                  <w:tcBorders>
                    <w:tl2br w:val="nil"/>
                    <w:tr2bl w:val="nil"/>
                  </w:tcBorders>
                  <w:vAlign w:val="center"/>
                </w:tcPr>
                <w:p>
                  <w:pPr>
                    <w:jc w:val="center"/>
                    <w:rPr>
                      <w:szCs w:val="21"/>
                    </w:rPr>
                  </w:pPr>
                  <w:r>
                    <w:rPr>
                      <w:szCs w:val="21"/>
                    </w:rPr>
                    <w:t>15</w:t>
                  </w:r>
                </w:p>
              </w:tc>
              <w:tc>
                <w:tcPr>
                  <w:tcW w:w="1207" w:type="dxa"/>
                  <w:tcBorders>
                    <w:tl2br w:val="nil"/>
                    <w:tr2bl w:val="nil"/>
                  </w:tcBorders>
                  <w:vAlign w:val="center"/>
                </w:tcPr>
                <w:p>
                  <w:pPr>
                    <w:jc w:val="center"/>
                    <w:rPr>
                      <w:szCs w:val="21"/>
                    </w:rPr>
                  </w:pPr>
                  <w:r>
                    <w:rPr>
                      <w:szCs w:val="21"/>
                    </w:rPr>
                    <w:t>2.6</w:t>
                  </w:r>
                </w:p>
              </w:tc>
              <w:tc>
                <w:tcPr>
                  <w:tcW w:w="1092" w:type="dxa"/>
                  <w:vMerge w:val="continue"/>
                  <w:tcBorders>
                    <w:tl2br w:val="nil"/>
                    <w:tr2bl w:val="nil"/>
                  </w:tcBorders>
                  <w:vAlign w:val="center"/>
                </w:tcPr>
                <w:p>
                  <w:pPr>
                    <w:jc w:val="center"/>
                    <w:rPr>
                      <w:szCs w:val="21"/>
                    </w:rPr>
                  </w:pPr>
                </w:p>
              </w:tc>
              <w:tc>
                <w:tcPr>
                  <w:tcW w:w="1484" w:type="dxa"/>
                  <w:tcBorders>
                    <w:tl2br w:val="nil"/>
                    <w:tr2bl w:val="nil"/>
                  </w:tcBorders>
                  <w:vAlign w:val="center"/>
                </w:tcPr>
                <w:p>
                  <w:pPr>
                    <w:jc w:val="center"/>
                    <w:rPr>
                      <w:szCs w:val="21"/>
                    </w:rPr>
                  </w:pPr>
                  <w:r>
                    <w:rPr>
                      <w:szCs w:val="21"/>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295" w:type="dxa"/>
                  <w:tcBorders>
                    <w:tl2br w:val="nil"/>
                    <w:tr2bl w:val="nil"/>
                  </w:tcBorders>
                  <w:vAlign w:val="center"/>
                </w:tcPr>
                <w:p>
                  <w:pPr>
                    <w:jc w:val="center"/>
                    <w:rPr>
                      <w:szCs w:val="21"/>
                    </w:rPr>
                  </w:pPr>
                  <w:r>
                    <w:rPr>
                      <w:szCs w:val="21"/>
                    </w:rPr>
                    <w:t>氮氧化物</w:t>
                  </w:r>
                </w:p>
              </w:tc>
              <w:tc>
                <w:tcPr>
                  <w:tcW w:w="1417" w:type="dxa"/>
                  <w:tcBorders>
                    <w:tl2br w:val="nil"/>
                    <w:tr2bl w:val="nil"/>
                  </w:tcBorders>
                  <w:vAlign w:val="center"/>
                </w:tcPr>
                <w:p>
                  <w:pPr>
                    <w:jc w:val="center"/>
                    <w:rPr>
                      <w:szCs w:val="21"/>
                    </w:rPr>
                  </w:pPr>
                  <w:r>
                    <w:rPr>
                      <w:szCs w:val="21"/>
                    </w:rPr>
                    <w:t>240</w:t>
                  </w:r>
                </w:p>
              </w:tc>
              <w:tc>
                <w:tcPr>
                  <w:tcW w:w="1761" w:type="dxa"/>
                  <w:tcBorders>
                    <w:tl2br w:val="nil"/>
                    <w:tr2bl w:val="nil"/>
                  </w:tcBorders>
                  <w:vAlign w:val="center"/>
                </w:tcPr>
                <w:p>
                  <w:pPr>
                    <w:jc w:val="center"/>
                    <w:rPr>
                      <w:szCs w:val="21"/>
                    </w:rPr>
                  </w:pPr>
                  <w:r>
                    <w:rPr>
                      <w:szCs w:val="21"/>
                    </w:rPr>
                    <w:t>15</w:t>
                  </w:r>
                </w:p>
              </w:tc>
              <w:tc>
                <w:tcPr>
                  <w:tcW w:w="1207" w:type="dxa"/>
                  <w:tcBorders>
                    <w:tl2br w:val="nil"/>
                    <w:tr2bl w:val="nil"/>
                  </w:tcBorders>
                  <w:vAlign w:val="center"/>
                </w:tcPr>
                <w:p>
                  <w:pPr>
                    <w:jc w:val="center"/>
                    <w:rPr>
                      <w:szCs w:val="21"/>
                    </w:rPr>
                  </w:pPr>
                  <w:r>
                    <w:rPr>
                      <w:szCs w:val="21"/>
                    </w:rPr>
                    <w:t>0.77</w:t>
                  </w:r>
                </w:p>
              </w:tc>
              <w:tc>
                <w:tcPr>
                  <w:tcW w:w="1092" w:type="dxa"/>
                  <w:vMerge w:val="continue"/>
                  <w:tcBorders>
                    <w:tl2br w:val="nil"/>
                    <w:tr2bl w:val="nil"/>
                  </w:tcBorders>
                  <w:vAlign w:val="center"/>
                </w:tcPr>
                <w:p>
                  <w:pPr>
                    <w:jc w:val="center"/>
                    <w:rPr>
                      <w:szCs w:val="21"/>
                    </w:rPr>
                  </w:pPr>
                </w:p>
              </w:tc>
              <w:tc>
                <w:tcPr>
                  <w:tcW w:w="1484" w:type="dxa"/>
                  <w:tcBorders>
                    <w:tl2br w:val="nil"/>
                    <w:tr2bl w:val="nil"/>
                  </w:tcBorders>
                  <w:vAlign w:val="center"/>
                </w:tcPr>
                <w:p>
                  <w:pPr>
                    <w:jc w:val="center"/>
                    <w:rPr>
                      <w:szCs w:val="21"/>
                    </w:rPr>
                  </w:pPr>
                  <w:r>
                    <w:rPr>
                      <w:szCs w:val="21"/>
                    </w:rPr>
                    <w:t>0.12</w:t>
                  </w:r>
                </w:p>
              </w:tc>
            </w:tr>
          </w:tbl>
          <w:p>
            <w:pPr>
              <w:spacing w:line="360" w:lineRule="auto"/>
              <w:jc w:val="left"/>
              <w:rPr>
                <w:rFonts w:ascii="t" w:hAnsi="t"/>
                <w:b/>
                <w:color w:val="000000" w:themeColor="text1"/>
                <w:sz w:val="24"/>
              </w:rPr>
            </w:pPr>
            <w:r>
              <w:rPr>
                <w:rFonts w:hint="eastAsia" w:ascii="t" w:hAnsi="t"/>
                <w:b/>
                <w:color w:val="000000" w:themeColor="text1"/>
                <w:sz w:val="24"/>
              </w:rPr>
              <w:t>2</w:t>
            </w:r>
            <w:r>
              <w:rPr>
                <w:rFonts w:ascii="t" w:hAnsi="t"/>
                <w:b/>
                <w:color w:val="000000" w:themeColor="text1"/>
                <w:spacing w:val="-4"/>
                <w:sz w:val="24"/>
                <w:szCs w:val="20"/>
              </w:rPr>
              <w:t>、</w:t>
            </w:r>
            <w:r>
              <w:rPr>
                <w:rFonts w:hint="eastAsia" w:ascii="t" w:hAnsi="t"/>
                <w:b/>
                <w:color w:val="000000" w:themeColor="text1"/>
                <w:sz w:val="24"/>
              </w:rPr>
              <w:t>噪声</w:t>
            </w:r>
            <w:r>
              <w:rPr>
                <w:rFonts w:ascii="t" w:hAnsi="t"/>
                <w:b/>
                <w:color w:val="000000" w:themeColor="text1"/>
                <w:sz w:val="24"/>
              </w:rPr>
              <w:t>：</w:t>
            </w:r>
          </w:p>
          <w:p>
            <w:pPr>
              <w:spacing w:line="360" w:lineRule="auto"/>
              <w:ind w:firstLine="480" w:firstLineChars="200"/>
              <w:jc w:val="left"/>
              <w:rPr>
                <w:rFonts w:ascii="t" w:hAnsi="t"/>
                <w:color w:val="000000" w:themeColor="text1"/>
                <w:sz w:val="24"/>
              </w:rPr>
            </w:pPr>
            <w:r>
              <w:rPr>
                <w:rFonts w:hint="eastAsia" w:ascii="t" w:hAnsi="t"/>
                <w:color w:val="000000" w:themeColor="text1"/>
                <w:sz w:val="24"/>
              </w:rPr>
              <w:t>施工期噪声执行《建筑施工场界环境噪声排放标准》（GB12523-2011）中有关规定。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表4-5 建筑施工场界环境噪声排放标准   单位:dB(A)</w:t>
            </w:r>
          </w:p>
          <w:tbl>
            <w:tblPr>
              <w:tblStyle w:val="51"/>
              <w:tblW w:w="78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2397"/>
              <w:gridCol w:w="2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4" w:type="dxa"/>
                  <w:tcBorders>
                    <w:tl2br w:val="nil"/>
                    <w:tr2bl w:val="nil"/>
                  </w:tcBorders>
                  <w:vAlign w:val="center"/>
                </w:tcPr>
                <w:p>
                  <w:pPr>
                    <w:jc w:val="center"/>
                    <w:rPr>
                      <w:rFonts w:ascii="t" w:hAnsi="t"/>
                      <w:bCs/>
                      <w:color w:val="000000" w:themeColor="text1"/>
                      <w:sz w:val="21"/>
                      <w:szCs w:val="21"/>
                    </w:rPr>
                  </w:pPr>
                </w:p>
              </w:tc>
              <w:tc>
                <w:tcPr>
                  <w:tcW w:w="2397" w:type="dxa"/>
                  <w:tcBorders>
                    <w:tl2br w:val="nil"/>
                    <w:tr2bl w:val="nil"/>
                  </w:tcBorders>
                  <w:vAlign w:val="center"/>
                </w:tcPr>
                <w:p>
                  <w:pPr>
                    <w:jc w:val="center"/>
                    <w:rPr>
                      <w:rFonts w:ascii="t" w:hAnsi="t"/>
                      <w:bCs/>
                      <w:color w:val="000000" w:themeColor="text1"/>
                      <w:sz w:val="21"/>
                      <w:szCs w:val="21"/>
                    </w:rPr>
                  </w:pPr>
                  <w:r>
                    <w:rPr>
                      <w:rFonts w:hint="eastAsia" w:ascii="t" w:hAnsi="t"/>
                      <w:bCs/>
                      <w:color w:val="000000" w:themeColor="text1"/>
                      <w:sz w:val="21"/>
                      <w:szCs w:val="21"/>
                    </w:rPr>
                    <w:t>昼</w:t>
                  </w:r>
                  <w:r>
                    <w:rPr>
                      <w:rFonts w:ascii="t" w:hAnsi="t"/>
                      <w:bCs/>
                      <w:color w:val="000000" w:themeColor="text1"/>
                      <w:sz w:val="21"/>
                      <w:szCs w:val="21"/>
                    </w:rPr>
                    <w:t xml:space="preserve">  </w:t>
                  </w:r>
                  <w:r>
                    <w:rPr>
                      <w:rFonts w:hint="eastAsia" w:ascii="t" w:hAnsi="t"/>
                      <w:bCs/>
                      <w:color w:val="000000" w:themeColor="text1"/>
                      <w:sz w:val="21"/>
                      <w:szCs w:val="21"/>
                    </w:rPr>
                    <w:t>间</w:t>
                  </w:r>
                </w:p>
              </w:tc>
              <w:tc>
                <w:tcPr>
                  <w:tcW w:w="2397" w:type="dxa"/>
                  <w:tcBorders>
                    <w:tl2br w:val="nil"/>
                    <w:tr2bl w:val="nil"/>
                  </w:tcBorders>
                  <w:vAlign w:val="center"/>
                </w:tcPr>
                <w:p>
                  <w:pPr>
                    <w:jc w:val="center"/>
                    <w:rPr>
                      <w:rFonts w:ascii="t" w:hAnsi="t"/>
                      <w:bCs/>
                      <w:color w:val="000000" w:themeColor="text1"/>
                      <w:sz w:val="21"/>
                      <w:szCs w:val="21"/>
                    </w:rPr>
                  </w:pPr>
                  <w:r>
                    <w:rPr>
                      <w:rFonts w:hint="eastAsia" w:ascii="t" w:hAnsi="t"/>
                      <w:bCs/>
                      <w:color w:val="000000" w:themeColor="text1"/>
                      <w:sz w:val="21"/>
                      <w:szCs w:val="21"/>
                    </w:rPr>
                    <w:t>夜</w:t>
                  </w:r>
                  <w:r>
                    <w:rPr>
                      <w:rFonts w:ascii="t" w:hAnsi="t"/>
                      <w:bCs/>
                      <w:color w:val="000000" w:themeColor="text1"/>
                      <w:sz w:val="21"/>
                      <w:szCs w:val="21"/>
                    </w:rPr>
                    <w:t xml:space="preserve">  </w:t>
                  </w:r>
                  <w:r>
                    <w:rPr>
                      <w:rFonts w:hint="eastAsia" w:ascii="t" w:hAnsi="t"/>
                      <w:bCs/>
                      <w:color w:val="000000" w:themeColor="text1"/>
                      <w:sz w:val="21"/>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4" w:type="dxa"/>
                  <w:tcBorders>
                    <w:tl2br w:val="nil"/>
                    <w:tr2bl w:val="nil"/>
                  </w:tcBorders>
                  <w:vAlign w:val="center"/>
                </w:tcPr>
                <w:p>
                  <w:pPr>
                    <w:jc w:val="center"/>
                    <w:rPr>
                      <w:rFonts w:ascii="t" w:hAnsi="t"/>
                      <w:bCs/>
                      <w:color w:val="000000" w:themeColor="text1"/>
                      <w:sz w:val="21"/>
                      <w:szCs w:val="21"/>
                    </w:rPr>
                  </w:pPr>
                  <w:r>
                    <w:rPr>
                      <w:rFonts w:hint="eastAsia" w:ascii="t" w:hAnsi="t"/>
                      <w:color w:val="000000" w:themeColor="text1"/>
                      <w:sz w:val="21"/>
                      <w:szCs w:val="21"/>
                    </w:rPr>
                    <w:t>《建筑施工场界环境噪声排放标准》（GB12523-2011）</w:t>
                  </w:r>
                </w:p>
              </w:tc>
              <w:tc>
                <w:tcPr>
                  <w:tcW w:w="2397" w:type="dxa"/>
                  <w:tcBorders>
                    <w:tl2br w:val="nil"/>
                    <w:tr2bl w:val="nil"/>
                  </w:tcBorders>
                  <w:vAlign w:val="center"/>
                </w:tcPr>
                <w:p>
                  <w:pPr>
                    <w:jc w:val="center"/>
                    <w:rPr>
                      <w:rFonts w:ascii="t" w:hAnsi="t"/>
                      <w:bCs/>
                      <w:color w:val="000000" w:themeColor="text1"/>
                      <w:sz w:val="21"/>
                      <w:szCs w:val="21"/>
                    </w:rPr>
                  </w:pPr>
                  <w:r>
                    <w:rPr>
                      <w:rFonts w:hint="eastAsia" w:ascii="t" w:hAnsi="t"/>
                      <w:bCs/>
                      <w:color w:val="000000" w:themeColor="text1"/>
                      <w:sz w:val="21"/>
                      <w:szCs w:val="21"/>
                    </w:rPr>
                    <w:t>70</w:t>
                  </w:r>
                </w:p>
              </w:tc>
              <w:tc>
                <w:tcPr>
                  <w:tcW w:w="2397" w:type="dxa"/>
                  <w:tcBorders>
                    <w:tl2br w:val="nil"/>
                    <w:tr2bl w:val="nil"/>
                  </w:tcBorders>
                  <w:vAlign w:val="center"/>
                </w:tcPr>
                <w:p>
                  <w:pPr>
                    <w:jc w:val="center"/>
                    <w:rPr>
                      <w:rFonts w:ascii="t" w:hAnsi="t"/>
                      <w:bCs/>
                      <w:color w:val="000000" w:themeColor="text1"/>
                      <w:sz w:val="21"/>
                      <w:szCs w:val="21"/>
                    </w:rPr>
                  </w:pPr>
                  <w:r>
                    <w:rPr>
                      <w:rFonts w:ascii="t" w:hAnsi="t"/>
                      <w:bCs/>
                      <w:color w:val="000000" w:themeColor="text1"/>
                      <w:sz w:val="21"/>
                      <w:szCs w:val="21"/>
                    </w:rPr>
                    <w:t>55</w:t>
                  </w:r>
                </w:p>
              </w:tc>
            </w:tr>
          </w:tbl>
          <w:p>
            <w:pPr>
              <w:ind w:firstLine="420" w:firstLineChars="200"/>
              <w:jc w:val="center"/>
              <w:rPr>
                <w:rFonts w:ascii="t" w:hAnsi="t"/>
                <w:b/>
                <w:color w:val="000000" w:themeColor="text1"/>
                <w:szCs w:val="21"/>
              </w:rPr>
            </w:pPr>
          </w:p>
          <w:p>
            <w:pPr>
              <w:spacing w:line="360" w:lineRule="auto"/>
              <w:rPr>
                <w:rFonts w:ascii="t" w:hAnsi="t"/>
                <w:color w:val="000000" w:themeColor="text1"/>
                <w:sz w:val="24"/>
              </w:rPr>
            </w:pPr>
            <w:r>
              <w:rPr>
                <w:rFonts w:hint="eastAsia" w:ascii="t" w:hAnsi="t"/>
                <w:b/>
                <w:color w:val="000000" w:themeColor="text1"/>
                <w:sz w:val="24"/>
              </w:rPr>
              <w:t>3、</w:t>
            </w:r>
            <w:r>
              <w:rPr>
                <w:rFonts w:ascii="t" w:hAnsi="t"/>
                <w:b/>
                <w:color w:val="000000" w:themeColor="text1"/>
                <w:sz w:val="24"/>
              </w:rPr>
              <w:t>固体废物</w:t>
            </w:r>
          </w:p>
          <w:p>
            <w:pPr>
              <w:spacing w:line="360" w:lineRule="auto"/>
              <w:ind w:firstLine="480" w:firstLineChars="200"/>
              <w:rPr>
                <w:rFonts w:ascii="t" w:hAnsi="t"/>
                <w:color w:val="000000" w:themeColor="text1"/>
                <w:sz w:val="24"/>
              </w:rPr>
            </w:pPr>
            <w:r>
              <w:rPr>
                <w:rFonts w:hint="eastAsia" w:ascii="t" w:hAnsi="t"/>
                <w:color w:val="000000" w:themeColor="text1"/>
                <w:sz w:val="24"/>
              </w:rPr>
              <w:t>一般固体废物执行《一般工业固体废物贮存、处置场污染控制标准》（GB18599-2001）及2013年修改单相关要求。</w:t>
            </w:r>
          </w:p>
          <w:p>
            <w:pPr>
              <w:pStyle w:val="7"/>
              <w:spacing w:before="0" w:after="0" w:line="360" w:lineRule="auto"/>
              <w:jc w:val="left"/>
              <w:rPr>
                <w:rFonts w:ascii="t" w:hAnsi="t"/>
                <w:bCs w:val="0"/>
                <w:color w:val="000000" w:themeColor="text1"/>
                <w:sz w:val="24"/>
                <w:szCs w:val="24"/>
              </w:rPr>
            </w:pPr>
            <w:r>
              <w:rPr>
                <w:rFonts w:hint="eastAsia" w:ascii="t" w:hAnsi="t"/>
                <w:bCs w:val="0"/>
                <w:color w:val="000000" w:themeColor="text1"/>
                <w:sz w:val="24"/>
                <w:szCs w:val="24"/>
              </w:rPr>
              <w:t>4、</w:t>
            </w:r>
            <w:r>
              <w:rPr>
                <w:rFonts w:ascii="t" w:hAnsi="t"/>
                <w:bCs w:val="0"/>
                <w:color w:val="000000" w:themeColor="text1"/>
                <w:sz w:val="24"/>
                <w:szCs w:val="24"/>
              </w:rPr>
              <w:t>生态环境</w:t>
            </w:r>
          </w:p>
          <w:p>
            <w:pPr>
              <w:spacing w:line="360" w:lineRule="auto"/>
              <w:ind w:firstLine="480" w:firstLineChars="200"/>
              <w:rPr>
                <w:rFonts w:ascii="t" w:hAnsi="t"/>
                <w:color w:val="000000" w:themeColor="text1"/>
                <w:sz w:val="24"/>
              </w:rPr>
            </w:pPr>
            <w:r>
              <w:rPr>
                <w:rFonts w:ascii="t" w:hAnsi="t"/>
                <w:color w:val="000000" w:themeColor="text1"/>
                <w:sz w:val="24"/>
              </w:rPr>
              <w:t>以不减少区域内珍稀濒危动植物，不破坏生态系统完整性为标准，水土流失以不改变土侵蚀类型为标准。</w:t>
            </w:r>
          </w:p>
          <w:p>
            <w:pPr>
              <w:spacing w:line="360" w:lineRule="auto"/>
              <w:ind w:firstLine="480" w:firstLineChars="200"/>
              <w:rPr>
                <w:rFonts w:ascii="t" w:hAnsi="t"/>
                <w:color w:val="000000" w:themeColor="text1"/>
                <w:sz w:val="24"/>
              </w:rPr>
            </w:pPr>
          </w:p>
          <w:p>
            <w:pPr>
              <w:spacing w:line="360" w:lineRule="auto"/>
              <w:ind w:firstLine="480" w:firstLineChars="200"/>
              <w:rPr>
                <w:rFonts w:ascii="Times New Roman" w:cs="Times New Roman"/>
                <w:color w:val="000000" w:themeColor="text1"/>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jc w:val="center"/>
        </w:trPr>
        <w:tc>
          <w:tcPr>
            <w:tcW w:w="852" w:type="dxa"/>
            <w:vAlign w:val="center"/>
          </w:tcPr>
          <w:p>
            <w:pPr>
              <w:snapToGrid w:val="0"/>
              <w:jc w:val="center"/>
              <w:rPr>
                <w:rFonts w:ascii="t" w:hAnsi="t"/>
                <w:b/>
                <w:color w:val="000000" w:themeColor="text1"/>
                <w:sz w:val="24"/>
              </w:rPr>
            </w:pPr>
            <w:r>
              <w:rPr>
                <w:rFonts w:ascii="t" w:hAnsi="t"/>
                <w:b/>
                <w:color w:val="000000" w:themeColor="text1"/>
                <w:sz w:val="24"/>
              </w:rPr>
              <w:t>总</w:t>
            </w:r>
          </w:p>
          <w:p>
            <w:pPr>
              <w:snapToGrid w:val="0"/>
              <w:jc w:val="center"/>
              <w:rPr>
                <w:rFonts w:ascii="t" w:hAnsi="t"/>
                <w:b/>
                <w:color w:val="000000" w:themeColor="text1"/>
                <w:sz w:val="24"/>
              </w:rPr>
            </w:pPr>
            <w:r>
              <w:rPr>
                <w:rFonts w:ascii="t" w:hAnsi="t"/>
                <w:b/>
                <w:color w:val="000000" w:themeColor="text1"/>
                <w:sz w:val="24"/>
              </w:rPr>
              <w:t>量</w:t>
            </w:r>
          </w:p>
          <w:p>
            <w:pPr>
              <w:snapToGrid w:val="0"/>
              <w:jc w:val="center"/>
              <w:rPr>
                <w:rFonts w:ascii="t" w:hAnsi="t"/>
                <w:b/>
                <w:color w:val="000000" w:themeColor="text1"/>
                <w:sz w:val="24"/>
              </w:rPr>
            </w:pPr>
            <w:r>
              <w:rPr>
                <w:rFonts w:ascii="t" w:hAnsi="t"/>
                <w:b/>
                <w:color w:val="000000" w:themeColor="text1"/>
                <w:sz w:val="24"/>
              </w:rPr>
              <w:t>控</w:t>
            </w:r>
          </w:p>
          <w:p>
            <w:pPr>
              <w:snapToGrid w:val="0"/>
              <w:jc w:val="center"/>
              <w:rPr>
                <w:rFonts w:ascii="t" w:hAnsi="t"/>
                <w:b/>
                <w:color w:val="000000" w:themeColor="text1"/>
                <w:sz w:val="24"/>
              </w:rPr>
            </w:pPr>
            <w:r>
              <w:rPr>
                <w:rFonts w:ascii="t" w:hAnsi="t"/>
                <w:b/>
                <w:color w:val="000000" w:themeColor="text1"/>
                <w:sz w:val="24"/>
              </w:rPr>
              <w:t>制</w:t>
            </w:r>
          </w:p>
          <w:p>
            <w:pPr>
              <w:snapToGrid w:val="0"/>
              <w:jc w:val="center"/>
              <w:rPr>
                <w:rFonts w:ascii="t" w:hAnsi="t"/>
                <w:b/>
                <w:color w:val="000000" w:themeColor="text1"/>
                <w:sz w:val="24"/>
              </w:rPr>
            </w:pPr>
            <w:r>
              <w:rPr>
                <w:rFonts w:ascii="t" w:hAnsi="t"/>
                <w:b/>
                <w:color w:val="000000" w:themeColor="text1"/>
                <w:sz w:val="24"/>
              </w:rPr>
              <w:t>指</w:t>
            </w:r>
          </w:p>
          <w:p>
            <w:pPr>
              <w:snapToGrid w:val="0"/>
              <w:jc w:val="center"/>
              <w:rPr>
                <w:rFonts w:ascii="Times New Roman" w:hAnsi="Times New Roman" w:cs="Times New Roman"/>
                <w:color w:val="000000" w:themeColor="text1"/>
                <w:sz w:val="28"/>
                <w:szCs w:val="28"/>
              </w:rPr>
            </w:pPr>
            <w:r>
              <w:rPr>
                <w:rFonts w:ascii="t" w:hAnsi="t"/>
                <w:b/>
                <w:color w:val="000000" w:themeColor="text1"/>
                <w:sz w:val="24"/>
              </w:rPr>
              <w:t>标</w:t>
            </w:r>
          </w:p>
        </w:tc>
        <w:tc>
          <w:tcPr>
            <w:tcW w:w="8787" w:type="dxa"/>
            <w:vAlign w:val="center"/>
          </w:tcPr>
          <w:p>
            <w:pPr>
              <w:spacing w:line="360" w:lineRule="auto"/>
              <w:ind w:right="35" w:rightChars="17" w:firstLine="480" w:firstLineChars="200"/>
              <w:jc w:val="left"/>
              <w:rPr>
                <w:rFonts w:ascii="t" w:hAnsi="t"/>
                <w:color w:val="000000" w:themeColor="text1"/>
                <w:sz w:val="24"/>
              </w:rPr>
            </w:pPr>
            <w:r>
              <w:rPr>
                <w:rFonts w:hint="eastAsia"/>
                <w:sz w:val="24"/>
              </w:rPr>
              <w:t>本项目产生的污染物主要集中在施工期，为暂时性，施工结束后产生污染可以逐渐消除，因此本项目不设置总量控制指标。</w:t>
            </w:r>
          </w:p>
        </w:tc>
      </w:tr>
    </w:tbl>
    <w:p>
      <w:pPr>
        <w:spacing w:line="360" w:lineRule="auto"/>
        <w:ind w:firstLine="480" w:firstLineChars="200"/>
        <w:rPr>
          <w:rFonts w:ascii="Times New Roman" w:hAnsi="Times New Roman" w:cs="Times New Roman"/>
          <w:color w:val="000000" w:themeColor="text1"/>
          <w:sz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000000" w:themeColor="text1"/>
          <w:sz w:val="30"/>
          <w:szCs w:val="30"/>
        </w:rPr>
      </w:pPr>
      <w:r>
        <w:rPr>
          <w:rFonts w:hint="eastAsia" w:ascii="Times New Roman" w:hAnsi="Times New Roman" w:cs="Times New Roman"/>
          <w:b/>
          <w:color w:val="000000" w:themeColor="text1"/>
          <w:sz w:val="30"/>
          <w:szCs w:val="30"/>
        </w:rPr>
        <w:t>建设项目工程分析</w:t>
      </w:r>
      <w:r>
        <w:rPr>
          <w:rFonts w:ascii="Times New Roman" w:hAnsi="Times New Roman" w:cs="Times New Roman"/>
          <w:b/>
          <w:color w:val="000000" w:themeColor="text1"/>
          <w:sz w:val="30"/>
          <w:szCs w:val="30"/>
        </w:rPr>
        <w:t xml:space="preserve">  </w:t>
      </w:r>
      <w:r>
        <w:rPr>
          <w:rFonts w:hint="eastAsia" w:ascii="Times New Roman" w:hAnsi="Times New Roman" w:cs="Times New Roman"/>
          <w:b/>
          <w:color w:val="000000" w:themeColor="text1"/>
          <w:sz w:val="30"/>
          <w:szCs w:val="30"/>
        </w:rPr>
        <w:t xml:space="preserve">                                    (</w:t>
      </w:r>
      <w:r>
        <w:rPr>
          <w:rFonts w:hint="eastAsia" w:ascii="Times New Roman" w:hAnsi="Times New Roman" w:cs="Times New Roman"/>
          <w:b/>
          <w:snapToGrid w:val="0"/>
          <w:color w:val="000000" w:themeColor="text1"/>
          <w:kern w:val="0"/>
          <w:sz w:val="30"/>
          <w:szCs w:val="30"/>
        </w:rPr>
        <w:t>表五)</w:t>
      </w:r>
    </w:p>
    <w:tbl>
      <w:tblPr>
        <w:tblStyle w:val="51"/>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5" w:hRule="atLeast"/>
          <w:jc w:val="center"/>
        </w:trPr>
        <w:tc>
          <w:tcPr>
            <w:tcW w:w="9645" w:type="dxa"/>
          </w:tcPr>
          <w:p>
            <w:pPr>
              <w:spacing w:line="360" w:lineRule="auto"/>
              <w:rPr>
                <w:rFonts w:ascii="t" w:hAnsi="t"/>
                <w:b/>
                <w:bCs/>
                <w:color w:val="000000" w:themeColor="text1"/>
                <w:sz w:val="28"/>
                <w:szCs w:val="28"/>
              </w:rPr>
            </w:pPr>
            <w:r>
              <w:rPr>
                <w:rFonts w:hint="eastAsia" w:ascii="t" w:hAnsi="t"/>
                <w:b/>
                <w:bCs/>
                <w:color w:val="000000" w:themeColor="text1"/>
                <w:sz w:val="28"/>
                <w:szCs w:val="28"/>
              </w:rPr>
              <w:t>建设项目工艺流程简述（图示）</w:t>
            </w:r>
          </w:p>
          <w:p>
            <w:pPr>
              <w:spacing w:line="360" w:lineRule="auto"/>
              <w:ind w:firstLine="560" w:firstLineChars="200"/>
              <w:rPr>
                <w:b/>
                <w:sz w:val="28"/>
                <w:szCs w:val="28"/>
              </w:rPr>
            </w:pPr>
            <w:r>
              <w:rPr>
                <w:rFonts w:hint="eastAsia"/>
                <w:b/>
                <w:sz w:val="28"/>
                <w:szCs w:val="28"/>
              </w:rPr>
              <w:t>一、施工期工艺流程及产污环节</w:t>
            </w:r>
          </w:p>
          <w:p>
            <w:pPr>
              <w:spacing w:line="360" w:lineRule="auto"/>
              <w:ind w:firstLine="480" w:firstLineChars="200"/>
              <w:rPr>
                <w:sz w:val="24"/>
              </w:rPr>
            </w:pPr>
            <w:r>
              <w:rPr>
                <w:rFonts w:hint="eastAsia"/>
                <w:sz w:val="24"/>
              </w:rPr>
              <w:t>本项目主要污染因素来源于施工期，因此施工期是本项目的评价重点。</w:t>
            </w:r>
          </w:p>
          <w:p>
            <w:pPr>
              <w:spacing w:line="360" w:lineRule="auto"/>
              <w:jc w:val="center"/>
              <w:rPr>
                <w:sz w:val="24"/>
              </w:rPr>
            </w:pPr>
            <w:r>
              <w:rPr>
                <w:rFonts w:hint="eastAsia"/>
                <w:sz w:val="24"/>
              </w:rPr>
              <w:drawing>
                <wp:inline distT="0" distB="0" distL="114300" distR="114300">
                  <wp:extent cx="5686425" cy="2800350"/>
                  <wp:effectExtent l="0" t="0" r="9525" b="0"/>
                  <wp:docPr id="1" name="图片 1" descr="1591787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1787942(1)"/>
                          <pic:cNvPicPr>
                            <a:picLocks noChangeAspect="1"/>
                          </pic:cNvPicPr>
                        </pic:nvPicPr>
                        <pic:blipFill>
                          <a:blip r:embed="rId15" cstate="print"/>
                          <a:stretch>
                            <a:fillRect/>
                          </a:stretch>
                        </pic:blipFill>
                        <pic:spPr>
                          <a:xfrm>
                            <a:off x="0" y="0"/>
                            <a:ext cx="5686425" cy="2800350"/>
                          </a:xfrm>
                          <a:prstGeom prst="rect">
                            <a:avLst/>
                          </a:prstGeom>
                        </pic:spPr>
                      </pic:pic>
                    </a:graphicData>
                  </a:graphic>
                </wp:inline>
              </w:drawing>
            </w:r>
          </w:p>
          <w:p>
            <w:pPr>
              <w:spacing w:line="360" w:lineRule="auto"/>
              <w:ind w:firstLine="480" w:firstLineChars="200"/>
              <w:rPr>
                <w:b/>
                <w:bCs/>
                <w:sz w:val="24"/>
              </w:rPr>
            </w:pPr>
            <w:r>
              <w:rPr>
                <w:rFonts w:hint="eastAsia"/>
                <w:b/>
                <w:bCs/>
                <w:sz w:val="24"/>
              </w:rPr>
              <w:t>工艺流程简述：</w:t>
            </w:r>
          </w:p>
          <w:p>
            <w:pPr>
              <w:spacing w:line="360" w:lineRule="auto"/>
              <w:ind w:firstLine="480" w:firstLineChars="200"/>
              <w:rPr>
                <w:sz w:val="24"/>
              </w:rPr>
            </w:pPr>
            <w:r>
              <w:rPr>
                <w:rFonts w:hint="eastAsia"/>
                <w:sz w:val="24"/>
              </w:rPr>
              <w:t>1、土方开挖及回填：项目土方开挖均采用人工开挖，开挖土方就地堆置于管沟一侧</w:t>
            </w:r>
            <w:r>
              <w:rPr>
                <w:rFonts w:hint="eastAsia"/>
                <w:sz w:val="24"/>
                <w:lang w:eastAsia="zh-CN"/>
              </w:rPr>
              <w:t>，</w:t>
            </w:r>
            <w:r>
              <w:rPr>
                <w:rFonts w:hint="eastAsia"/>
                <w:sz w:val="24"/>
                <w:lang w:val="en-US" w:eastAsia="zh-CN"/>
              </w:rPr>
              <w:t>表土单独堆放，用于植被恢复</w:t>
            </w:r>
            <w:r>
              <w:rPr>
                <w:rFonts w:hint="eastAsia"/>
                <w:sz w:val="24"/>
              </w:rPr>
              <w:t>。土方开挖时严格掌握各部位的开挖标准和开挖高程。当开挖至接近设计尺寸时，需预留20cm的保护层，以防止地基土扰动、风化，待砼浇筑前再将次层土挖去。基坑的尺寸标准应严格掌握，既不能超挖增加工程量，也不能少挖降低工程标准。</w:t>
            </w:r>
          </w:p>
          <w:p>
            <w:pPr>
              <w:spacing w:line="360" w:lineRule="auto"/>
              <w:ind w:firstLine="480" w:firstLineChars="200"/>
              <w:rPr>
                <w:sz w:val="24"/>
              </w:rPr>
            </w:pPr>
            <w:r>
              <w:rPr>
                <w:rFonts w:hint="eastAsia"/>
                <w:sz w:val="24"/>
              </w:rPr>
              <w:t>2、水管铺设：水管安装前应先检查管道，在管材运输、装卸、安装过程中要注意保护，房子暴晒、异物扎破、变形；管道安装采用对接，从管线一端顺水连接，连接时先将管头擦净。回填时，沟底铺填20cm厚细土石，管道置于细石土上，管道安装完毕试水合格后，才可继续回填，管道周边再覆盖20cm厚细石土后，回填50cm厚覆盖土至原地面高程，推平。</w:t>
            </w:r>
          </w:p>
          <w:p>
            <w:pPr>
              <w:spacing w:line="360" w:lineRule="auto"/>
              <w:ind w:firstLine="480" w:firstLineChars="200"/>
              <w:rPr>
                <w:rFonts w:hint="eastAsia"/>
                <w:sz w:val="24"/>
              </w:rPr>
            </w:pPr>
            <w:r>
              <w:rPr>
                <w:rFonts w:hint="eastAsia"/>
                <w:sz w:val="24"/>
              </w:rPr>
              <w:t>3、池子防水工程：项目蓄水池、沉淀池及消毒池等的内壁及底板均采用混凝土及3mm防水涂膜作为防水措施。项目所用混凝土全部外购商砼，现场不设搅拌站，防水涂膜外购成品。施工前应根据工地骨料的种类、水泥品种、标号，按设计要求提前作好砼的配料、强度、防渗、抗冲试验，作为混凝土浇筑时的配料依据。混凝土所用的砂石料，必须质地坚硬、清洁、级配良好。骨料必须经过材料试验，商砼、防水涂膜等材料出厂前须有合格证及检验报告，严禁使用不合格的产品。</w:t>
            </w:r>
          </w:p>
          <w:p>
            <w:pPr>
              <w:spacing w:line="360" w:lineRule="auto"/>
              <w:ind w:firstLine="480" w:firstLineChars="200"/>
              <w:rPr>
                <w:rFonts w:hint="default" w:eastAsiaTheme="minorEastAsia"/>
                <w:sz w:val="24"/>
                <w:lang w:val="en-US" w:eastAsia="zh-CN"/>
              </w:rPr>
            </w:pPr>
            <w:r>
              <w:rPr>
                <w:rFonts w:hint="eastAsia"/>
                <w:sz w:val="24"/>
                <w:lang w:val="en-US" w:eastAsia="zh-CN"/>
              </w:rPr>
              <w:t>4、土石方回填、恢复地貌</w:t>
            </w:r>
          </w:p>
          <w:p>
            <w:pPr>
              <w:spacing w:line="360" w:lineRule="auto"/>
              <w:ind w:firstLine="480" w:firstLineChars="200"/>
              <w:rPr>
                <w:rFonts w:hint="eastAsia"/>
                <w:sz w:val="24"/>
                <w:lang w:val="en-US" w:eastAsia="zh-CN"/>
              </w:rPr>
            </w:pPr>
            <w:r>
              <w:rPr>
                <w:rFonts w:hint="eastAsia"/>
                <w:sz w:val="24"/>
                <w:lang w:val="en-US" w:eastAsia="zh-CN"/>
              </w:rPr>
              <w:t>根据管道沿线的地形、地貌、工程地质、水文地质以及气候条件，管道需要埋设于冻线以下防止冻裂。根据本项目可研报告，输水管道管顶覆土不小于1.3m，该覆土条件下，管道能满足管道强度、稳定以及防冻要求。管线阀门井均设双层保温井盖，防冻保温。</w:t>
            </w:r>
          </w:p>
          <w:p>
            <w:pPr>
              <w:spacing w:line="360" w:lineRule="auto"/>
              <w:ind w:firstLine="480" w:firstLineChars="200"/>
              <w:rPr>
                <w:rFonts w:hint="default"/>
                <w:sz w:val="24"/>
                <w:lang w:val="en-US" w:eastAsia="zh-CN"/>
              </w:rPr>
            </w:pPr>
            <w:r>
              <w:rPr>
                <w:rFonts w:hint="eastAsia"/>
                <w:sz w:val="24"/>
                <w:lang w:val="en-US" w:eastAsia="zh-CN"/>
              </w:rPr>
              <w:t>5、线路附属构筑物</w:t>
            </w:r>
          </w:p>
          <w:p>
            <w:pPr>
              <w:spacing w:line="360" w:lineRule="auto"/>
              <w:ind w:firstLine="480" w:firstLineChars="200"/>
              <w:rPr>
                <w:rFonts w:hint="eastAsia"/>
                <w:sz w:val="24"/>
                <w:lang w:val="en-US" w:eastAsia="zh-CN"/>
              </w:rPr>
            </w:pPr>
            <w:r>
              <w:rPr>
                <w:rFonts w:hint="eastAsia"/>
                <w:sz w:val="24"/>
                <w:lang w:val="en-US" w:eastAsia="zh-CN"/>
              </w:rPr>
              <w:t>①管道标识和标志桩</w:t>
            </w:r>
          </w:p>
          <w:p>
            <w:pPr>
              <w:spacing w:line="360" w:lineRule="auto"/>
              <w:ind w:firstLine="480" w:firstLineChars="200"/>
              <w:rPr>
                <w:rFonts w:hint="eastAsia"/>
                <w:sz w:val="24"/>
                <w:lang w:val="en-US" w:eastAsia="zh-CN"/>
              </w:rPr>
            </w:pPr>
            <w:r>
              <w:rPr>
                <w:rFonts w:hint="eastAsia"/>
                <w:sz w:val="24"/>
                <w:lang w:val="en-US" w:eastAsia="zh-CN"/>
              </w:rPr>
              <w:t>管道标识和标志桩的设置按《管道干线标记设置技术规定》(SY/T6064)执行。管道靠近人口集中居住区等需加强管道安全保护的地方设警示牌；为避免管道的误认，应将企业名称、敷设年代、行业类别等标识标注在管道上方的标志物上；在管线折点和管线穿越河流的上、下游两岸均应设置明显的永久性钢筋混凝土标志桩。</w:t>
            </w:r>
          </w:p>
          <w:p>
            <w:pPr>
              <w:spacing w:line="360" w:lineRule="auto"/>
              <w:ind w:firstLine="480" w:firstLineChars="200"/>
              <w:rPr>
                <w:rFonts w:hint="eastAsia"/>
                <w:sz w:val="24"/>
                <w:lang w:val="en-US" w:eastAsia="zh-CN"/>
              </w:rPr>
            </w:pPr>
            <w:r>
              <w:rPr>
                <w:rFonts w:hint="eastAsia"/>
                <w:sz w:val="24"/>
                <w:lang w:val="en-US" w:eastAsia="zh-CN"/>
              </w:rPr>
              <w:t>②水工保护工程</w:t>
            </w:r>
          </w:p>
          <w:p>
            <w:pPr>
              <w:spacing w:line="360" w:lineRule="auto"/>
              <w:ind w:firstLine="480" w:firstLineChars="200"/>
              <w:rPr>
                <w:rFonts w:hint="eastAsia"/>
                <w:sz w:val="24"/>
                <w:lang w:val="en-US" w:eastAsia="zh-CN"/>
              </w:rPr>
            </w:pPr>
            <w:r>
              <w:rPr>
                <w:rFonts w:hint="eastAsia"/>
                <w:sz w:val="24"/>
                <w:lang w:val="en-US" w:eastAsia="zh-CN"/>
              </w:rPr>
              <w:t>根据本工程的实际情况，可因地制宜地采用以下措施对管道进行水工保护。</w:t>
            </w:r>
          </w:p>
          <w:p>
            <w:pPr>
              <w:spacing w:line="360" w:lineRule="auto"/>
              <w:ind w:firstLine="480" w:firstLineChars="200"/>
              <w:rPr>
                <w:rFonts w:hint="eastAsia"/>
                <w:sz w:val="24"/>
                <w:lang w:val="en-US" w:eastAsia="zh-CN"/>
              </w:rPr>
            </w:pPr>
            <w:r>
              <w:rPr>
                <w:rFonts w:hint="eastAsia"/>
                <w:sz w:val="24"/>
                <w:lang w:val="en-US" w:eastAsia="zh-CN"/>
              </w:rPr>
              <w:t>护岸:在河岸、沟岸以及陡坡、陡坎上开沟敷设管线时，由于稳定的原状土被扰动，管沟回填松散土受水冲刷极易流失。因此一般都需要在有汇水的河流、冲沟两岸及坡度较大的陡坡、陡坎上做护坡或护岸墙。</w:t>
            </w:r>
          </w:p>
          <w:p>
            <w:pPr>
              <w:spacing w:line="360" w:lineRule="auto"/>
              <w:ind w:firstLine="480" w:firstLineChars="200"/>
              <w:rPr>
                <w:rFonts w:hint="eastAsia"/>
                <w:sz w:val="24"/>
                <w:lang w:val="en-US" w:eastAsia="zh-CN"/>
              </w:rPr>
            </w:pPr>
            <w:r>
              <w:rPr>
                <w:rFonts w:hint="eastAsia"/>
                <w:sz w:val="24"/>
                <w:lang w:val="en-US" w:eastAsia="zh-CN"/>
              </w:rPr>
              <w:t>截水墙:管线经过陡坡、陡坎时，为防止雨水冲刷管沟，通常在管沟内每隔一定距离作一道截水墙。一般从管底做起，直至地表面。</w:t>
            </w:r>
          </w:p>
          <w:p>
            <w:pPr>
              <w:spacing w:line="360" w:lineRule="auto"/>
              <w:ind w:firstLine="480" w:firstLineChars="200"/>
              <w:rPr>
                <w:rFonts w:hint="eastAsia"/>
                <w:sz w:val="24"/>
                <w:lang w:val="en-US" w:eastAsia="zh-CN"/>
              </w:rPr>
            </w:pPr>
            <w:r>
              <w:rPr>
                <w:rFonts w:hint="eastAsia"/>
                <w:sz w:val="24"/>
                <w:lang w:val="en-US" w:eastAsia="zh-CN"/>
              </w:rPr>
              <w:t>挡土墙:对管道附近不稳定土体，如小型滑坡、塌方体等应采用挡土墙进行加固；或在陡坡上直接开挖管沟时，为稳定此坡体，在其下部设置挡土墙。其结构尺寸的大小应根据力学计算确定，因为是条型结构，为适应不均匀沉降一般在结构上每隔10-15m设一道沉降缝。并每隔适当距离设置排水孔以使墙后积水及时排走，减少墙后水压力，从而降低挡土墙侧向受力，使其趋于稳定。</w:t>
            </w:r>
          </w:p>
          <w:p>
            <w:pPr>
              <w:spacing w:line="360" w:lineRule="auto"/>
              <w:ind w:firstLine="480" w:firstLineChars="200"/>
              <w:rPr>
                <w:rFonts w:hint="default"/>
                <w:sz w:val="24"/>
                <w:lang w:val="en-US" w:eastAsia="zh-CN"/>
              </w:rPr>
            </w:pPr>
            <w:r>
              <w:rPr>
                <w:rFonts w:hint="eastAsia"/>
                <w:sz w:val="24"/>
                <w:lang w:val="en-US" w:eastAsia="zh-CN"/>
              </w:rPr>
              <w:t>6、穿越施工方式</w:t>
            </w:r>
          </w:p>
          <w:p>
            <w:pPr>
              <w:spacing w:line="360" w:lineRule="auto"/>
              <w:ind w:firstLine="480" w:firstLineChars="200"/>
              <w:rPr>
                <w:rFonts w:hint="eastAsia"/>
                <w:sz w:val="24"/>
                <w:lang w:val="en-US" w:eastAsia="zh-CN"/>
              </w:rPr>
            </w:pPr>
            <w:r>
              <w:rPr>
                <w:rFonts w:hint="eastAsia"/>
                <w:sz w:val="24"/>
                <w:lang w:val="en-US" w:eastAsia="zh-CN"/>
              </w:rPr>
              <w:t>根据现场实地勘察，本项目管线不涉及穿越涵洞、泄洪沟。从取水口到蓄水池的管线输送过程中，不涉及穿越河流和大型道路，仅涉及穿越乡村道路，穿越方式采用大开挖的方式。管顶覆土不小于1.8m，取水工程施工拟采用围堰施工。</w:t>
            </w:r>
          </w:p>
          <w:p>
            <w:pPr>
              <w:spacing w:line="360" w:lineRule="auto"/>
              <w:ind w:firstLine="480" w:firstLineChars="200"/>
              <w:rPr>
                <w:rFonts w:hint="default"/>
                <w:sz w:val="24"/>
                <w:lang w:val="en-US" w:eastAsia="zh-CN"/>
              </w:rPr>
            </w:pPr>
            <w:r>
              <w:rPr>
                <w:rFonts w:hint="eastAsia"/>
                <w:sz w:val="24"/>
                <w:lang w:val="en-US" w:eastAsia="zh-CN"/>
              </w:rPr>
              <w:t>7、与其它埋设物交叉时施工方式</w:t>
            </w:r>
          </w:p>
          <w:p>
            <w:pPr>
              <w:spacing w:line="360" w:lineRule="auto"/>
              <w:ind w:firstLine="480" w:firstLineChars="200"/>
              <w:rPr>
                <w:rFonts w:hint="eastAsia"/>
                <w:sz w:val="24"/>
                <w:lang w:val="en-US" w:eastAsia="zh-CN"/>
              </w:rPr>
            </w:pPr>
            <w:r>
              <w:rPr>
                <w:rFonts w:hint="eastAsia"/>
                <w:sz w:val="24"/>
                <w:lang w:val="en-US" w:eastAsia="zh-CN"/>
              </w:rPr>
              <w:t>对于管道与其它地下埋设物交叉，应保持净距大于0.3m，且本工程管道管顶覆土不小于1.5m。同时根据被穿越管道的种类，确定支护方案，确保空隙被填实。</w:t>
            </w:r>
          </w:p>
          <w:p>
            <w:pPr>
              <w:spacing w:line="360" w:lineRule="auto"/>
              <w:ind w:firstLine="560" w:firstLineChars="200"/>
              <w:rPr>
                <w:b/>
                <w:sz w:val="28"/>
                <w:szCs w:val="28"/>
              </w:rPr>
            </w:pPr>
            <w:r>
              <w:rPr>
                <w:b/>
                <w:sz w:val="28"/>
                <w:szCs w:val="28"/>
              </w:rPr>
              <w:t>二</w:t>
            </w:r>
            <w:r>
              <w:rPr>
                <w:rFonts w:hint="eastAsia"/>
                <w:b/>
                <w:sz w:val="28"/>
                <w:szCs w:val="28"/>
              </w:rPr>
              <w:t>、</w:t>
            </w:r>
            <w:r>
              <w:rPr>
                <w:b/>
                <w:sz w:val="28"/>
                <w:szCs w:val="28"/>
              </w:rPr>
              <w:t>主要污染工序</w:t>
            </w:r>
          </w:p>
          <w:p>
            <w:pPr>
              <w:spacing w:line="360" w:lineRule="auto"/>
              <w:ind w:firstLine="480" w:firstLineChars="200"/>
              <w:rPr>
                <w:sz w:val="24"/>
              </w:rPr>
            </w:pPr>
            <w:r>
              <w:rPr>
                <w:rFonts w:hint="eastAsia"/>
                <w:sz w:val="24"/>
              </w:rPr>
              <w:t>主要环境影响发生在施工期间，在施工过程中，由于土方的开挖、堆积等，及原材料运输、施工作业等环节会产生扬尘、噪声等环境污染，挖方过程中产生的弃土在不利气候条件下易造成水土流失，但这些影响都是可逆的，待施工结束后将一并消失。营运期主要为当地居民供水，项目建设完成后，基本不会对环境造成影响。</w:t>
            </w:r>
          </w:p>
          <w:p>
            <w:pPr>
              <w:spacing w:line="360" w:lineRule="auto"/>
              <w:ind w:firstLine="480" w:firstLineChars="200"/>
              <w:rPr>
                <w:sz w:val="24"/>
              </w:rPr>
            </w:pPr>
            <w:r>
              <w:rPr>
                <w:rFonts w:hint="eastAsia"/>
                <w:sz w:val="24"/>
              </w:rPr>
              <w:t>1、施工期</w:t>
            </w:r>
          </w:p>
          <w:p>
            <w:pPr>
              <w:spacing w:line="360" w:lineRule="auto"/>
              <w:ind w:firstLine="480" w:firstLineChars="200"/>
              <w:rPr>
                <w:sz w:val="24"/>
              </w:rPr>
            </w:pPr>
            <w:r>
              <w:rPr>
                <w:rFonts w:hint="eastAsia"/>
                <w:sz w:val="24"/>
              </w:rPr>
              <w:t>（1）征地、移民的影响</w:t>
            </w:r>
          </w:p>
          <w:p>
            <w:pPr>
              <w:spacing w:line="360" w:lineRule="auto"/>
              <w:ind w:firstLine="480" w:firstLineChars="200"/>
              <w:rPr>
                <w:sz w:val="24"/>
              </w:rPr>
            </w:pPr>
            <w:r>
              <w:rPr>
                <w:rFonts w:hint="eastAsia"/>
                <w:sz w:val="24"/>
              </w:rPr>
              <w:t>本工程不涉及民房拆迁。</w:t>
            </w:r>
          </w:p>
          <w:p>
            <w:pPr>
              <w:spacing w:line="360" w:lineRule="auto"/>
              <w:ind w:firstLine="480" w:firstLineChars="200"/>
              <w:rPr>
                <w:sz w:val="24"/>
              </w:rPr>
            </w:pPr>
            <w:r>
              <w:rPr>
                <w:rFonts w:hint="eastAsia"/>
                <w:sz w:val="24"/>
              </w:rPr>
              <w:t>（2）对生态的影响</w:t>
            </w:r>
          </w:p>
          <w:p>
            <w:pPr>
              <w:spacing w:line="360" w:lineRule="auto"/>
              <w:ind w:firstLine="480" w:firstLineChars="200"/>
              <w:rPr>
                <w:sz w:val="24"/>
              </w:rPr>
            </w:pPr>
            <w:r>
              <w:rPr>
                <w:rFonts w:hint="eastAsia"/>
                <w:sz w:val="24"/>
              </w:rPr>
              <w:t>施工带清理、开挖管沟等施工活动对土壤的扰动和植被的破坏，工程占地对土地利用类型以及农业生产的影响；施工弃土、弃渣引起的水土流失等。施工期生态影响主要体现在以下几个方面：</w:t>
            </w:r>
          </w:p>
          <w:p>
            <w:pPr>
              <w:spacing w:line="360" w:lineRule="auto"/>
              <w:ind w:firstLine="480" w:firstLineChars="200"/>
              <w:rPr>
                <w:sz w:val="24"/>
              </w:rPr>
            </w:pPr>
            <w:r>
              <w:rPr>
                <w:rFonts w:hint="eastAsia"/>
                <w:sz w:val="24"/>
              </w:rPr>
              <w:t>①工程占地</w:t>
            </w:r>
          </w:p>
          <w:p>
            <w:pPr>
              <w:spacing w:line="360" w:lineRule="auto"/>
              <w:ind w:firstLine="480" w:firstLineChars="200"/>
              <w:rPr>
                <w:sz w:val="24"/>
              </w:rPr>
            </w:pPr>
            <w:r>
              <w:rPr>
                <w:rFonts w:hint="eastAsia"/>
                <w:sz w:val="24"/>
              </w:rPr>
              <w:t>工程建设时，引水管道敷设会占用土地，破坏耕地和植被，对生态环境形成不利影响。</w:t>
            </w:r>
          </w:p>
          <w:p>
            <w:pPr>
              <w:spacing w:line="360" w:lineRule="auto"/>
              <w:ind w:firstLine="480" w:firstLineChars="200"/>
              <w:rPr>
                <w:sz w:val="24"/>
              </w:rPr>
            </w:pPr>
            <w:r>
              <w:rPr>
                <w:rFonts w:hint="eastAsia"/>
                <w:sz w:val="24"/>
              </w:rPr>
              <w:t>临时占地：主要用于埋设管道、管材堆放，施工完毕后，通过复植，可恢复原有的土地使用状况；</w:t>
            </w:r>
          </w:p>
          <w:p>
            <w:pPr>
              <w:spacing w:line="360" w:lineRule="auto"/>
              <w:ind w:firstLine="480" w:firstLineChars="200"/>
              <w:rPr>
                <w:sz w:val="24"/>
              </w:rPr>
            </w:pPr>
            <w:r>
              <w:rPr>
                <w:rFonts w:hint="eastAsia"/>
                <w:sz w:val="24"/>
              </w:rPr>
              <w:t>永久性占地：主要为蓄水池及沉淀池的建设，将改变区域现有的土地利用状况，但该部分占地面积较小，通过加强绿化补偿。</w:t>
            </w:r>
          </w:p>
          <w:p>
            <w:pPr>
              <w:spacing w:line="360" w:lineRule="auto"/>
              <w:ind w:firstLine="480" w:firstLineChars="200"/>
              <w:rPr>
                <w:sz w:val="24"/>
              </w:rPr>
            </w:pPr>
            <w:r>
              <w:rPr>
                <w:rFonts w:hint="eastAsia"/>
                <w:sz w:val="24"/>
              </w:rPr>
              <w:t>②管道建设影响</w:t>
            </w:r>
          </w:p>
          <w:p>
            <w:pPr>
              <w:spacing w:line="360" w:lineRule="auto"/>
              <w:ind w:firstLine="480" w:firstLineChars="200"/>
              <w:rPr>
                <w:sz w:val="24"/>
              </w:rPr>
            </w:pPr>
            <w:r>
              <w:rPr>
                <w:rFonts w:hint="eastAsia"/>
                <w:sz w:val="24"/>
              </w:rPr>
              <w:t>A、土壤结构破坏</w:t>
            </w:r>
          </w:p>
          <w:p>
            <w:pPr>
              <w:spacing w:line="360" w:lineRule="auto"/>
              <w:ind w:firstLine="480" w:firstLineChars="200"/>
              <w:rPr>
                <w:sz w:val="24"/>
              </w:rPr>
            </w:pPr>
            <w:r>
              <w:rPr>
                <w:rFonts w:hint="eastAsia"/>
                <w:sz w:val="24"/>
              </w:rPr>
              <w:t>在管沟开挖区内，施工时将破坏作业带的土壤结构，改变土壤质地，改变土壤耕作层及土壤紧实度，特别是要破坏多年形成的具有保水性、爽水性的犁底层，影响突然发育和农业生产。覆土回填后，土壤的容量、土体结构、土壤抗蚀指数等土壤属性也会发生较大变化。管沟两侧1~2m的施工区域内，也会因施工人员践踏和土石方堆放等因素，改变土壤结构，从而影响土壤发育和农业的生产，甚至导致水土流失。</w:t>
            </w:r>
          </w:p>
          <w:p>
            <w:pPr>
              <w:spacing w:line="360" w:lineRule="auto"/>
              <w:ind w:firstLine="480" w:firstLineChars="200"/>
              <w:rPr>
                <w:sz w:val="24"/>
              </w:rPr>
            </w:pPr>
            <w:r>
              <w:rPr>
                <w:rFonts w:hint="eastAsia"/>
                <w:sz w:val="24"/>
              </w:rPr>
              <w:t>B、植被破坏</w:t>
            </w:r>
          </w:p>
          <w:p>
            <w:pPr>
              <w:spacing w:line="360" w:lineRule="auto"/>
              <w:ind w:firstLine="480" w:firstLineChars="200"/>
              <w:rPr>
                <w:sz w:val="24"/>
              </w:rPr>
            </w:pPr>
            <w:r>
              <w:rPr>
                <w:rFonts w:hint="eastAsia"/>
                <w:sz w:val="24"/>
              </w:rPr>
              <w:t>在管线施工过程中，施工作业带内植被将受到不同程度的影响和破坏，影响主要集中在管沟中心两侧2m范围内。</w:t>
            </w:r>
          </w:p>
          <w:p>
            <w:pPr>
              <w:spacing w:line="360" w:lineRule="auto"/>
              <w:ind w:firstLine="480" w:firstLineChars="200"/>
              <w:rPr>
                <w:sz w:val="24"/>
              </w:rPr>
            </w:pPr>
            <w:r>
              <w:rPr>
                <w:rFonts w:hint="eastAsia"/>
                <w:sz w:val="24"/>
              </w:rPr>
              <w:t>C、水土流失</w:t>
            </w:r>
          </w:p>
          <w:p>
            <w:pPr>
              <w:spacing w:line="360" w:lineRule="auto"/>
              <w:ind w:firstLine="480" w:firstLineChars="200"/>
              <w:rPr>
                <w:sz w:val="24"/>
              </w:rPr>
            </w:pPr>
            <w:r>
              <w:rPr>
                <w:rFonts w:hint="eastAsia"/>
                <w:sz w:val="24"/>
              </w:rPr>
              <w:t>开挖管沟时，开挖区内土体结构遭到破坏，地表植被基本消失，开挖出的土石方为水蚀创造了条件；开挖期间遇上暴雨，水土流失量将增大；在施工区内，由于施工人员及机械设备的践踏，地表植被及土壤结构将受到破坏，造成地表裸露，易出现水土流失；管道敷设完毕后回填土，由于回填时间短，土质疏松，土壤抗蚀能力低，易被暴雨冲走，形成水土流失。</w:t>
            </w:r>
          </w:p>
          <w:p>
            <w:pPr>
              <w:spacing w:line="360" w:lineRule="auto"/>
              <w:ind w:firstLine="480" w:firstLineChars="200"/>
              <w:rPr>
                <w:sz w:val="24"/>
              </w:rPr>
            </w:pPr>
            <w:r>
              <w:rPr>
                <w:rFonts w:hint="eastAsia"/>
                <w:sz w:val="24"/>
              </w:rPr>
              <w:t>（3）对自然环境的影响</w:t>
            </w:r>
          </w:p>
          <w:p>
            <w:pPr>
              <w:spacing w:line="360" w:lineRule="auto"/>
              <w:ind w:firstLine="480" w:firstLineChars="200"/>
              <w:rPr>
                <w:sz w:val="24"/>
              </w:rPr>
            </w:pPr>
            <w:r>
              <w:rPr>
                <w:rFonts w:hint="eastAsia"/>
                <w:sz w:val="24"/>
              </w:rPr>
              <w:t>1）大气</w:t>
            </w:r>
          </w:p>
          <w:p>
            <w:pPr>
              <w:spacing w:line="360" w:lineRule="auto"/>
              <w:ind w:firstLine="480" w:firstLineChars="200"/>
              <w:rPr>
                <w:sz w:val="24"/>
              </w:rPr>
            </w:pPr>
            <w:r>
              <w:rPr>
                <w:rFonts w:hint="eastAsia"/>
                <w:sz w:val="24"/>
              </w:rPr>
              <w:t>施工时环境空气的污染主要来自土方开挖等过程、混凝土搅拌、施工过程等，主要污染物为施工扬尘</w:t>
            </w:r>
            <w:r>
              <w:rPr>
                <w:rStyle w:val="61"/>
                <w:rFonts w:hint="eastAsia"/>
                <w:sz w:val="24"/>
                <w:szCs w:val="24"/>
              </w:rPr>
              <w:t>以及施工机械产生的燃油废气</w:t>
            </w:r>
            <w:r>
              <w:rPr>
                <w:rFonts w:hint="eastAsia"/>
                <w:sz w:val="24"/>
              </w:rPr>
              <w:t>。</w:t>
            </w:r>
          </w:p>
          <w:p>
            <w:pPr>
              <w:spacing w:line="360" w:lineRule="auto"/>
              <w:ind w:firstLine="480" w:firstLineChars="200"/>
              <w:rPr>
                <w:sz w:val="24"/>
              </w:rPr>
            </w:pPr>
            <w:r>
              <w:rPr>
                <w:rFonts w:hint="eastAsia"/>
                <w:sz w:val="24"/>
              </w:rPr>
              <w:t>2）废水</w:t>
            </w:r>
          </w:p>
          <w:p>
            <w:pPr>
              <w:spacing w:line="360" w:lineRule="auto"/>
              <w:ind w:firstLine="480" w:firstLineChars="200"/>
              <w:rPr>
                <w:sz w:val="24"/>
              </w:rPr>
            </w:pPr>
            <w:r>
              <w:rPr>
                <w:rFonts w:hint="eastAsia"/>
                <w:sz w:val="24"/>
              </w:rPr>
              <w:t>项目废水主要为施工人员的生活污水和少量的管道冲洗、试压废水</w:t>
            </w:r>
            <w:r>
              <w:rPr>
                <w:rFonts w:hint="eastAsia"/>
                <w:sz w:val="24"/>
                <w:szCs w:val="24"/>
                <w:lang w:val="en-US" w:eastAsia="zh-CN"/>
              </w:rPr>
              <w:t>及设备冲洗水</w:t>
            </w:r>
            <w:r>
              <w:rPr>
                <w:rFonts w:hint="eastAsia"/>
                <w:sz w:val="24"/>
              </w:rPr>
              <w:t>，生活污水依托附近居民已建污水处理系统，管道冲洗、试压废水</w:t>
            </w:r>
            <w:r>
              <w:rPr>
                <w:rFonts w:hint="eastAsia"/>
                <w:sz w:val="24"/>
                <w:lang w:val="en-US" w:eastAsia="zh-CN"/>
              </w:rPr>
              <w:t>和设备冲洗废水</w:t>
            </w:r>
            <w:r>
              <w:rPr>
                <w:rFonts w:hint="eastAsia"/>
                <w:sz w:val="24"/>
              </w:rPr>
              <w:t>主要污染因子为SS，直接用于现场混凝土搅拌和池子养护用水，故本项目废水不直接外排。</w:t>
            </w:r>
          </w:p>
          <w:p>
            <w:pPr>
              <w:spacing w:line="360" w:lineRule="auto"/>
              <w:ind w:firstLine="480" w:firstLineChars="200"/>
              <w:rPr>
                <w:sz w:val="24"/>
              </w:rPr>
            </w:pPr>
            <w:r>
              <w:rPr>
                <w:rFonts w:hint="eastAsia"/>
                <w:sz w:val="24"/>
              </w:rPr>
              <w:t>3）噪声</w:t>
            </w:r>
          </w:p>
          <w:p>
            <w:pPr>
              <w:spacing w:line="360" w:lineRule="auto"/>
              <w:ind w:firstLine="480" w:firstLineChars="200"/>
              <w:rPr>
                <w:sz w:val="24"/>
              </w:rPr>
            </w:pPr>
            <w:r>
              <w:rPr>
                <w:rFonts w:hint="eastAsia"/>
                <w:sz w:val="24"/>
              </w:rPr>
              <w:t>施工期噪声主要来自于施工过程中施工机械产生的噪声，特点是间歇或阵发性的，并具有流动性、噪声较高的特征，噪声值一般均高于80dB（A）。 施工期间另一个重要的噪声源是施工运输车辆产生的交通噪声，一般声级可达到85~90dB（A）。</w:t>
            </w:r>
          </w:p>
          <w:p>
            <w:pPr>
              <w:spacing w:line="360" w:lineRule="auto"/>
              <w:ind w:firstLine="480" w:firstLineChars="200"/>
              <w:rPr>
                <w:sz w:val="24"/>
              </w:rPr>
            </w:pPr>
            <w:r>
              <w:rPr>
                <w:rFonts w:hint="eastAsia"/>
                <w:sz w:val="24"/>
              </w:rPr>
              <w:t>4）固体废物</w:t>
            </w:r>
          </w:p>
          <w:p>
            <w:pPr>
              <w:spacing w:line="360" w:lineRule="auto"/>
              <w:ind w:firstLine="480" w:firstLineChars="200"/>
              <w:rPr>
                <w:sz w:val="24"/>
              </w:rPr>
            </w:pPr>
            <w:r>
              <w:rPr>
                <w:rFonts w:hint="eastAsia"/>
                <w:sz w:val="24"/>
              </w:rPr>
              <w:t>固体废物主要是工程施工时挖掘的土方、施工产生的建筑垃圾。本工程土石方开挖量(含清基)为6506.6m</w:t>
            </w:r>
            <w:r>
              <w:rPr>
                <w:rFonts w:hint="eastAsia"/>
                <w:sz w:val="24"/>
                <w:vertAlign w:val="superscript"/>
              </w:rPr>
              <w:t>3</w:t>
            </w:r>
            <w:r>
              <w:rPr>
                <w:rFonts w:hint="eastAsia"/>
                <w:sz w:val="24"/>
              </w:rPr>
              <w:t>（自然方），本工程需要的土石方回填总量为5760 m</w:t>
            </w:r>
            <w:r>
              <w:rPr>
                <w:rFonts w:hint="eastAsia"/>
                <w:sz w:val="24"/>
                <w:vertAlign w:val="superscript"/>
              </w:rPr>
              <w:t>3</w:t>
            </w:r>
            <w:r>
              <w:rPr>
                <w:rFonts w:hint="eastAsia"/>
                <w:sz w:val="24"/>
              </w:rPr>
              <w:t>（自然方）。综合考虑损耗与利用率后，弃渣合计746.6m³（自然方），根据项目特点，项目不设永久性弃渣场、料场，项目弃土清理的泥沙未被污染，可及时就近回填至农田、附近土地、机耕道或荒地后即可消纳掉。</w:t>
            </w:r>
          </w:p>
          <w:p>
            <w:pPr>
              <w:spacing w:line="360" w:lineRule="auto"/>
              <w:ind w:firstLine="480" w:firstLineChars="200"/>
              <w:rPr>
                <w:sz w:val="24"/>
              </w:rPr>
            </w:pPr>
            <w:r>
              <w:rPr>
                <w:rFonts w:hint="eastAsia"/>
                <w:sz w:val="24"/>
              </w:rPr>
              <w:t>2、营运期</w:t>
            </w:r>
          </w:p>
          <w:p>
            <w:pPr>
              <w:spacing w:line="360" w:lineRule="auto"/>
              <w:ind w:firstLine="480" w:firstLineChars="200"/>
              <w:rPr>
                <w:sz w:val="24"/>
              </w:rPr>
            </w:pPr>
            <w:r>
              <w:rPr>
                <w:rFonts w:hint="eastAsia"/>
                <w:sz w:val="24"/>
              </w:rPr>
              <w:t>本工程为居民饮水工程项目，建设完成后，由业主指定各村一名代表代管蓄水池及管网等设施，定期加药，清理沉淀池浮渣，项目运营后，基本不会对环境造成影响。</w:t>
            </w:r>
          </w:p>
          <w:p>
            <w:pPr>
              <w:spacing w:line="360" w:lineRule="auto"/>
              <w:ind w:firstLine="560" w:firstLineChars="200"/>
              <w:rPr>
                <w:b/>
                <w:sz w:val="28"/>
                <w:szCs w:val="28"/>
              </w:rPr>
            </w:pPr>
            <w:r>
              <w:rPr>
                <w:b/>
                <w:sz w:val="28"/>
                <w:szCs w:val="28"/>
              </w:rPr>
              <w:t>三</w:t>
            </w:r>
            <w:r>
              <w:rPr>
                <w:rFonts w:hint="eastAsia"/>
                <w:b/>
                <w:sz w:val="28"/>
                <w:szCs w:val="28"/>
              </w:rPr>
              <w:t>、</w:t>
            </w:r>
            <w:r>
              <w:rPr>
                <w:b/>
                <w:sz w:val="28"/>
                <w:szCs w:val="28"/>
              </w:rPr>
              <w:t>主要污染治理措施</w:t>
            </w:r>
          </w:p>
          <w:p>
            <w:pPr>
              <w:spacing w:line="360" w:lineRule="auto"/>
              <w:ind w:firstLine="480" w:firstLineChars="200"/>
              <w:rPr>
                <w:sz w:val="24"/>
              </w:rPr>
            </w:pPr>
            <w:r>
              <w:rPr>
                <w:rFonts w:hint="eastAsia"/>
                <w:sz w:val="24"/>
              </w:rPr>
              <w:t>（一）施工期治理措施</w:t>
            </w:r>
          </w:p>
          <w:p>
            <w:pPr>
              <w:spacing w:line="360" w:lineRule="auto"/>
              <w:ind w:firstLine="480" w:firstLineChars="200"/>
              <w:rPr>
                <w:sz w:val="24"/>
              </w:rPr>
            </w:pPr>
            <w:r>
              <w:rPr>
                <w:rFonts w:hint="eastAsia"/>
                <w:sz w:val="24"/>
              </w:rPr>
              <w:t>1、生态影响治理措施</w:t>
            </w:r>
          </w:p>
          <w:p>
            <w:pPr>
              <w:spacing w:line="360" w:lineRule="auto"/>
              <w:ind w:firstLine="480" w:firstLineChars="200"/>
              <w:rPr>
                <w:b/>
                <w:sz w:val="24"/>
              </w:rPr>
            </w:pPr>
            <w:r>
              <w:rPr>
                <w:rFonts w:hint="eastAsia"/>
                <w:b/>
                <w:sz w:val="24"/>
              </w:rPr>
              <w:t>（1）严格控制施工占用土地</w:t>
            </w:r>
          </w:p>
          <w:p>
            <w:pPr>
              <w:spacing w:line="360" w:lineRule="auto"/>
              <w:ind w:firstLine="480" w:firstLineChars="200"/>
              <w:rPr>
                <w:sz w:val="24"/>
              </w:rPr>
            </w:pPr>
            <w:r>
              <w:rPr>
                <w:rFonts w:hint="eastAsia"/>
                <w:sz w:val="24"/>
              </w:rPr>
              <w:t>1）对临时占地合理规划，合理设定施工作业带范围，不得在施工作业带外面从事施工活动范围，不得在道路站场以外的地方行驶和作业，保证路外植被不被破坏。</w:t>
            </w:r>
          </w:p>
          <w:p>
            <w:pPr>
              <w:spacing w:line="360" w:lineRule="auto"/>
              <w:ind w:firstLine="480" w:firstLineChars="200"/>
              <w:rPr>
                <w:sz w:val="24"/>
              </w:rPr>
            </w:pPr>
            <w:r>
              <w:rPr>
                <w:rFonts w:hint="eastAsia"/>
                <w:sz w:val="24"/>
              </w:rPr>
              <w:t>2）避免修筑专门施工便道，本项目建设主要在山地建设，原材料通过乡村机耕道运送至就近施工区域，然后由人工方式运至施工现场，以减少土壤扰动和地表植被破坏，减少裸地和土方暴露面积。</w:t>
            </w:r>
          </w:p>
          <w:p>
            <w:pPr>
              <w:spacing w:line="360" w:lineRule="auto"/>
              <w:ind w:firstLine="480" w:firstLineChars="200"/>
              <w:rPr>
                <w:sz w:val="24"/>
              </w:rPr>
            </w:pPr>
            <w:r>
              <w:rPr>
                <w:rFonts w:hint="eastAsia"/>
                <w:sz w:val="24"/>
              </w:rPr>
              <w:t>3）严禁施工材料乱堆乱放，划定适宜的空地作为堆料场，以防对植物的破坏范围扩大。</w:t>
            </w:r>
          </w:p>
          <w:p>
            <w:pPr>
              <w:spacing w:line="360" w:lineRule="auto"/>
              <w:ind w:firstLine="480" w:firstLineChars="200"/>
              <w:rPr>
                <w:b/>
                <w:sz w:val="24"/>
              </w:rPr>
            </w:pPr>
            <w:r>
              <w:rPr>
                <w:rFonts w:hint="eastAsia"/>
                <w:b/>
                <w:sz w:val="24"/>
              </w:rPr>
              <w:t>（2）恢复土地利用原有格局</w:t>
            </w:r>
          </w:p>
          <w:p>
            <w:pPr>
              <w:spacing w:line="360" w:lineRule="auto"/>
              <w:ind w:firstLine="480" w:firstLineChars="200"/>
              <w:rPr>
                <w:sz w:val="24"/>
              </w:rPr>
            </w:pPr>
            <w:r>
              <w:rPr>
                <w:rFonts w:hint="eastAsia"/>
                <w:sz w:val="24"/>
              </w:rPr>
              <w:t>1）施工结束后，应恢复地貌原状（如沿线开挖的管线两侧），施工时对铺设管网开挖的土壤做分层开挖、分层堆放，分层回填压实，以保护植被生长所需的熟土，降低对土壤养分的影响，尽快使土壤恢复生产力。</w:t>
            </w:r>
          </w:p>
          <w:p>
            <w:pPr>
              <w:spacing w:line="360" w:lineRule="auto"/>
              <w:ind w:firstLine="480" w:firstLineChars="200"/>
              <w:rPr>
                <w:sz w:val="24"/>
              </w:rPr>
            </w:pPr>
            <w:r>
              <w:rPr>
                <w:rFonts w:hint="eastAsia"/>
                <w:sz w:val="24"/>
              </w:rPr>
              <w:t>2）对回填后多余的土方，应均匀分散在沿线两侧，并使管沟与周围自然地表形成平滑过度，不得形成汇水环境，防止水土流失。管线所经地段的原始地表存在局部凹地时，若有集水的可能，需采用管沟多余土或借土高以防地表水汇集。对敷设在较平坦地段的管线，应在地貌恢复后使管沟与附近地表自然过渡，回填土与周围地表坡向保持一致，严禁管沟两侧有集水环境存在。</w:t>
            </w:r>
          </w:p>
          <w:p>
            <w:pPr>
              <w:spacing w:line="360" w:lineRule="auto"/>
              <w:ind w:firstLine="480" w:firstLineChars="200"/>
              <w:rPr>
                <w:sz w:val="24"/>
              </w:rPr>
            </w:pPr>
            <w:r>
              <w:rPr>
                <w:rFonts w:hint="eastAsia"/>
                <w:sz w:val="24"/>
              </w:rPr>
              <w:t>3）对废泥浆池做到及时掩埋、填平、覆土、压实，以利于土壤、植被的恢复。</w:t>
            </w:r>
          </w:p>
          <w:p>
            <w:pPr>
              <w:spacing w:line="360" w:lineRule="auto"/>
              <w:ind w:firstLine="480" w:firstLineChars="200"/>
              <w:rPr>
                <w:b/>
                <w:sz w:val="24"/>
              </w:rPr>
            </w:pPr>
            <w:r>
              <w:rPr>
                <w:rFonts w:hint="eastAsia"/>
                <w:b/>
                <w:sz w:val="24"/>
              </w:rPr>
              <w:t>（3）植被保护及恢复措施</w:t>
            </w:r>
          </w:p>
          <w:p>
            <w:pPr>
              <w:spacing w:line="360" w:lineRule="auto"/>
              <w:ind w:firstLine="480" w:firstLineChars="200"/>
              <w:rPr>
                <w:sz w:val="24"/>
              </w:rPr>
            </w:pPr>
            <w:r>
              <w:rPr>
                <w:rFonts w:hint="eastAsia"/>
                <w:sz w:val="24"/>
              </w:rPr>
              <w:t>1）植被保护措施</w:t>
            </w:r>
          </w:p>
          <w:p>
            <w:pPr>
              <w:spacing w:line="360" w:lineRule="auto"/>
              <w:ind w:firstLine="480" w:firstLineChars="200"/>
              <w:rPr>
                <w:sz w:val="24"/>
              </w:rPr>
            </w:pPr>
            <w:r>
              <w:rPr>
                <w:rFonts w:hint="eastAsia"/>
                <w:sz w:val="24"/>
              </w:rPr>
              <w:t>植被保护的一般原则为：首先应尽量保存施工区的熟化土，对于建设中临时用地占用耕地部分的表土予以收集保存，施工结束后及时清理、松土、覆盖收集的耕作土，复耕或选择当地适宜植物及时恢复绿化。</w:t>
            </w:r>
          </w:p>
          <w:p>
            <w:pPr>
              <w:spacing w:line="360" w:lineRule="auto"/>
              <w:ind w:firstLine="480" w:firstLineChars="200"/>
              <w:rPr>
                <w:sz w:val="24"/>
              </w:rPr>
            </w:pPr>
            <w:r>
              <w:rPr>
                <w:rFonts w:hint="eastAsia"/>
                <w:sz w:val="24"/>
              </w:rPr>
              <w:t>根据现场勘查及查阅资料，项目施工区域周围无珍惜保护植物，本次环评针对工程沿线的植被分布特点，提出如下保护措施：</w:t>
            </w:r>
          </w:p>
          <w:p>
            <w:pPr>
              <w:spacing w:line="360" w:lineRule="auto"/>
              <w:ind w:firstLine="480" w:firstLineChars="200"/>
              <w:rPr>
                <w:sz w:val="24"/>
              </w:rPr>
            </w:pPr>
            <w:r>
              <w:rPr>
                <w:rFonts w:hint="eastAsia"/>
                <w:sz w:val="24"/>
              </w:rPr>
              <w:t>①工程施工中如发现特别需要保护的树种并且无法避让时，应进行移栽。</w:t>
            </w:r>
          </w:p>
          <w:p>
            <w:pPr>
              <w:spacing w:line="360" w:lineRule="auto"/>
              <w:ind w:firstLine="480" w:firstLineChars="200"/>
              <w:rPr>
                <w:sz w:val="24"/>
              </w:rPr>
            </w:pPr>
            <w:r>
              <w:rPr>
                <w:rFonts w:hint="eastAsia"/>
                <w:sz w:val="24"/>
              </w:rPr>
              <w:t>②加强施工人员的环保意识。在开挖过程中，不随意砍伐植被，如发现有国家重点保护植被，要报告当地环保部门，立即组织营救。</w:t>
            </w:r>
          </w:p>
          <w:p>
            <w:pPr>
              <w:spacing w:line="360" w:lineRule="auto"/>
              <w:ind w:firstLine="480" w:firstLineChars="200"/>
              <w:rPr>
                <w:sz w:val="24"/>
              </w:rPr>
            </w:pPr>
            <w:r>
              <w:rPr>
                <w:rFonts w:hint="eastAsia"/>
                <w:sz w:val="24"/>
              </w:rPr>
              <w:t>③加强环境管理。加大宣传力度，采取各种方式，如宣传栏、挂牌等，让施工人员了解植物的显著特征，会识别分布在此地的重点保护植物。</w:t>
            </w:r>
          </w:p>
          <w:p>
            <w:pPr>
              <w:spacing w:line="360" w:lineRule="auto"/>
              <w:ind w:firstLine="480" w:firstLineChars="200"/>
              <w:rPr>
                <w:sz w:val="24"/>
              </w:rPr>
            </w:pPr>
            <w:r>
              <w:rPr>
                <w:rFonts w:hint="eastAsia"/>
                <w:sz w:val="24"/>
              </w:rPr>
              <w:t>2）植被恢复措施及建议</w:t>
            </w:r>
          </w:p>
          <w:p>
            <w:pPr>
              <w:spacing w:line="360" w:lineRule="auto"/>
              <w:ind w:firstLine="480" w:firstLineChars="200"/>
              <w:rPr>
                <w:sz w:val="24"/>
              </w:rPr>
            </w:pPr>
            <w:r>
              <w:rPr>
                <w:rFonts w:hint="eastAsia"/>
                <w:sz w:val="24"/>
              </w:rPr>
              <w:t>施工结束后，施工单位应负责清理现场。凡受到施工车辆、机械破坏的地方都要及时修整，恢复原貌，植被一时难以恢复的可在来年予以恢复。对于原农业用地，在覆土后施肥，恢复农业用地。对不能复垦为耕地，根据气候条件采取种树种草绿化措施。</w:t>
            </w:r>
          </w:p>
          <w:p>
            <w:pPr>
              <w:spacing w:line="360" w:lineRule="auto"/>
              <w:ind w:firstLine="480" w:firstLineChars="200"/>
              <w:rPr>
                <w:b/>
                <w:sz w:val="24"/>
              </w:rPr>
            </w:pPr>
            <w:r>
              <w:rPr>
                <w:rFonts w:hint="eastAsia"/>
                <w:b/>
                <w:sz w:val="24"/>
              </w:rPr>
              <w:t>（4）对农业生态系统的保护措施</w:t>
            </w:r>
          </w:p>
          <w:p>
            <w:pPr>
              <w:spacing w:line="360" w:lineRule="auto"/>
              <w:ind w:firstLine="480" w:firstLineChars="200"/>
              <w:rPr>
                <w:sz w:val="24"/>
              </w:rPr>
            </w:pPr>
            <w:r>
              <w:rPr>
                <w:rFonts w:hint="eastAsia"/>
                <w:sz w:val="24"/>
              </w:rPr>
              <w:t>1）本项目所涉及的永久占地和临时占地都应按有关土地管理办法的要求，逐级上报有审批权的政府部门批准，对于永久占地，应纳入地方土地利用规划中，并按有关土地管理部门要求认真执行；</w:t>
            </w:r>
          </w:p>
          <w:p>
            <w:pPr>
              <w:spacing w:line="360" w:lineRule="auto"/>
              <w:ind w:firstLine="480" w:firstLineChars="200"/>
              <w:rPr>
                <w:sz w:val="24"/>
              </w:rPr>
            </w:pPr>
            <w:r>
              <w:rPr>
                <w:rFonts w:hint="eastAsia"/>
                <w:sz w:val="24"/>
              </w:rPr>
              <w:t>2）对临时占用的农田，工程完工后应立即实施复垦措施，并可与农民协商，由农民自行复垦；</w:t>
            </w:r>
          </w:p>
          <w:p>
            <w:pPr>
              <w:spacing w:line="360" w:lineRule="auto"/>
              <w:ind w:firstLine="480" w:firstLineChars="200"/>
              <w:rPr>
                <w:sz w:val="24"/>
              </w:rPr>
            </w:pPr>
            <w:r>
              <w:rPr>
                <w:rFonts w:hint="eastAsia"/>
                <w:sz w:val="24"/>
              </w:rPr>
              <w:t>3）根据当地农业活动特点，组织本工程施工，减轻对农业生产破坏造成的损失；</w:t>
            </w:r>
          </w:p>
          <w:p>
            <w:pPr>
              <w:spacing w:line="360" w:lineRule="auto"/>
              <w:ind w:firstLine="480" w:firstLineChars="200"/>
              <w:rPr>
                <w:sz w:val="24"/>
              </w:rPr>
            </w:pPr>
            <w:r>
              <w:rPr>
                <w:rFonts w:hint="eastAsia"/>
                <w:sz w:val="24"/>
              </w:rPr>
              <w:t>4）提高施工效率，缩短施工时间，同时采取边开挖边覆土的措施，减少裸地的暴露时间，保持耕作层肥力，缩短农业生产季节的损失，因地制宜地选择施工季节，尽量避开农作物的生长和收获期。</w:t>
            </w:r>
          </w:p>
          <w:p>
            <w:pPr>
              <w:spacing w:line="360" w:lineRule="auto"/>
              <w:ind w:firstLine="480" w:firstLineChars="200"/>
              <w:rPr>
                <w:b/>
                <w:sz w:val="24"/>
              </w:rPr>
            </w:pPr>
            <w:r>
              <w:rPr>
                <w:rFonts w:hint="eastAsia"/>
                <w:b/>
                <w:sz w:val="24"/>
              </w:rPr>
              <w:t>（5）次生林地恢复措施</w:t>
            </w:r>
          </w:p>
          <w:p>
            <w:pPr>
              <w:spacing w:line="360" w:lineRule="auto"/>
              <w:ind w:firstLine="480" w:firstLineChars="200"/>
              <w:rPr>
                <w:b/>
                <w:bCs/>
                <w:sz w:val="24"/>
              </w:rPr>
            </w:pPr>
            <w:r>
              <w:rPr>
                <w:rFonts w:hint="eastAsia"/>
                <w:b/>
                <w:bCs/>
                <w:sz w:val="24"/>
              </w:rPr>
              <w:t>加强对施工人员及施工活动的管理</w:t>
            </w:r>
          </w:p>
          <w:p>
            <w:pPr>
              <w:spacing w:line="360" w:lineRule="auto"/>
              <w:ind w:firstLine="480" w:firstLineChars="200"/>
              <w:rPr>
                <w:sz w:val="24"/>
              </w:rPr>
            </w:pPr>
            <w:r>
              <w:rPr>
                <w:rFonts w:hint="eastAsia"/>
                <w:sz w:val="24"/>
              </w:rPr>
              <w:t>①施工过程中，加强施工人员的管理，禁止施工人员对树木滥砍滥伐，严格限制人员的活动范围，以免破坏沿线的生态环境；</w:t>
            </w:r>
          </w:p>
          <w:p>
            <w:pPr>
              <w:spacing w:line="360" w:lineRule="auto"/>
              <w:ind w:firstLine="480" w:firstLineChars="200"/>
              <w:rPr>
                <w:sz w:val="24"/>
              </w:rPr>
            </w:pPr>
            <w:r>
              <w:rPr>
                <w:rFonts w:hint="eastAsia"/>
                <w:sz w:val="24"/>
              </w:rPr>
              <w:t>②工程施工占用林地和砍伐树木，管线尽量沿道路两侧铺设，当不可避免的要通过次生林时，应向林业主管部门申报。施工前认真核查影响植物数量，对于木本植物的较小植株进行移植，木本植物的较大植株和草本植物要进行采种繁殖；</w:t>
            </w:r>
          </w:p>
          <w:p>
            <w:pPr>
              <w:spacing w:line="360" w:lineRule="auto"/>
              <w:ind w:firstLine="480" w:firstLineChars="200"/>
              <w:rPr>
                <w:sz w:val="24"/>
              </w:rPr>
            </w:pPr>
            <w:r>
              <w:rPr>
                <w:rFonts w:hint="eastAsia"/>
                <w:sz w:val="24"/>
              </w:rPr>
              <w:t>③选线时尽量绕开较大树木，无法避免时需先移植。</w:t>
            </w:r>
          </w:p>
          <w:p>
            <w:pPr>
              <w:spacing w:line="360" w:lineRule="auto"/>
              <w:ind w:firstLine="480" w:firstLineChars="200"/>
              <w:rPr>
                <w:b/>
                <w:sz w:val="24"/>
              </w:rPr>
            </w:pPr>
            <w:r>
              <w:rPr>
                <w:rFonts w:hint="eastAsia"/>
                <w:b/>
                <w:sz w:val="24"/>
              </w:rPr>
              <w:t>（6）施工后的植被恢复</w:t>
            </w:r>
          </w:p>
          <w:p>
            <w:pPr>
              <w:spacing w:line="360" w:lineRule="auto"/>
              <w:ind w:firstLine="480" w:firstLineChars="200"/>
              <w:rPr>
                <w:sz w:val="24"/>
              </w:rPr>
            </w:pPr>
            <w:r>
              <w:rPr>
                <w:rFonts w:hint="eastAsia"/>
                <w:sz w:val="24"/>
              </w:rPr>
              <w:t>管线铺设完成后两侧裸露的地面，采取播撒草籽、灌木、花草等措施，尽量把施工期安排在春季，以便更好的进行植物播撒、移植工作。</w:t>
            </w:r>
          </w:p>
          <w:p>
            <w:pPr>
              <w:spacing w:line="360" w:lineRule="auto"/>
              <w:ind w:firstLine="480" w:firstLineChars="200"/>
              <w:rPr>
                <w:b w:val="0"/>
                <w:bCs w:val="0"/>
                <w:sz w:val="24"/>
              </w:rPr>
            </w:pPr>
            <w:r>
              <w:rPr>
                <w:rFonts w:hint="eastAsia"/>
                <w:b w:val="0"/>
                <w:bCs w:val="0"/>
                <w:sz w:val="24"/>
              </w:rPr>
              <w:t>2、大气环境治理措施</w:t>
            </w:r>
          </w:p>
          <w:p>
            <w:pPr>
              <w:spacing w:line="360" w:lineRule="auto"/>
              <w:ind w:firstLine="480" w:firstLineChars="200"/>
              <w:rPr>
                <w:sz w:val="24"/>
              </w:rPr>
            </w:pPr>
            <w:r>
              <w:rPr>
                <w:rFonts w:hint="eastAsia"/>
                <w:sz w:val="24"/>
              </w:rPr>
              <w:t xml:space="preserve"> 施工现场设置小型搅拌站，采取洒水降尘减少扬尘量；采料、弃渣等施工场地实行湿式作业，减轻开采、弃土弃石及运输过程中的扬尘。</w:t>
            </w:r>
          </w:p>
          <w:p>
            <w:pPr>
              <w:spacing w:line="360" w:lineRule="auto"/>
              <w:ind w:firstLine="480" w:firstLineChars="200"/>
              <w:rPr>
                <w:sz w:val="24"/>
              </w:rPr>
            </w:pPr>
            <w:r>
              <w:rPr>
                <w:rFonts w:hint="eastAsia"/>
                <w:sz w:val="24"/>
              </w:rPr>
              <w:t>施工期间，各类机械设备的运转均会排放一定量的机械燃油废气，其特点是排放量小，且属间断无组织排放。项目施工期施工机械均分散在各个施工作业区，运行时间不固定，通过选用符合国家有关卫生标准的施工机械和运输车辆，可以使施工机械和运输车辆排放的燃油废气及汽车尾气达到相关标准的要求，对环境的影响小。</w:t>
            </w:r>
          </w:p>
          <w:p>
            <w:pPr>
              <w:spacing w:line="360" w:lineRule="auto"/>
              <w:ind w:firstLine="480" w:firstLineChars="200"/>
              <w:rPr>
                <w:sz w:val="24"/>
              </w:rPr>
            </w:pPr>
            <w:r>
              <w:rPr>
                <w:rFonts w:hint="eastAsia"/>
                <w:sz w:val="24"/>
              </w:rPr>
              <w:t>采取上述措施后，施工扬尘和机械燃油废气对环境的影响和污染程度会明显减轻。</w:t>
            </w:r>
          </w:p>
          <w:p>
            <w:pPr>
              <w:spacing w:line="360" w:lineRule="auto"/>
              <w:ind w:firstLine="480" w:firstLineChars="200"/>
              <w:rPr>
                <w:sz w:val="24"/>
              </w:rPr>
            </w:pPr>
            <w:r>
              <w:rPr>
                <w:rFonts w:hint="eastAsia"/>
                <w:sz w:val="24"/>
              </w:rPr>
              <w:t>3、水环境治理措施</w:t>
            </w:r>
          </w:p>
          <w:p>
            <w:pPr>
              <w:spacing w:line="360" w:lineRule="auto"/>
              <w:ind w:firstLine="480" w:firstLineChars="200"/>
              <w:rPr>
                <w:sz w:val="24"/>
              </w:rPr>
            </w:pPr>
            <w:r>
              <w:rPr>
                <w:rFonts w:hint="eastAsia"/>
                <w:sz w:val="24"/>
              </w:rPr>
              <w:t>项目废水主要为施工人员的生活污水和少量的管道冲洗、试压废水</w:t>
            </w:r>
            <w:r>
              <w:rPr>
                <w:rFonts w:hint="eastAsia"/>
                <w:sz w:val="24"/>
                <w:szCs w:val="24"/>
                <w:lang w:val="en-US" w:eastAsia="zh-CN"/>
              </w:rPr>
              <w:t>及设备冲洗水</w:t>
            </w:r>
            <w:r>
              <w:rPr>
                <w:rFonts w:hint="eastAsia"/>
                <w:sz w:val="24"/>
              </w:rPr>
              <w:t>。</w:t>
            </w:r>
          </w:p>
          <w:p>
            <w:pPr>
              <w:spacing w:line="360" w:lineRule="auto"/>
              <w:ind w:firstLine="480" w:firstLineChars="200"/>
              <w:rPr>
                <w:sz w:val="24"/>
              </w:rPr>
            </w:pPr>
            <w:r>
              <w:rPr>
                <w:rFonts w:hint="eastAsia"/>
                <w:sz w:val="24"/>
              </w:rPr>
              <w:t>施工人数高峰期约50人，人均生活污水排放量0.04m</w:t>
            </w:r>
            <w:r>
              <w:rPr>
                <w:rFonts w:hint="eastAsia"/>
                <w:sz w:val="24"/>
                <w:vertAlign w:val="superscript"/>
              </w:rPr>
              <w:t>3</w:t>
            </w:r>
            <w:r>
              <w:rPr>
                <w:rFonts w:hint="eastAsia"/>
                <w:sz w:val="24"/>
              </w:rPr>
              <w:t>/人，</w:t>
            </w:r>
            <w:r>
              <w:rPr>
                <w:rFonts w:hint="eastAsia"/>
                <w:sz w:val="24"/>
                <w:lang w:val="en-US" w:eastAsia="zh-CN"/>
              </w:rPr>
              <w:t>管道试压、冲洗</w:t>
            </w:r>
            <w:r>
              <w:rPr>
                <w:rFonts w:hint="eastAsia"/>
                <w:sz w:val="24"/>
              </w:rPr>
              <w:t>废水产生量约</w:t>
            </w:r>
            <w:r>
              <w:rPr>
                <w:rFonts w:hint="eastAsia"/>
                <w:sz w:val="24"/>
                <w:lang w:val="en-US" w:eastAsia="zh-CN"/>
              </w:rPr>
              <w:t>26.8</w:t>
            </w:r>
            <w:r>
              <w:rPr>
                <w:rFonts w:hint="eastAsia"/>
                <w:sz w:val="24"/>
              </w:rPr>
              <w:t>m</w:t>
            </w:r>
            <w:r>
              <w:rPr>
                <w:rFonts w:hint="eastAsia"/>
                <w:sz w:val="24"/>
                <w:vertAlign w:val="superscript"/>
              </w:rPr>
              <w:t>3</w:t>
            </w:r>
            <w:r>
              <w:rPr>
                <w:rFonts w:hint="eastAsia"/>
                <w:sz w:val="24"/>
              </w:rPr>
              <w:t>/d，生活污水主要污染物为BOD、COD</w:t>
            </w:r>
            <w:r>
              <w:rPr>
                <w:rFonts w:hint="eastAsia"/>
                <w:lang w:val="en-US" w:eastAsia="zh-CN"/>
              </w:rPr>
              <w:t>cr</w:t>
            </w:r>
            <w:r>
              <w:rPr>
                <w:rFonts w:hint="eastAsia"/>
                <w:sz w:val="24"/>
              </w:rPr>
              <w:t>，浓度分别为 200mg/L 和 400mg/L。生活污水依托租用民房预处理池处理后用于农灌，不排入项目周边地表水体。</w:t>
            </w:r>
          </w:p>
          <w:p>
            <w:pPr>
              <w:spacing w:line="360" w:lineRule="auto"/>
              <w:ind w:firstLine="480" w:firstLineChars="200"/>
              <w:rPr>
                <w:sz w:val="24"/>
              </w:rPr>
            </w:pPr>
            <w:r>
              <w:rPr>
                <w:rFonts w:hint="eastAsia"/>
                <w:sz w:val="24"/>
              </w:rPr>
              <w:t>管道冲洗、试压废水</w:t>
            </w:r>
            <w:r>
              <w:rPr>
                <w:rFonts w:hint="eastAsia"/>
                <w:sz w:val="24"/>
                <w:lang w:val="en-US" w:eastAsia="zh-CN"/>
              </w:rPr>
              <w:t>和设备冲洗水</w:t>
            </w:r>
            <w:r>
              <w:rPr>
                <w:rFonts w:hint="eastAsia"/>
                <w:sz w:val="24"/>
              </w:rPr>
              <w:t>主要污染因子为SS，管道冲洗、试压分段进行，根据项目管道的长度和管径计算，本项目每个点的管道冲洗、试压废水产生量见下表：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表5-1 管道冲洗、试压废水产生量一览表</w:t>
            </w:r>
          </w:p>
          <w:tbl>
            <w:tblPr>
              <w:tblStyle w:val="52"/>
              <w:tblW w:w="942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105"/>
              <w:gridCol w:w="1500"/>
              <w:gridCol w:w="1760"/>
              <w:gridCol w:w="2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tcBorders>
                    <w:tl2br w:val="nil"/>
                    <w:tr2bl w:val="nil"/>
                  </w:tcBorders>
                  <w:vAlign w:val="center"/>
                </w:tcPr>
                <w:p>
                  <w:pPr>
                    <w:pStyle w:val="3"/>
                    <w:jc w:val="center"/>
                    <w:rPr>
                      <w:sz w:val="21"/>
                      <w:szCs w:val="21"/>
                      <w:lang w:eastAsia="zh-CN"/>
                    </w:rPr>
                  </w:pPr>
                  <w:r>
                    <w:rPr>
                      <w:rFonts w:hint="eastAsia"/>
                      <w:sz w:val="21"/>
                      <w:szCs w:val="21"/>
                      <w:lang w:eastAsia="zh-CN"/>
                    </w:rPr>
                    <w:t>序号</w:t>
                  </w:r>
                </w:p>
              </w:tc>
              <w:tc>
                <w:tcPr>
                  <w:tcW w:w="3105" w:type="dxa"/>
                  <w:tcBorders>
                    <w:tl2br w:val="nil"/>
                    <w:tr2bl w:val="nil"/>
                  </w:tcBorders>
                  <w:vAlign w:val="center"/>
                </w:tcPr>
                <w:p>
                  <w:pPr>
                    <w:pStyle w:val="3"/>
                    <w:jc w:val="center"/>
                    <w:rPr>
                      <w:sz w:val="21"/>
                      <w:szCs w:val="21"/>
                      <w:lang w:eastAsia="zh-CN"/>
                    </w:rPr>
                  </w:pPr>
                  <w:r>
                    <w:rPr>
                      <w:rFonts w:hint="eastAsia"/>
                      <w:sz w:val="21"/>
                      <w:szCs w:val="21"/>
                      <w:lang w:eastAsia="zh-CN"/>
                    </w:rPr>
                    <w:t>项目点</w:t>
                  </w:r>
                </w:p>
              </w:tc>
              <w:tc>
                <w:tcPr>
                  <w:tcW w:w="1500" w:type="dxa"/>
                  <w:tcBorders>
                    <w:tl2br w:val="nil"/>
                    <w:tr2bl w:val="nil"/>
                  </w:tcBorders>
                  <w:vAlign w:val="center"/>
                </w:tcPr>
                <w:p>
                  <w:pPr>
                    <w:pStyle w:val="3"/>
                    <w:jc w:val="center"/>
                    <w:rPr>
                      <w:sz w:val="21"/>
                      <w:szCs w:val="21"/>
                      <w:lang w:eastAsia="zh-CN"/>
                    </w:rPr>
                  </w:pPr>
                  <w:r>
                    <w:rPr>
                      <w:rFonts w:hint="eastAsia"/>
                      <w:sz w:val="21"/>
                      <w:szCs w:val="21"/>
                      <w:lang w:eastAsia="zh-CN"/>
                    </w:rPr>
                    <w:t>管道长</w:t>
                  </w:r>
                </w:p>
              </w:tc>
              <w:tc>
                <w:tcPr>
                  <w:tcW w:w="1760" w:type="dxa"/>
                  <w:tcBorders>
                    <w:tl2br w:val="nil"/>
                    <w:tr2bl w:val="nil"/>
                  </w:tcBorders>
                  <w:vAlign w:val="center"/>
                </w:tcPr>
                <w:p>
                  <w:pPr>
                    <w:pStyle w:val="3"/>
                    <w:jc w:val="center"/>
                    <w:rPr>
                      <w:sz w:val="21"/>
                      <w:szCs w:val="21"/>
                      <w:lang w:eastAsia="zh-CN"/>
                    </w:rPr>
                  </w:pPr>
                  <w:r>
                    <w:rPr>
                      <w:rFonts w:hint="eastAsia"/>
                      <w:sz w:val="21"/>
                      <w:szCs w:val="21"/>
                      <w:lang w:eastAsia="zh-CN"/>
                    </w:rPr>
                    <w:t>废水量（m</w:t>
                  </w:r>
                  <w:r>
                    <w:rPr>
                      <w:rFonts w:hint="eastAsia"/>
                      <w:sz w:val="21"/>
                      <w:szCs w:val="21"/>
                      <w:vertAlign w:val="superscript"/>
                      <w:lang w:eastAsia="zh-CN"/>
                    </w:rPr>
                    <w:t>3</w:t>
                  </w:r>
                  <w:r>
                    <w:rPr>
                      <w:rFonts w:hint="eastAsia"/>
                      <w:sz w:val="21"/>
                      <w:szCs w:val="21"/>
                      <w:lang w:eastAsia="zh-CN"/>
                    </w:rPr>
                    <w:t>）</w:t>
                  </w:r>
                </w:p>
              </w:tc>
              <w:tc>
                <w:tcPr>
                  <w:tcW w:w="2352" w:type="dxa"/>
                  <w:tcBorders>
                    <w:tl2br w:val="nil"/>
                    <w:tr2bl w:val="nil"/>
                  </w:tcBorders>
                  <w:vAlign w:val="center"/>
                </w:tcPr>
                <w:p>
                  <w:pPr>
                    <w:pStyle w:val="3"/>
                    <w:jc w:val="center"/>
                    <w:rPr>
                      <w:sz w:val="21"/>
                      <w:szCs w:val="21"/>
                      <w:lang w:eastAsia="zh-CN"/>
                    </w:rPr>
                  </w:pPr>
                  <w:r>
                    <w:rPr>
                      <w:rFonts w:hint="eastAsia"/>
                      <w:sz w:val="21"/>
                      <w:szCs w:val="21"/>
                      <w:lang w:eastAsia="zh-CN"/>
                    </w:rPr>
                    <w:t>处置去向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tcBorders>
                    <w:tl2br w:val="nil"/>
                    <w:tr2bl w:val="nil"/>
                  </w:tcBorders>
                  <w:vAlign w:val="center"/>
                </w:tcPr>
                <w:p>
                  <w:pPr>
                    <w:pStyle w:val="3"/>
                    <w:jc w:val="center"/>
                    <w:rPr>
                      <w:sz w:val="21"/>
                      <w:szCs w:val="21"/>
                      <w:lang w:eastAsia="zh-CN"/>
                    </w:rPr>
                  </w:pPr>
                  <w:r>
                    <w:rPr>
                      <w:rFonts w:hint="eastAsia"/>
                      <w:sz w:val="21"/>
                      <w:szCs w:val="21"/>
                      <w:lang w:eastAsia="zh-CN"/>
                    </w:rPr>
                    <w:t>1</w:t>
                  </w:r>
                </w:p>
              </w:tc>
              <w:tc>
                <w:tcPr>
                  <w:tcW w:w="3105" w:type="dxa"/>
                  <w:tcBorders>
                    <w:tl2br w:val="nil"/>
                    <w:tr2bl w:val="nil"/>
                  </w:tcBorders>
                  <w:vAlign w:val="center"/>
                </w:tcPr>
                <w:p>
                  <w:pPr>
                    <w:pStyle w:val="3"/>
                    <w:jc w:val="center"/>
                    <w:rPr>
                      <w:sz w:val="21"/>
                      <w:szCs w:val="21"/>
                      <w:lang w:eastAsia="zh-CN"/>
                    </w:rPr>
                  </w:pPr>
                  <w:r>
                    <w:rPr>
                      <w:rFonts w:hint="eastAsia"/>
                      <w:sz w:val="21"/>
                      <w:szCs w:val="21"/>
                      <w:lang w:eastAsia="zh-CN"/>
                    </w:rPr>
                    <w:t>肖包寺村安全饮水项目</w:t>
                  </w:r>
                </w:p>
              </w:tc>
              <w:tc>
                <w:tcPr>
                  <w:tcW w:w="1500" w:type="dxa"/>
                  <w:tcBorders>
                    <w:tl2br w:val="nil"/>
                    <w:tr2bl w:val="nil"/>
                  </w:tcBorders>
                  <w:vAlign w:val="center"/>
                </w:tcPr>
                <w:p>
                  <w:pPr>
                    <w:pStyle w:val="3"/>
                    <w:jc w:val="center"/>
                    <w:rPr>
                      <w:sz w:val="21"/>
                      <w:szCs w:val="21"/>
                      <w:lang w:eastAsia="zh-CN"/>
                    </w:rPr>
                  </w:pPr>
                  <w:r>
                    <w:rPr>
                      <w:rFonts w:hint="eastAsia"/>
                      <w:sz w:val="21"/>
                      <w:szCs w:val="21"/>
                      <w:lang w:eastAsia="zh-CN"/>
                    </w:rPr>
                    <w:t>5000m</w:t>
                  </w:r>
                </w:p>
              </w:tc>
              <w:tc>
                <w:tcPr>
                  <w:tcW w:w="1760" w:type="dxa"/>
                  <w:tcBorders>
                    <w:tl2br w:val="nil"/>
                    <w:tr2bl w:val="nil"/>
                  </w:tcBorders>
                  <w:vAlign w:val="center"/>
                </w:tcPr>
                <w:p>
                  <w:pPr>
                    <w:pStyle w:val="3"/>
                    <w:jc w:val="center"/>
                    <w:rPr>
                      <w:sz w:val="21"/>
                      <w:szCs w:val="21"/>
                      <w:lang w:eastAsia="zh-CN"/>
                    </w:rPr>
                  </w:pPr>
                  <w:r>
                    <w:rPr>
                      <w:rFonts w:hint="eastAsia"/>
                      <w:sz w:val="21"/>
                      <w:szCs w:val="21"/>
                      <w:lang w:eastAsia="zh-CN"/>
                    </w:rPr>
                    <w:t>9.8</w:t>
                  </w:r>
                </w:p>
              </w:tc>
              <w:tc>
                <w:tcPr>
                  <w:tcW w:w="2352" w:type="dxa"/>
                  <w:tcBorders>
                    <w:tl2br w:val="nil"/>
                    <w:tr2bl w:val="nil"/>
                  </w:tcBorders>
                  <w:vAlign w:val="center"/>
                </w:tcPr>
                <w:p>
                  <w:pPr>
                    <w:pStyle w:val="3"/>
                    <w:jc w:val="center"/>
                    <w:rPr>
                      <w:sz w:val="21"/>
                      <w:szCs w:val="21"/>
                      <w:lang w:eastAsia="zh-CN"/>
                    </w:rPr>
                  </w:pPr>
                  <w:r>
                    <w:rPr>
                      <w:rFonts w:hint="eastAsia"/>
                      <w:sz w:val="21"/>
                      <w:szCs w:val="21"/>
                      <w:lang w:eastAsia="zh-CN"/>
                    </w:rPr>
                    <w:t>用于蓄水池池子养护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tcBorders>
                    <w:tl2br w:val="nil"/>
                    <w:tr2bl w:val="nil"/>
                  </w:tcBorders>
                  <w:vAlign w:val="center"/>
                </w:tcPr>
                <w:p>
                  <w:pPr>
                    <w:pStyle w:val="3"/>
                    <w:jc w:val="center"/>
                    <w:rPr>
                      <w:sz w:val="21"/>
                      <w:szCs w:val="21"/>
                      <w:lang w:eastAsia="zh-CN"/>
                    </w:rPr>
                  </w:pPr>
                  <w:r>
                    <w:rPr>
                      <w:rFonts w:hint="eastAsia"/>
                      <w:sz w:val="21"/>
                      <w:szCs w:val="21"/>
                      <w:lang w:eastAsia="zh-CN"/>
                    </w:rPr>
                    <w:t>2</w:t>
                  </w:r>
                </w:p>
              </w:tc>
              <w:tc>
                <w:tcPr>
                  <w:tcW w:w="3105" w:type="dxa"/>
                  <w:tcBorders>
                    <w:tl2br w:val="nil"/>
                    <w:tr2bl w:val="nil"/>
                  </w:tcBorders>
                  <w:vAlign w:val="center"/>
                </w:tcPr>
                <w:p>
                  <w:pPr>
                    <w:pStyle w:val="3"/>
                    <w:jc w:val="center"/>
                    <w:rPr>
                      <w:sz w:val="21"/>
                      <w:szCs w:val="21"/>
                      <w:lang w:eastAsia="zh-CN"/>
                    </w:rPr>
                  </w:pPr>
                  <w:r>
                    <w:rPr>
                      <w:rFonts w:hint="eastAsia"/>
                      <w:sz w:val="21"/>
                      <w:szCs w:val="21"/>
                      <w:lang w:eastAsia="zh-CN"/>
                    </w:rPr>
                    <w:t>肖包寺村饮水工程建设项目</w:t>
                  </w:r>
                </w:p>
              </w:tc>
              <w:tc>
                <w:tcPr>
                  <w:tcW w:w="1500" w:type="dxa"/>
                  <w:tcBorders>
                    <w:tl2br w:val="nil"/>
                    <w:tr2bl w:val="nil"/>
                  </w:tcBorders>
                  <w:vAlign w:val="center"/>
                </w:tcPr>
                <w:p>
                  <w:pPr>
                    <w:pStyle w:val="3"/>
                    <w:jc w:val="center"/>
                    <w:rPr>
                      <w:sz w:val="21"/>
                      <w:szCs w:val="21"/>
                      <w:lang w:eastAsia="zh-CN"/>
                    </w:rPr>
                  </w:pPr>
                  <w:r>
                    <w:rPr>
                      <w:rFonts w:hint="eastAsia"/>
                      <w:sz w:val="21"/>
                      <w:szCs w:val="21"/>
                      <w:lang w:eastAsia="zh-CN"/>
                    </w:rPr>
                    <w:t>4000m</w:t>
                  </w:r>
                </w:p>
              </w:tc>
              <w:tc>
                <w:tcPr>
                  <w:tcW w:w="1760" w:type="dxa"/>
                  <w:tcBorders>
                    <w:tl2br w:val="nil"/>
                    <w:tr2bl w:val="nil"/>
                  </w:tcBorders>
                  <w:vAlign w:val="center"/>
                </w:tcPr>
                <w:p>
                  <w:pPr>
                    <w:pStyle w:val="3"/>
                    <w:jc w:val="center"/>
                    <w:rPr>
                      <w:sz w:val="21"/>
                      <w:szCs w:val="21"/>
                      <w:lang w:eastAsia="zh-CN"/>
                    </w:rPr>
                  </w:pPr>
                  <w:r>
                    <w:rPr>
                      <w:rFonts w:hint="eastAsia"/>
                      <w:sz w:val="21"/>
                      <w:szCs w:val="21"/>
                      <w:lang w:eastAsia="zh-CN"/>
                    </w:rPr>
                    <w:t>7.8</w:t>
                  </w:r>
                </w:p>
              </w:tc>
              <w:tc>
                <w:tcPr>
                  <w:tcW w:w="2352" w:type="dxa"/>
                  <w:tcBorders>
                    <w:tl2br w:val="nil"/>
                    <w:tr2bl w:val="nil"/>
                  </w:tcBorders>
                  <w:vAlign w:val="center"/>
                </w:tcPr>
                <w:p>
                  <w:pPr>
                    <w:pStyle w:val="3"/>
                    <w:jc w:val="center"/>
                    <w:rPr>
                      <w:sz w:val="21"/>
                      <w:szCs w:val="21"/>
                      <w:lang w:eastAsia="zh-CN"/>
                    </w:rPr>
                  </w:pPr>
                  <w:r>
                    <w:rPr>
                      <w:rFonts w:hint="eastAsia"/>
                      <w:sz w:val="21"/>
                      <w:szCs w:val="21"/>
                      <w:lang w:eastAsia="zh-CN"/>
                    </w:rPr>
                    <w:t>用于蓄水池池子养护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tcBorders>
                    <w:tl2br w:val="nil"/>
                    <w:tr2bl w:val="nil"/>
                  </w:tcBorders>
                  <w:vAlign w:val="center"/>
                </w:tcPr>
                <w:p>
                  <w:pPr>
                    <w:pStyle w:val="3"/>
                    <w:jc w:val="center"/>
                    <w:rPr>
                      <w:sz w:val="21"/>
                      <w:szCs w:val="21"/>
                      <w:lang w:eastAsia="zh-CN"/>
                    </w:rPr>
                  </w:pPr>
                  <w:r>
                    <w:rPr>
                      <w:rFonts w:hint="eastAsia"/>
                      <w:sz w:val="21"/>
                      <w:szCs w:val="21"/>
                      <w:lang w:eastAsia="zh-CN"/>
                    </w:rPr>
                    <w:t>3</w:t>
                  </w:r>
                </w:p>
              </w:tc>
              <w:tc>
                <w:tcPr>
                  <w:tcW w:w="3105" w:type="dxa"/>
                  <w:tcBorders>
                    <w:tl2br w:val="nil"/>
                    <w:tr2bl w:val="nil"/>
                  </w:tcBorders>
                  <w:vAlign w:val="center"/>
                </w:tcPr>
                <w:p>
                  <w:pPr>
                    <w:pStyle w:val="3"/>
                    <w:jc w:val="center"/>
                    <w:rPr>
                      <w:sz w:val="21"/>
                      <w:szCs w:val="21"/>
                      <w:lang w:eastAsia="zh-CN"/>
                    </w:rPr>
                  </w:pPr>
                  <w:r>
                    <w:rPr>
                      <w:rFonts w:hint="eastAsia"/>
                      <w:sz w:val="21"/>
                      <w:szCs w:val="21"/>
                      <w:lang w:eastAsia="zh-CN"/>
                    </w:rPr>
                    <w:t>西宁关村老村安全饮水项目</w:t>
                  </w:r>
                </w:p>
              </w:tc>
              <w:tc>
                <w:tcPr>
                  <w:tcW w:w="1500" w:type="dxa"/>
                  <w:tcBorders>
                    <w:tl2br w:val="nil"/>
                    <w:tr2bl w:val="nil"/>
                  </w:tcBorders>
                  <w:vAlign w:val="center"/>
                </w:tcPr>
                <w:p>
                  <w:pPr>
                    <w:pStyle w:val="3"/>
                    <w:jc w:val="center"/>
                    <w:rPr>
                      <w:sz w:val="21"/>
                      <w:szCs w:val="21"/>
                      <w:lang w:eastAsia="zh-CN"/>
                    </w:rPr>
                  </w:pPr>
                  <w:r>
                    <w:rPr>
                      <w:rFonts w:hint="eastAsia"/>
                      <w:sz w:val="21"/>
                      <w:szCs w:val="21"/>
                      <w:lang w:eastAsia="zh-CN"/>
                    </w:rPr>
                    <w:t>3000m</w:t>
                  </w:r>
                </w:p>
              </w:tc>
              <w:tc>
                <w:tcPr>
                  <w:tcW w:w="1760" w:type="dxa"/>
                  <w:tcBorders>
                    <w:tl2br w:val="nil"/>
                    <w:tr2bl w:val="nil"/>
                  </w:tcBorders>
                  <w:vAlign w:val="center"/>
                </w:tcPr>
                <w:p>
                  <w:pPr>
                    <w:pStyle w:val="3"/>
                    <w:jc w:val="center"/>
                    <w:rPr>
                      <w:sz w:val="21"/>
                      <w:szCs w:val="21"/>
                      <w:lang w:eastAsia="zh-CN"/>
                    </w:rPr>
                  </w:pPr>
                  <w:r>
                    <w:rPr>
                      <w:rFonts w:hint="eastAsia"/>
                      <w:sz w:val="21"/>
                      <w:szCs w:val="21"/>
                      <w:lang w:eastAsia="zh-CN"/>
                    </w:rPr>
                    <w:t>5.9</w:t>
                  </w:r>
                </w:p>
              </w:tc>
              <w:tc>
                <w:tcPr>
                  <w:tcW w:w="2352" w:type="dxa"/>
                  <w:tcBorders>
                    <w:tl2br w:val="nil"/>
                    <w:tr2bl w:val="nil"/>
                  </w:tcBorders>
                  <w:vAlign w:val="center"/>
                </w:tcPr>
                <w:p>
                  <w:pPr>
                    <w:pStyle w:val="3"/>
                    <w:jc w:val="center"/>
                    <w:rPr>
                      <w:sz w:val="21"/>
                      <w:szCs w:val="21"/>
                      <w:lang w:eastAsia="zh-CN"/>
                    </w:rPr>
                  </w:pPr>
                  <w:r>
                    <w:rPr>
                      <w:rFonts w:hint="eastAsia"/>
                      <w:sz w:val="21"/>
                      <w:szCs w:val="21"/>
                      <w:lang w:eastAsia="zh-CN"/>
                    </w:rPr>
                    <w:t>用于蓄水池池子养护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tcBorders>
                    <w:tl2br w:val="nil"/>
                    <w:tr2bl w:val="nil"/>
                  </w:tcBorders>
                  <w:vAlign w:val="center"/>
                </w:tcPr>
                <w:p>
                  <w:pPr>
                    <w:pStyle w:val="3"/>
                    <w:jc w:val="center"/>
                    <w:rPr>
                      <w:sz w:val="21"/>
                      <w:szCs w:val="21"/>
                      <w:lang w:eastAsia="zh-CN"/>
                    </w:rPr>
                  </w:pPr>
                  <w:r>
                    <w:rPr>
                      <w:rFonts w:hint="eastAsia"/>
                      <w:sz w:val="21"/>
                      <w:szCs w:val="21"/>
                      <w:lang w:eastAsia="zh-CN"/>
                    </w:rPr>
                    <w:t>4</w:t>
                  </w:r>
                </w:p>
              </w:tc>
              <w:tc>
                <w:tcPr>
                  <w:tcW w:w="3105" w:type="dxa"/>
                  <w:tcBorders>
                    <w:tl2br w:val="nil"/>
                    <w:tr2bl w:val="nil"/>
                  </w:tcBorders>
                  <w:vAlign w:val="center"/>
                </w:tcPr>
                <w:p>
                  <w:pPr>
                    <w:pStyle w:val="3"/>
                    <w:jc w:val="center"/>
                    <w:rPr>
                      <w:sz w:val="21"/>
                      <w:szCs w:val="21"/>
                      <w:lang w:eastAsia="zh-CN"/>
                    </w:rPr>
                  </w:pPr>
                  <w:r>
                    <w:rPr>
                      <w:rFonts w:hint="eastAsia"/>
                      <w:sz w:val="21"/>
                      <w:szCs w:val="21"/>
                      <w:lang w:eastAsia="zh-CN"/>
                    </w:rPr>
                    <w:t>烟囱村饮水工程</w:t>
                  </w:r>
                </w:p>
              </w:tc>
              <w:tc>
                <w:tcPr>
                  <w:tcW w:w="1500" w:type="dxa"/>
                  <w:tcBorders>
                    <w:tl2br w:val="nil"/>
                    <w:tr2bl w:val="nil"/>
                  </w:tcBorders>
                  <w:vAlign w:val="center"/>
                </w:tcPr>
                <w:p>
                  <w:pPr>
                    <w:pStyle w:val="3"/>
                    <w:jc w:val="center"/>
                    <w:rPr>
                      <w:sz w:val="21"/>
                      <w:szCs w:val="21"/>
                      <w:lang w:eastAsia="zh-CN"/>
                    </w:rPr>
                  </w:pPr>
                  <w:r>
                    <w:rPr>
                      <w:rFonts w:hint="eastAsia"/>
                      <w:sz w:val="21"/>
                      <w:szCs w:val="21"/>
                      <w:lang w:eastAsia="zh-CN"/>
                    </w:rPr>
                    <w:t>850m</w:t>
                  </w:r>
                </w:p>
              </w:tc>
              <w:tc>
                <w:tcPr>
                  <w:tcW w:w="1760" w:type="dxa"/>
                  <w:tcBorders>
                    <w:tl2br w:val="nil"/>
                    <w:tr2bl w:val="nil"/>
                  </w:tcBorders>
                  <w:vAlign w:val="center"/>
                </w:tcPr>
                <w:p>
                  <w:pPr>
                    <w:pStyle w:val="3"/>
                    <w:jc w:val="center"/>
                    <w:rPr>
                      <w:sz w:val="21"/>
                      <w:szCs w:val="21"/>
                      <w:lang w:eastAsia="zh-CN"/>
                    </w:rPr>
                  </w:pPr>
                  <w:r>
                    <w:rPr>
                      <w:rFonts w:hint="eastAsia"/>
                      <w:sz w:val="21"/>
                      <w:szCs w:val="21"/>
                      <w:lang w:eastAsia="zh-CN"/>
                    </w:rPr>
                    <w:t>1.2</w:t>
                  </w:r>
                </w:p>
              </w:tc>
              <w:tc>
                <w:tcPr>
                  <w:tcW w:w="2352" w:type="dxa"/>
                  <w:tcBorders>
                    <w:tl2br w:val="nil"/>
                    <w:tr2bl w:val="nil"/>
                  </w:tcBorders>
                  <w:vAlign w:val="center"/>
                </w:tcPr>
                <w:p>
                  <w:pPr>
                    <w:pStyle w:val="3"/>
                    <w:jc w:val="center"/>
                    <w:rPr>
                      <w:sz w:val="21"/>
                      <w:szCs w:val="21"/>
                      <w:lang w:eastAsia="zh-CN"/>
                    </w:rPr>
                  </w:pPr>
                  <w:r>
                    <w:rPr>
                      <w:rFonts w:hint="eastAsia"/>
                      <w:sz w:val="21"/>
                      <w:szCs w:val="21"/>
                      <w:lang w:eastAsia="zh-CN"/>
                    </w:rPr>
                    <w:t>用于蓄水池池子养护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tcBorders>
                    <w:tl2br w:val="nil"/>
                    <w:tr2bl w:val="nil"/>
                  </w:tcBorders>
                  <w:vAlign w:val="center"/>
                </w:tcPr>
                <w:p>
                  <w:pPr>
                    <w:pStyle w:val="3"/>
                    <w:jc w:val="center"/>
                    <w:rPr>
                      <w:sz w:val="21"/>
                      <w:szCs w:val="21"/>
                      <w:lang w:eastAsia="zh-CN"/>
                    </w:rPr>
                  </w:pPr>
                  <w:r>
                    <w:rPr>
                      <w:rFonts w:hint="eastAsia"/>
                      <w:sz w:val="21"/>
                      <w:szCs w:val="21"/>
                      <w:lang w:eastAsia="zh-CN"/>
                    </w:rPr>
                    <w:t>5</w:t>
                  </w:r>
                </w:p>
              </w:tc>
              <w:tc>
                <w:tcPr>
                  <w:tcW w:w="3105" w:type="dxa"/>
                  <w:tcBorders>
                    <w:tl2br w:val="nil"/>
                    <w:tr2bl w:val="nil"/>
                  </w:tcBorders>
                  <w:vAlign w:val="center"/>
                </w:tcPr>
                <w:p>
                  <w:pPr>
                    <w:pStyle w:val="3"/>
                    <w:jc w:val="center"/>
                    <w:rPr>
                      <w:sz w:val="21"/>
                      <w:szCs w:val="21"/>
                      <w:lang w:eastAsia="zh-CN"/>
                    </w:rPr>
                  </w:pPr>
                  <w:r>
                    <w:rPr>
                      <w:rFonts w:hint="eastAsia"/>
                      <w:sz w:val="21"/>
                      <w:szCs w:val="21"/>
                      <w:lang w:eastAsia="zh-CN"/>
                    </w:rPr>
                    <w:t>安宏村饮水工程</w:t>
                  </w:r>
                </w:p>
              </w:tc>
              <w:tc>
                <w:tcPr>
                  <w:tcW w:w="1500" w:type="dxa"/>
                  <w:tcBorders>
                    <w:tl2br w:val="nil"/>
                    <w:tr2bl w:val="nil"/>
                  </w:tcBorders>
                  <w:vAlign w:val="center"/>
                </w:tcPr>
                <w:p>
                  <w:pPr>
                    <w:pStyle w:val="3"/>
                    <w:jc w:val="center"/>
                    <w:rPr>
                      <w:sz w:val="21"/>
                      <w:szCs w:val="21"/>
                      <w:lang w:eastAsia="zh-CN"/>
                    </w:rPr>
                  </w:pPr>
                  <w:r>
                    <w:rPr>
                      <w:rFonts w:hint="eastAsia"/>
                      <w:sz w:val="21"/>
                      <w:szCs w:val="21"/>
                      <w:lang w:eastAsia="zh-CN"/>
                    </w:rPr>
                    <w:t>1500m</w:t>
                  </w:r>
                </w:p>
              </w:tc>
              <w:tc>
                <w:tcPr>
                  <w:tcW w:w="1760" w:type="dxa"/>
                  <w:tcBorders>
                    <w:tl2br w:val="nil"/>
                    <w:tr2bl w:val="nil"/>
                  </w:tcBorders>
                  <w:vAlign w:val="center"/>
                </w:tcPr>
                <w:p>
                  <w:pPr>
                    <w:pStyle w:val="3"/>
                    <w:jc w:val="center"/>
                    <w:rPr>
                      <w:sz w:val="21"/>
                      <w:szCs w:val="21"/>
                      <w:lang w:eastAsia="zh-CN"/>
                    </w:rPr>
                  </w:pPr>
                  <w:r>
                    <w:rPr>
                      <w:rFonts w:hint="eastAsia"/>
                      <w:sz w:val="21"/>
                      <w:szCs w:val="21"/>
                      <w:lang w:eastAsia="zh-CN"/>
                    </w:rPr>
                    <w:t>2.1</w:t>
                  </w:r>
                </w:p>
              </w:tc>
              <w:tc>
                <w:tcPr>
                  <w:tcW w:w="2352" w:type="dxa"/>
                  <w:tcBorders>
                    <w:tl2br w:val="nil"/>
                    <w:tr2bl w:val="nil"/>
                  </w:tcBorders>
                  <w:vAlign w:val="center"/>
                </w:tcPr>
                <w:p>
                  <w:pPr>
                    <w:pStyle w:val="3"/>
                    <w:jc w:val="center"/>
                    <w:rPr>
                      <w:sz w:val="21"/>
                      <w:szCs w:val="21"/>
                      <w:lang w:eastAsia="zh-CN"/>
                    </w:rPr>
                  </w:pPr>
                  <w:r>
                    <w:rPr>
                      <w:rFonts w:hint="eastAsia"/>
                      <w:sz w:val="21"/>
                      <w:szCs w:val="21"/>
                      <w:lang w:eastAsia="zh-CN"/>
                    </w:rPr>
                    <w:t>用于蓄水池池子养护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tcBorders>
                    <w:tl2br w:val="nil"/>
                    <w:tr2bl w:val="nil"/>
                  </w:tcBorders>
                  <w:vAlign w:val="center"/>
                </w:tcPr>
                <w:p>
                  <w:pPr>
                    <w:pStyle w:val="3"/>
                    <w:jc w:val="center"/>
                    <w:rPr>
                      <w:sz w:val="21"/>
                      <w:szCs w:val="21"/>
                      <w:lang w:eastAsia="zh-CN"/>
                    </w:rPr>
                  </w:pPr>
                </w:p>
              </w:tc>
              <w:tc>
                <w:tcPr>
                  <w:tcW w:w="3105" w:type="dxa"/>
                  <w:tcBorders>
                    <w:tl2br w:val="nil"/>
                    <w:tr2bl w:val="nil"/>
                  </w:tcBorders>
                  <w:vAlign w:val="center"/>
                </w:tcPr>
                <w:p>
                  <w:pPr>
                    <w:pStyle w:val="3"/>
                    <w:jc w:val="center"/>
                    <w:rPr>
                      <w:sz w:val="21"/>
                      <w:szCs w:val="21"/>
                      <w:lang w:eastAsia="zh-CN"/>
                    </w:rPr>
                  </w:pPr>
                  <w:r>
                    <w:rPr>
                      <w:rFonts w:hint="eastAsia"/>
                      <w:sz w:val="21"/>
                      <w:szCs w:val="21"/>
                      <w:lang w:eastAsia="zh-CN"/>
                    </w:rPr>
                    <w:t>合计</w:t>
                  </w:r>
                </w:p>
              </w:tc>
              <w:tc>
                <w:tcPr>
                  <w:tcW w:w="1500" w:type="dxa"/>
                  <w:tcBorders>
                    <w:tl2br w:val="nil"/>
                    <w:tr2bl w:val="nil"/>
                  </w:tcBorders>
                  <w:vAlign w:val="center"/>
                </w:tcPr>
                <w:p>
                  <w:pPr>
                    <w:pStyle w:val="3"/>
                    <w:jc w:val="center"/>
                    <w:rPr>
                      <w:sz w:val="21"/>
                      <w:szCs w:val="21"/>
                      <w:lang w:eastAsia="zh-CN"/>
                    </w:rPr>
                  </w:pPr>
                </w:p>
              </w:tc>
              <w:tc>
                <w:tcPr>
                  <w:tcW w:w="1760" w:type="dxa"/>
                  <w:tcBorders>
                    <w:tl2br w:val="nil"/>
                    <w:tr2bl w:val="nil"/>
                  </w:tcBorders>
                  <w:vAlign w:val="center"/>
                </w:tcPr>
                <w:p>
                  <w:pPr>
                    <w:pStyle w:val="3"/>
                    <w:jc w:val="center"/>
                    <w:rPr>
                      <w:sz w:val="21"/>
                      <w:szCs w:val="21"/>
                      <w:lang w:eastAsia="zh-CN"/>
                    </w:rPr>
                  </w:pPr>
                  <w:r>
                    <w:rPr>
                      <w:rFonts w:hint="eastAsia"/>
                      <w:sz w:val="21"/>
                      <w:szCs w:val="21"/>
                      <w:lang w:eastAsia="zh-CN"/>
                    </w:rPr>
                    <w:t>26.8</w:t>
                  </w:r>
                </w:p>
              </w:tc>
              <w:tc>
                <w:tcPr>
                  <w:tcW w:w="2352" w:type="dxa"/>
                  <w:tcBorders>
                    <w:tl2br w:val="nil"/>
                    <w:tr2bl w:val="nil"/>
                  </w:tcBorders>
                  <w:vAlign w:val="center"/>
                </w:tcPr>
                <w:p>
                  <w:pPr>
                    <w:pStyle w:val="3"/>
                    <w:jc w:val="center"/>
                    <w:rPr>
                      <w:sz w:val="21"/>
                      <w:szCs w:val="21"/>
                      <w:lang w:eastAsia="zh-CN"/>
                    </w:rPr>
                  </w:pPr>
                </w:p>
              </w:tc>
            </w:tr>
          </w:tbl>
          <w:p>
            <w:pPr>
              <w:spacing w:line="360" w:lineRule="auto"/>
              <w:ind w:firstLine="480" w:firstLineChars="200"/>
              <w:rPr>
                <w:sz w:val="24"/>
              </w:rPr>
            </w:pPr>
            <w:r>
              <w:rPr>
                <w:rFonts w:hint="eastAsia"/>
                <w:sz w:val="24"/>
              </w:rPr>
              <w:t>项目施工量小，施工时间较短，冲洗、试压废水用于池子养护，最后清理用于浇灌周边农田，不直接外排入河流。因此，项目废水不会对周边水环境造成影响。</w:t>
            </w:r>
            <w:bookmarkStart w:id="7" w:name="_GoBack"/>
            <w:bookmarkEnd w:id="7"/>
          </w:p>
          <w:p>
            <w:pPr>
              <w:spacing w:line="360" w:lineRule="auto"/>
              <w:ind w:firstLine="480" w:firstLineChars="200"/>
              <w:rPr>
                <w:sz w:val="24"/>
              </w:rPr>
            </w:pPr>
            <w:r>
              <w:rPr>
                <w:rFonts w:hint="eastAsia"/>
                <w:sz w:val="24"/>
              </w:rPr>
              <w:t>4、声环境治理措施</w:t>
            </w:r>
          </w:p>
          <w:p>
            <w:pPr>
              <w:spacing w:line="360" w:lineRule="auto"/>
              <w:ind w:firstLine="480" w:firstLineChars="200"/>
              <w:rPr>
                <w:sz w:val="24"/>
              </w:rPr>
            </w:pPr>
            <w:r>
              <w:rPr>
                <w:rFonts w:hint="eastAsia"/>
                <w:sz w:val="24"/>
              </w:rPr>
              <w:t>施工期噪声防治措施有：选用低噪声设备，对产生噪声的机具等尽量安排在白天使用；合理布置施工现场，避免同一地点同时安排大量动力机械设备，合理安排工序，支拆模板、搭拆、脚手架等工序均安排在白天作业；合理安排作业时间；加强施工作业人员管理和教育，施工中减少不必要的敲击声。</w:t>
            </w:r>
          </w:p>
          <w:p>
            <w:pPr>
              <w:spacing w:line="360" w:lineRule="auto"/>
              <w:ind w:firstLine="480" w:firstLineChars="200"/>
              <w:rPr>
                <w:sz w:val="24"/>
              </w:rPr>
            </w:pPr>
            <w:r>
              <w:rPr>
                <w:rFonts w:hint="eastAsia"/>
                <w:sz w:val="24"/>
              </w:rPr>
              <w:t>5、固体废弃物治理措施</w:t>
            </w:r>
          </w:p>
          <w:p>
            <w:pPr>
              <w:spacing w:line="360" w:lineRule="auto"/>
              <w:ind w:firstLine="480" w:firstLineChars="200"/>
              <w:rPr>
                <w:sz w:val="24"/>
              </w:rPr>
            </w:pPr>
            <w:r>
              <w:rPr>
                <w:rFonts w:hint="eastAsia" w:ascii="宋体" w:hAnsi="宋体"/>
                <w:sz w:val="24"/>
                <w:lang w:val="zh-CN"/>
              </w:rPr>
              <w:t>本工程土</w:t>
            </w:r>
            <w:r>
              <w:rPr>
                <w:rFonts w:hint="eastAsia" w:ascii="宋体" w:hAnsi="宋体"/>
                <w:sz w:val="24"/>
              </w:rPr>
              <w:t>石方</w:t>
            </w:r>
            <w:r>
              <w:rPr>
                <w:rFonts w:hint="eastAsia" w:ascii="宋体" w:hAnsi="宋体"/>
                <w:sz w:val="24"/>
                <w:lang w:val="zh-CN"/>
              </w:rPr>
              <w:t>开挖量(含清基)为</w:t>
            </w:r>
            <w:r>
              <w:rPr>
                <w:rFonts w:hint="eastAsia" w:ascii="宋体" w:hAnsi="宋体"/>
                <w:sz w:val="24"/>
              </w:rPr>
              <w:t>6506.6</w:t>
            </w:r>
            <w:r>
              <w:rPr>
                <w:rFonts w:hint="eastAsia" w:ascii="宋体" w:hAnsi="宋体"/>
                <w:sz w:val="24"/>
                <w:lang w:val="zh-CN"/>
              </w:rPr>
              <w:t>m</w:t>
            </w:r>
            <w:r>
              <w:rPr>
                <w:rFonts w:hint="eastAsia" w:ascii="宋体" w:hAnsi="宋体"/>
                <w:sz w:val="24"/>
                <w:vertAlign w:val="superscript"/>
                <w:lang w:val="zh-CN"/>
              </w:rPr>
              <w:t>3</w:t>
            </w:r>
            <w:r>
              <w:rPr>
                <w:rFonts w:hint="eastAsia" w:ascii="宋体" w:hAnsi="宋体"/>
                <w:sz w:val="24"/>
                <w:lang w:val="zh-CN"/>
              </w:rPr>
              <w:t>（自然方） ，本工程需要的土</w:t>
            </w:r>
            <w:r>
              <w:rPr>
                <w:rFonts w:hint="eastAsia" w:ascii="宋体" w:hAnsi="宋体"/>
                <w:sz w:val="24"/>
              </w:rPr>
              <w:t>石方</w:t>
            </w:r>
            <w:r>
              <w:rPr>
                <w:rFonts w:hint="eastAsia" w:ascii="宋体" w:hAnsi="宋体"/>
                <w:sz w:val="24"/>
                <w:lang w:val="zh-CN"/>
              </w:rPr>
              <w:t>回填总量为</w:t>
            </w:r>
            <w:r>
              <w:rPr>
                <w:rFonts w:hint="eastAsia" w:ascii="宋体" w:hAnsi="宋体"/>
                <w:sz w:val="24"/>
              </w:rPr>
              <w:t>5760</w:t>
            </w:r>
            <w:r>
              <w:rPr>
                <w:rFonts w:hint="eastAsia" w:ascii="宋体" w:hAnsi="宋体"/>
                <w:sz w:val="24"/>
                <w:lang w:val="zh-CN"/>
              </w:rPr>
              <w:t xml:space="preserve"> m</w:t>
            </w:r>
            <w:r>
              <w:rPr>
                <w:rFonts w:hint="eastAsia" w:ascii="宋体" w:hAnsi="宋体"/>
                <w:sz w:val="24"/>
                <w:vertAlign w:val="superscript"/>
                <w:lang w:val="zh-CN"/>
              </w:rPr>
              <w:t>3</w:t>
            </w:r>
            <w:r>
              <w:rPr>
                <w:rFonts w:hint="eastAsia" w:ascii="宋体" w:hAnsi="宋体"/>
                <w:sz w:val="24"/>
                <w:lang w:val="zh-CN"/>
              </w:rPr>
              <w:t>（</w:t>
            </w:r>
            <w:r>
              <w:rPr>
                <w:rFonts w:hint="eastAsia" w:ascii="宋体" w:hAnsi="宋体"/>
                <w:sz w:val="24"/>
              </w:rPr>
              <w:t>自然</w:t>
            </w:r>
            <w:r>
              <w:rPr>
                <w:rFonts w:hint="eastAsia" w:ascii="宋体" w:hAnsi="宋体"/>
                <w:sz w:val="24"/>
                <w:lang w:val="zh-CN"/>
              </w:rPr>
              <w:t>方）。综合考虑损耗与利用率后，弃渣合计</w:t>
            </w:r>
            <w:r>
              <w:rPr>
                <w:rFonts w:hint="eastAsia" w:ascii="宋体" w:hAnsi="宋体"/>
                <w:sz w:val="24"/>
              </w:rPr>
              <w:t>746.6</w:t>
            </w:r>
            <w:r>
              <w:rPr>
                <w:rFonts w:hint="eastAsia" w:ascii="宋体" w:hAnsi="宋体"/>
                <w:sz w:val="24"/>
                <w:lang w:val="zh-CN"/>
              </w:rPr>
              <w:t>m³（</w:t>
            </w:r>
            <w:r>
              <w:rPr>
                <w:rFonts w:hint="eastAsia" w:ascii="宋体" w:hAnsi="宋体"/>
                <w:sz w:val="24"/>
              </w:rPr>
              <w:t>自然</w:t>
            </w:r>
            <w:r>
              <w:rPr>
                <w:rFonts w:hint="eastAsia" w:ascii="宋体" w:hAnsi="宋体"/>
                <w:sz w:val="24"/>
                <w:lang w:val="zh-CN"/>
              </w:rPr>
              <w:t>方）。本工程整治弃渣量为</w:t>
            </w:r>
            <w:r>
              <w:rPr>
                <w:rFonts w:hint="eastAsia" w:ascii="宋体" w:hAnsi="宋体"/>
                <w:sz w:val="24"/>
              </w:rPr>
              <w:t>746.6</w:t>
            </w:r>
            <w:r>
              <w:rPr>
                <w:rFonts w:hint="eastAsia" w:ascii="宋体" w:hAnsi="宋体"/>
                <w:sz w:val="24"/>
                <w:lang w:val="zh-CN"/>
              </w:rPr>
              <w:t>m³（</w:t>
            </w:r>
            <w:r>
              <w:rPr>
                <w:rFonts w:hint="eastAsia" w:ascii="宋体" w:hAnsi="宋体"/>
                <w:sz w:val="24"/>
              </w:rPr>
              <w:t>自然</w:t>
            </w:r>
            <w:r>
              <w:rPr>
                <w:rFonts w:hint="eastAsia" w:ascii="宋体" w:hAnsi="宋体"/>
                <w:sz w:val="24"/>
                <w:lang w:val="zh-CN"/>
              </w:rPr>
              <w:t>方）。因为项目弃渣量较小，项目点较多较分散，且本工程大部分土石方开挖量来自于管道安装工程，管道安装好后即刻就行回填，</w:t>
            </w:r>
            <w:r>
              <w:rPr>
                <w:rFonts w:hint="eastAsia"/>
                <w:sz w:val="24"/>
              </w:rPr>
              <w:t>根据项目特点，项目不设永久性弃渣场、料场，项目弃土清理的泥沙未被污染，可及时就近回填至农田、附近土地、机耕道或荒地后即可消纳掉。</w:t>
            </w:r>
          </w:p>
          <w:p>
            <w:pPr>
              <w:spacing w:line="360" w:lineRule="auto"/>
              <w:ind w:firstLine="480" w:firstLineChars="200"/>
              <w:rPr>
                <w:sz w:val="24"/>
              </w:rPr>
            </w:pPr>
            <w:r>
              <w:rPr>
                <w:rFonts w:hint="eastAsia"/>
                <w:sz w:val="24"/>
              </w:rPr>
              <w:t>项目高峰期施工人员50人，垃圾产生量约为25kg/d，集中收集后委托当地市政环卫部门送往指定生活垃圾处理场处理。</w:t>
            </w:r>
          </w:p>
          <w:p>
            <w:pPr>
              <w:spacing w:line="360" w:lineRule="auto"/>
              <w:ind w:firstLine="480" w:firstLineChars="200"/>
              <w:rPr>
                <w:sz w:val="24"/>
              </w:rPr>
            </w:pPr>
            <w:r>
              <w:rPr>
                <w:rFonts w:hint="eastAsia"/>
                <w:sz w:val="24"/>
              </w:rPr>
              <w:t>6、涉水工程</w:t>
            </w:r>
          </w:p>
          <w:p>
            <w:pPr>
              <w:spacing w:line="360" w:lineRule="auto"/>
              <w:ind w:firstLine="480" w:firstLineChars="200"/>
              <w:rPr>
                <w:sz w:val="24"/>
              </w:rPr>
            </w:pPr>
            <w:r>
              <w:rPr>
                <w:rFonts w:hint="eastAsia"/>
                <w:sz w:val="24"/>
              </w:rPr>
              <w:t>本项目从水源地通过水管将水引致蓄水池，基本无涉水工程施工，环评要求，在建设过程中施工人员禁止向河流中抛洒垃圾，蓄水池施工所需的混凝土采用现场搅拌机拌合。施工场地设置排水沟，减少降雨汇水对施工裸露场地的冲刷，防止水土流失。</w:t>
            </w:r>
          </w:p>
          <w:p>
            <w:pPr>
              <w:spacing w:line="360" w:lineRule="auto"/>
              <w:ind w:firstLine="480" w:firstLineChars="200"/>
              <w:rPr>
                <w:b/>
                <w:sz w:val="24"/>
              </w:rPr>
            </w:pPr>
            <w:r>
              <w:rPr>
                <w:rFonts w:hint="eastAsia"/>
                <w:b/>
                <w:sz w:val="24"/>
              </w:rPr>
              <w:t>（二）营运期治理措施</w:t>
            </w:r>
          </w:p>
          <w:p>
            <w:pPr>
              <w:spacing w:line="360" w:lineRule="auto"/>
              <w:ind w:firstLine="480" w:firstLineChars="200"/>
              <w:rPr>
                <w:sz w:val="24"/>
              </w:rPr>
            </w:pPr>
            <w:r>
              <w:rPr>
                <w:rFonts w:hint="eastAsia"/>
                <w:sz w:val="24"/>
              </w:rPr>
              <w:t>项目蓄水池、滤池及利用原有水池改建的消毒池修建采用混凝土浇筑，然后采用3mm防水涂膜处理，通过以上措施，将不会对项目周边的地表水以及地下水产生影响。</w:t>
            </w:r>
          </w:p>
          <w:p>
            <w:pPr>
              <w:spacing w:line="360" w:lineRule="auto"/>
              <w:ind w:firstLine="480" w:firstLineChars="200"/>
              <w:rPr>
                <w:sz w:val="24"/>
              </w:rPr>
            </w:pPr>
            <w:r>
              <w:rPr>
                <w:rFonts w:hint="eastAsia"/>
                <w:sz w:val="24"/>
              </w:rPr>
              <w:t>本项目仅营运期沉砂池会产生少量底泥，底泥每三月派管理人员清掏一次，清掏量每次约为0.5t/a，清掏的底泥用于填补至低洼地，或用于周边农田肥田。不会对周会环境造成影响。</w:t>
            </w:r>
          </w:p>
          <w:p>
            <w:pPr>
              <w:spacing w:line="360" w:lineRule="auto"/>
              <w:ind w:firstLine="480" w:firstLineChars="200"/>
              <w:rPr>
                <w:sz w:val="24"/>
              </w:rPr>
            </w:pPr>
            <w:r>
              <w:rPr>
                <w:rFonts w:hint="eastAsia"/>
                <w:sz w:val="24"/>
              </w:rPr>
              <w:t>本项目为饮水设施建设项目，本项目的建设能保障农村饮用水的安全，具有显著的社会效益，为促进边远贫困少数民族地区经济的发展，为更好的建设群众安居乐业、社会政治稳定、人与自然和谐的家园奠定基础。从而改善区域群众的生活环境，对环境的不利影响较小。</w:t>
            </w:r>
          </w:p>
          <w:p>
            <w:pPr>
              <w:spacing w:line="360" w:lineRule="auto"/>
              <w:ind w:firstLine="480" w:firstLineChars="200"/>
              <w:rPr>
                <w:sz w:val="24"/>
              </w:rPr>
            </w:pPr>
            <w:r>
              <w:rPr>
                <w:rFonts w:hint="eastAsia"/>
                <w:sz w:val="24"/>
              </w:rPr>
              <w:t>本项目施工产生的环境影响将随着项目的结束而消失，但须按防治措施进行施工，将施工期的环境影响降至最低；在运营期需各乡安排的管理人员认真履行职责，建立能良性运营的管理机制和管理制度，做好水源保护，在发现水源及管路出现问题后立即处理，将保证饮用水的安全及避免水土流失等问题。</w:t>
            </w:r>
          </w:p>
          <w:p>
            <w:pPr>
              <w:spacing w:line="360" w:lineRule="auto"/>
              <w:ind w:firstLine="480" w:firstLineChars="200"/>
              <w:rPr>
                <w:sz w:val="24"/>
              </w:rPr>
            </w:pPr>
            <w:r>
              <w:rPr>
                <w:rFonts w:hint="eastAsia"/>
                <w:sz w:val="24"/>
              </w:rPr>
              <w:t>项目的运行将解决970人饮水问题，切实解决群众日常生活用水困难情况。</w:t>
            </w:r>
          </w:p>
          <w:p>
            <w:pPr>
              <w:spacing w:line="360" w:lineRule="auto"/>
              <w:ind w:firstLine="480" w:firstLineChars="200"/>
              <w:rPr>
                <w:sz w:val="24"/>
              </w:rPr>
            </w:pPr>
            <w:r>
              <w:rPr>
                <w:rFonts w:hint="eastAsia"/>
                <w:sz w:val="24"/>
              </w:rPr>
              <w:t>综上，项目运行期对环境影响主要表现为正效益。</w:t>
            </w:r>
          </w:p>
          <w:p>
            <w:pPr>
              <w:spacing w:line="360" w:lineRule="auto"/>
              <w:ind w:firstLine="480" w:firstLineChars="200"/>
              <w:rPr>
                <w:sz w:val="24"/>
              </w:rPr>
            </w:pPr>
          </w:p>
          <w:p>
            <w:pPr>
              <w:spacing w:line="360" w:lineRule="auto"/>
              <w:ind w:firstLine="480" w:firstLineChars="200"/>
              <w:rPr>
                <w:rFonts w:ascii="Times New Roman" w:hAnsi="Times New Roman" w:cs="Times New Roman"/>
                <w:color w:val="000000" w:themeColor="text1"/>
                <w:sz w:val="24"/>
              </w:rPr>
            </w:pPr>
          </w:p>
        </w:tc>
      </w:tr>
    </w:tbl>
    <w:p>
      <w:pPr>
        <w:tabs>
          <w:tab w:val="left" w:pos="5760"/>
        </w:tabs>
        <w:adjustRightInd w:val="0"/>
        <w:snapToGrid w:val="0"/>
        <w:spacing w:before="156" w:beforeLines="50" w:after="156" w:afterLines="50"/>
        <w:outlineLvl w:val="0"/>
        <w:rPr>
          <w:rFonts w:ascii="Times New Roman" w:hAnsi="Times New Roman" w:cs="Times New Roman"/>
          <w:b/>
          <w:color w:val="000000" w:themeColor="text1"/>
          <w:sz w:val="30"/>
          <w:szCs w:val="3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snapToGrid w:val="0"/>
          <w:color w:val="000000" w:themeColor="text1"/>
          <w:kern w:val="0"/>
          <w:sz w:val="30"/>
          <w:szCs w:val="30"/>
        </w:rPr>
      </w:pPr>
      <w:r>
        <w:rPr>
          <w:rFonts w:hint="eastAsia" w:ascii="Times New Roman" w:hAnsi="Times New Roman" w:cs="Times New Roman"/>
          <w:b/>
          <w:color w:val="000000" w:themeColor="text1"/>
          <w:sz w:val="30"/>
          <w:szCs w:val="30"/>
        </w:rPr>
        <w:t>项目主要污染物产生及预计排放量情况                    （</w:t>
      </w:r>
      <w:r>
        <w:rPr>
          <w:rFonts w:hint="eastAsia" w:ascii="Times New Roman" w:hAnsi="Times New Roman" w:cs="Times New Roman"/>
          <w:b/>
          <w:snapToGrid w:val="0"/>
          <w:color w:val="000000" w:themeColor="text1"/>
          <w:kern w:val="0"/>
          <w:sz w:val="30"/>
          <w:szCs w:val="30"/>
        </w:rPr>
        <w:t>表六</w:t>
      </w:r>
      <w:r>
        <w:rPr>
          <w:rFonts w:hint="eastAsia" w:ascii="Times New Roman" w:hAnsi="Times New Roman" w:cs="Times New Roman"/>
          <w:b/>
          <w:color w:val="000000" w:themeColor="text1"/>
          <w:sz w:val="30"/>
          <w:szCs w:val="30"/>
        </w:rPr>
        <w:t>）</w:t>
      </w:r>
    </w:p>
    <w:tbl>
      <w:tblPr>
        <w:tblStyle w:val="51"/>
        <w:tblW w:w="89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8"/>
        <w:gridCol w:w="1075"/>
        <w:gridCol w:w="2047"/>
        <w:gridCol w:w="12"/>
        <w:gridCol w:w="2459"/>
        <w:gridCol w:w="23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989" w:type="dxa"/>
            <w:tcBorders>
              <w:tl2br w:val="single" w:color="auto" w:sz="4" w:space="0"/>
            </w:tcBorders>
            <w:vAlign w:val="center"/>
          </w:tcPr>
          <w:p>
            <w:pPr>
              <w:adjustRightInd w:val="0"/>
              <w:snapToGrid w:val="0"/>
              <w:jc w:val="right"/>
              <w:rPr>
                <w:rFonts w:ascii="t" w:hAnsi="t"/>
                <w:b/>
                <w:color w:val="000000" w:themeColor="text1"/>
                <w:szCs w:val="21"/>
              </w:rPr>
            </w:pPr>
            <w:r>
              <w:rPr>
                <w:rFonts w:hint="eastAsia" w:ascii="t" w:hAnsi="t"/>
                <w:b/>
                <w:color w:val="000000" w:themeColor="text1"/>
                <w:szCs w:val="21"/>
              </w:rPr>
              <w:t>内容</w:t>
            </w:r>
          </w:p>
          <w:p>
            <w:pPr>
              <w:adjustRightInd w:val="0"/>
              <w:snapToGrid w:val="0"/>
              <w:jc w:val="center"/>
              <w:rPr>
                <w:rFonts w:ascii="t" w:hAnsi="t"/>
                <w:b/>
                <w:color w:val="000000" w:themeColor="text1"/>
                <w:szCs w:val="21"/>
              </w:rPr>
            </w:pPr>
          </w:p>
          <w:p>
            <w:pPr>
              <w:adjustRightInd w:val="0"/>
              <w:snapToGrid w:val="0"/>
              <w:jc w:val="left"/>
              <w:rPr>
                <w:rFonts w:ascii="t" w:hAnsi="t"/>
                <w:b/>
                <w:color w:val="000000" w:themeColor="text1"/>
                <w:szCs w:val="21"/>
              </w:rPr>
            </w:pPr>
            <w:r>
              <w:rPr>
                <w:rFonts w:hint="eastAsia" w:ascii="t" w:hAnsi="t"/>
                <w:b/>
                <w:color w:val="000000" w:themeColor="text1"/>
                <w:szCs w:val="21"/>
              </w:rPr>
              <w:t>类型</w:t>
            </w:r>
          </w:p>
        </w:tc>
        <w:tc>
          <w:tcPr>
            <w:tcW w:w="1076" w:type="dxa"/>
            <w:vAlign w:val="center"/>
          </w:tcPr>
          <w:p>
            <w:pPr>
              <w:adjustRightInd w:val="0"/>
              <w:snapToGrid w:val="0"/>
              <w:jc w:val="center"/>
              <w:rPr>
                <w:rFonts w:ascii="t" w:hAnsi="t"/>
                <w:b/>
                <w:color w:val="000000" w:themeColor="text1"/>
                <w:szCs w:val="21"/>
              </w:rPr>
            </w:pPr>
            <w:r>
              <w:rPr>
                <w:rFonts w:ascii="t" w:hAnsi="t"/>
                <w:b/>
                <w:color w:val="000000" w:themeColor="text1"/>
                <w:szCs w:val="21"/>
              </w:rPr>
              <w:t>排放源</w:t>
            </w:r>
          </w:p>
          <w:p>
            <w:pPr>
              <w:adjustRightInd w:val="0"/>
              <w:snapToGrid w:val="0"/>
              <w:jc w:val="center"/>
              <w:rPr>
                <w:rFonts w:ascii="t" w:hAnsi="t"/>
                <w:b/>
                <w:color w:val="000000" w:themeColor="text1"/>
                <w:szCs w:val="21"/>
              </w:rPr>
            </w:pPr>
            <w:r>
              <w:rPr>
                <w:rFonts w:ascii="t" w:hAnsi="t"/>
                <w:b/>
                <w:color w:val="000000" w:themeColor="text1"/>
                <w:szCs w:val="21"/>
              </w:rPr>
              <w:t>(编号)</w:t>
            </w:r>
          </w:p>
        </w:tc>
        <w:tc>
          <w:tcPr>
            <w:tcW w:w="2048" w:type="dxa"/>
            <w:tcBorders>
              <w:bottom w:val="single" w:color="auto" w:sz="4" w:space="0"/>
            </w:tcBorders>
            <w:vAlign w:val="center"/>
          </w:tcPr>
          <w:p>
            <w:pPr>
              <w:adjustRightInd w:val="0"/>
              <w:snapToGrid w:val="0"/>
              <w:jc w:val="center"/>
              <w:rPr>
                <w:rFonts w:ascii="t" w:hAnsi="t"/>
                <w:b/>
                <w:color w:val="000000" w:themeColor="text1"/>
                <w:szCs w:val="21"/>
              </w:rPr>
            </w:pPr>
            <w:r>
              <w:rPr>
                <w:rFonts w:ascii="t" w:hAnsi="t"/>
                <w:b/>
                <w:color w:val="000000" w:themeColor="text1"/>
                <w:szCs w:val="21"/>
              </w:rPr>
              <w:t>污染物名称</w:t>
            </w:r>
          </w:p>
        </w:tc>
        <w:tc>
          <w:tcPr>
            <w:tcW w:w="2467" w:type="dxa"/>
            <w:gridSpan w:val="2"/>
            <w:tcBorders>
              <w:bottom w:val="single" w:color="auto" w:sz="4" w:space="0"/>
            </w:tcBorders>
            <w:vAlign w:val="center"/>
          </w:tcPr>
          <w:p>
            <w:pPr>
              <w:adjustRightInd w:val="0"/>
              <w:snapToGrid w:val="0"/>
              <w:jc w:val="center"/>
              <w:rPr>
                <w:rFonts w:ascii="t" w:hAnsi="t"/>
                <w:b/>
                <w:color w:val="000000" w:themeColor="text1"/>
                <w:szCs w:val="21"/>
              </w:rPr>
            </w:pPr>
            <w:r>
              <w:rPr>
                <w:rFonts w:ascii="t" w:hAnsi="t"/>
                <w:b/>
                <w:color w:val="000000" w:themeColor="text1"/>
                <w:szCs w:val="21"/>
              </w:rPr>
              <w:t>处理前产生浓度及产生量 (单位)</w:t>
            </w:r>
          </w:p>
        </w:tc>
        <w:tc>
          <w:tcPr>
            <w:tcW w:w="2366" w:type="dxa"/>
            <w:tcBorders>
              <w:bottom w:val="single" w:color="auto" w:sz="4" w:space="0"/>
            </w:tcBorders>
            <w:vAlign w:val="center"/>
          </w:tcPr>
          <w:p>
            <w:pPr>
              <w:adjustRightInd w:val="0"/>
              <w:snapToGrid w:val="0"/>
              <w:jc w:val="center"/>
              <w:rPr>
                <w:rFonts w:ascii="t" w:hAnsi="t"/>
                <w:b/>
                <w:color w:val="000000" w:themeColor="text1"/>
                <w:szCs w:val="21"/>
              </w:rPr>
            </w:pPr>
            <w:r>
              <w:rPr>
                <w:rFonts w:hint="eastAsia" w:ascii="t" w:hAnsi="t"/>
                <w:b/>
                <w:color w:val="000000" w:themeColor="text1"/>
                <w:szCs w:val="21"/>
              </w:rPr>
              <w:t>处理后</w:t>
            </w:r>
            <w:r>
              <w:rPr>
                <w:rFonts w:ascii="t" w:hAnsi="t"/>
                <w:b/>
                <w:color w:val="000000" w:themeColor="text1"/>
                <w:szCs w:val="21"/>
              </w:rPr>
              <w:t>排放浓度及</w:t>
            </w:r>
            <w:r>
              <w:rPr>
                <w:rFonts w:hint="eastAsia" w:ascii="t" w:hAnsi="t"/>
                <w:b/>
                <w:color w:val="000000" w:themeColor="text1"/>
                <w:szCs w:val="21"/>
              </w:rPr>
              <w:t>排放</w:t>
            </w:r>
            <w:r>
              <w:rPr>
                <w:rFonts w:ascii="t" w:hAnsi="t"/>
                <w:b/>
                <w:color w:val="000000" w:themeColor="text1"/>
                <w:szCs w:val="21"/>
              </w:rPr>
              <w:t>量  (单位)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restart"/>
            <w:vAlign w:val="center"/>
          </w:tcPr>
          <w:p>
            <w:pPr>
              <w:adjustRightInd w:val="0"/>
              <w:snapToGrid w:val="0"/>
              <w:jc w:val="center"/>
              <w:rPr>
                <w:rFonts w:ascii="t" w:hAnsi="t"/>
                <w:b/>
                <w:color w:val="000000" w:themeColor="text1"/>
                <w:szCs w:val="21"/>
              </w:rPr>
            </w:pPr>
            <w:r>
              <w:rPr>
                <w:rFonts w:ascii="t" w:hAnsi="t"/>
                <w:b/>
                <w:color w:val="000000" w:themeColor="text1"/>
                <w:szCs w:val="21"/>
              </w:rPr>
              <w:t>大气</w:t>
            </w:r>
          </w:p>
          <w:p>
            <w:pPr>
              <w:adjustRightInd w:val="0"/>
              <w:snapToGrid w:val="0"/>
              <w:jc w:val="center"/>
              <w:rPr>
                <w:rFonts w:ascii="t" w:hAnsi="t"/>
                <w:b/>
                <w:color w:val="000000" w:themeColor="text1"/>
                <w:szCs w:val="21"/>
              </w:rPr>
            </w:pPr>
            <w:r>
              <w:rPr>
                <w:rFonts w:ascii="t" w:hAnsi="t"/>
                <w:b/>
                <w:color w:val="000000" w:themeColor="text1"/>
                <w:szCs w:val="21"/>
              </w:rPr>
              <w:t>污染物</w:t>
            </w:r>
          </w:p>
        </w:tc>
        <w:tc>
          <w:tcPr>
            <w:tcW w:w="1076" w:type="dxa"/>
            <w:vMerge w:val="restart"/>
            <w:vAlign w:val="center"/>
          </w:tcPr>
          <w:p>
            <w:pPr>
              <w:snapToGrid w:val="0"/>
              <w:jc w:val="center"/>
              <w:rPr>
                <w:szCs w:val="21"/>
              </w:rPr>
            </w:pPr>
            <w:r>
              <w:rPr>
                <w:rFonts w:ascii="t" w:hAnsi="t"/>
                <w:color w:val="000000" w:themeColor="text1"/>
                <w:szCs w:val="21"/>
              </w:rPr>
              <w:t>施工期</w:t>
            </w:r>
          </w:p>
        </w:tc>
        <w:tc>
          <w:tcPr>
            <w:tcW w:w="2048" w:type="dxa"/>
            <w:vAlign w:val="center"/>
          </w:tcPr>
          <w:p>
            <w:pPr>
              <w:jc w:val="center"/>
              <w:rPr>
                <w:rFonts w:cs="Times New Roman"/>
              </w:rPr>
            </w:pPr>
            <w:r>
              <w:rPr>
                <w:rFonts w:ascii="Times New Roman" w:hAnsi="Times New Roman" w:eastAsia="宋体" w:cs="Times New Roman"/>
              </w:rPr>
              <w:t>扬尘</w:t>
            </w:r>
          </w:p>
        </w:tc>
        <w:tc>
          <w:tcPr>
            <w:tcW w:w="2467" w:type="dxa"/>
            <w:gridSpan w:val="2"/>
            <w:vMerge w:val="restart"/>
            <w:vAlign w:val="center"/>
          </w:tcPr>
          <w:p>
            <w:pPr>
              <w:jc w:val="center"/>
              <w:rPr>
                <w:rFonts w:cs="Times New Roman"/>
              </w:rPr>
            </w:pPr>
            <w:r>
              <w:rPr>
                <w:rFonts w:hint="eastAsia" w:cs="Times New Roman"/>
              </w:rPr>
              <w:t>少量，无组织排放</w:t>
            </w:r>
          </w:p>
        </w:tc>
        <w:tc>
          <w:tcPr>
            <w:tcW w:w="2366" w:type="dxa"/>
            <w:vMerge w:val="restart"/>
            <w:vAlign w:val="center"/>
          </w:tcPr>
          <w:p>
            <w:pPr>
              <w:jc w:val="center"/>
              <w:rPr>
                <w:rFonts w:cs="Times New Roman"/>
              </w:rPr>
            </w:pPr>
            <w:r>
              <w:rPr>
                <w:rFonts w:hint="eastAsia" w:cs="Times New Roman"/>
              </w:rPr>
              <w:t>少量，无组织排放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000000" w:themeColor="text1"/>
                <w:szCs w:val="21"/>
              </w:rPr>
            </w:pPr>
          </w:p>
        </w:tc>
        <w:tc>
          <w:tcPr>
            <w:tcW w:w="1076" w:type="dxa"/>
            <w:vMerge w:val="continue"/>
            <w:vAlign w:val="center"/>
          </w:tcPr>
          <w:p>
            <w:pPr>
              <w:snapToGrid w:val="0"/>
              <w:jc w:val="center"/>
              <w:rPr>
                <w:szCs w:val="21"/>
              </w:rPr>
            </w:pPr>
          </w:p>
        </w:tc>
        <w:tc>
          <w:tcPr>
            <w:tcW w:w="2048" w:type="dxa"/>
            <w:vAlign w:val="center"/>
          </w:tcPr>
          <w:p>
            <w:pPr>
              <w:jc w:val="center"/>
              <w:rPr>
                <w:rFonts w:cs="Times New Roman"/>
              </w:rPr>
            </w:pPr>
            <w:r>
              <w:rPr>
                <w:rFonts w:hint="eastAsia"/>
              </w:rPr>
              <w:t>施工机械产生的燃油废气</w:t>
            </w:r>
          </w:p>
        </w:tc>
        <w:tc>
          <w:tcPr>
            <w:tcW w:w="2467" w:type="dxa"/>
            <w:gridSpan w:val="2"/>
            <w:vMerge w:val="continue"/>
            <w:vAlign w:val="center"/>
          </w:tcPr>
          <w:p>
            <w:pPr>
              <w:jc w:val="center"/>
              <w:rPr>
                <w:rFonts w:cs="Times New Roman"/>
              </w:rPr>
            </w:pPr>
          </w:p>
        </w:tc>
        <w:tc>
          <w:tcPr>
            <w:tcW w:w="2366" w:type="dxa"/>
            <w:vMerge w:val="continue"/>
            <w:vAlign w:val="center"/>
          </w:tcPr>
          <w:p>
            <w:pPr>
              <w:jc w:val="cente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restart"/>
            <w:vAlign w:val="center"/>
          </w:tcPr>
          <w:p>
            <w:pPr>
              <w:adjustRightInd w:val="0"/>
              <w:snapToGrid w:val="0"/>
              <w:jc w:val="center"/>
              <w:rPr>
                <w:rFonts w:ascii="t" w:hAnsi="t"/>
                <w:b/>
                <w:color w:val="000000" w:themeColor="text1"/>
                <w:szCs w:val="21"/>
              </w:rPr>
            </w:pPr>
            <w:r>
              <w:rPr>
                <w:rFonts w:ascii="t" w:hAnsi="t"/>
                <w:b/>
                <w:color w:val="000000" w:themeColor="text1"/>
                <w:szCs w:val="21"/>
              </w:rPr>
              <w:t>水污</w:t>
            </w:r>
          </w:p>
          <w:p>
            <w:pPr>
              <w:adjustRightInd w:val="0"/>
              <w:snapToGrid w:val="0"/>
              <w:jc w:val="center"/>
              <w:rPr>
                <w:rFonts w:ascii="t" w:hAnsi="t"/>
                <w:b/>
                <w:color w:val="000000" w:themeColor="text1"/>
                <w:szCs w:val="21"/>
              </w:rPr>
            </w:pPr>
            <w:r>
              <w:rPr>
                <w:rFonts w:ascii="t" w:hAnsi="t"/>
                <w:b/>
                <w:color w:val="000000" w:themeColor="text1"/>
                <w:szCs w:val="21"/>
              </w:rPr>
              <w:t>染物</w:t>
            </w:r>
          </w:p>
        </w:tc>
        <w:tc>
          <w:tcPr>
            <w:tcW w:w="1076" w:type="dxa"/>
            <w:vMerge w:val="restart"/>
            <w:vAlign w:val="center"/>
          </w:tcPr>
          <w:p>
            <w:pPr>
              <w:adjustRightInd w:val="0"/>
              <w:snapToGrid w:val="0"/>
              <w:jc w:val="center"/>
              <w:rPr>
                <w:rFonts w:ascii="t" w:hAnsi="t"/>
                <w:color w:val="000000" w:themeColor="text1"/>
                <w:szCs w:val="21"/>
              </w:rPr>
            </w:pPr>
            <w:r>
              <w:rPr>
                <w:rFonts w:ascii="t" w:hAnsi="t"/>
                <w:color w:val="000000" w:themeColor="text1"/>
                <w:szCs w:val="21"/>
              </w:rPr>
              <w:t>施工期</w:t>
            </w:r>
          </w:p>
        </w:tc>
        <w:tc>
          <w:tcPr>
            <w:tcW w:w="2048" w:type="dxa"/>
            <w:vAlign w:val="center"/>
          </w:tcPr>
          <w:p>
            <w:pPr>
              <w:jc w:val="center"/>
              <w:rPr>
                <w:rFonts w:cs="Times New Roman"/>
              </w:rPr>
            </w:pPr>
            <w:r>
              <w:rPr>
                <w:rFonts w:ascii="Times New Roman" w:hAnsi="Times New Roman" w:eastAsia="宋体" w:cs="Times New Roman"/>
              </w:rPr>
              <w:t>生活污水</w:t>
            </w:r>
          </w:p>
        </w:tc>
        <w:tc>
          <w:tcPr>
            <w:tcW w:w="2467" w:type="dxa"/>
            <w:gridSpan w:val="2"/>
            <w:tcBorders>
              <w:bottom w:val="single" w:color="auto" w:sz="4" w:space="0"/>
            </w:tcBorders>
            <w:vAlign w:val="center"/>
          </w:tcPr>
          <w:p>
            <w:pPr>
              <w:jc w:val="center"/>
              <w:rPr>
                <w:rFonts w:cs="Times New Roman"/>
                <w:szCs w:val="21"/>
              </w:rPr>
            </w:pPr>
            <w:r>
              <w:rPr>
                <w:rFonts w:hint="eastAsia"/>
                <w:szCs w:val="21"/>
              </w:rPr>
              <w:t>产生量2.0m</w:t>
            </w:r>
            <w:r>
              <w:rPr>
                <w:rFonts w:hint="eastAsia"/>
                <w:szCs w:val="21"/>
                <w:vertAlign w:val="superscript"/>
              </w:rPr>
              <w:t>3</w:t>
            </w:r>
            <w:r>
              <w:rPr>
                <w:rFonts w:hint="eastAsia"/>
                <w:szCs w:val="21"/>
              </w:rPr>
              <w:t>/d，主要污染物为 BOD、COD</w:t>
            </w:r>
            <w:r>
              <w:rPr>
                <w:rFonts w:hint="eastAsia"/>
                <w:szCs w:val="21"/>
                <w:lang w:val="en-US" w:eastAsia="zh-CN"/>
              </w:rPr>
              <w:t>cr</w:t>
            </w:r>
            <w:r>
              <w:rPr>
                <w:rFonts w:hint="eastAsia"/>
                <w:szCs w:val="21"/>
              </w:rPr>
              <w:t>，浓度分别为 200mg/L 和 400mg/L。</w:t>
            </w:r>
          </w:p>
        </w:tc>
        <w:tc>
          <w:tcPr>
            <w:tcW w:w="2366" w:type="dxa"/>
            <w:tcBorders>
              <w:bottom w:val="single" w:color="auto" w:sz="4" w:space="0"/>
            </w:tcBorders>
            <w:vAlign w:val="center"/>
          </w:tcPr>
          <w:p>
            <w:pPr>
              <w:jc w:val="center"/>
              <w:rPr>
                <w:rFonts w:cs="Times New Roman"/>
                <w:szCs w:val="21"/>
              </w:rPr>
            </w:pPr>
            <w:r>
              <w:rPr>
                <w:rFonts w:hint="eastAsia"/>
                <w:szCs w:val="21"/>
              </w:rPr>
              <w:t>排放量2.0m</w:t>
            </w:r>
            <w:r>
              <w:rPr>
                <w:rFonts w:hint="eastAsia"/>
                <w:szCs w:val="21"/>
                <w:vertAlign w:val="superscript"/>
              </w:rPr>
              <w:t>3</w:t>
            </w:r>
            <w:r>
              <w:rPr>
                <w:rFonts w:hint="eastAsia"/>
                <w:szCs w:val="21"/>
              </w:rPr>
              <w:t>/d，主要污染物为 BOD、COD</w:t>
            </w:r>
            <w:r>
              <w:rPr>
                <w:rFonts w:hint="eastAsia"/>
                <w:szCs w:val="21"/>
                <w:lang w:val="en-US" w:eastAsia="zh-CN"/>
              </w:rPr>
              <w:t>cr</w:t>
            </w:r>
            <w:r>
              <w:rPr>
                <w:rFonts w:hint="eastAsia"/>
                <w:szCs w:val="21"/>
              </w:rPr>
              <w:t>，浓度分别为 200mg/L 和 400mg/L。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000000" w:themeColor="text1"/>
                <w:szCs w:val="21"/>
              </w:rPr>
            </w:pPr>
          </w:p>
        </w:tc>
        <w:tc>
          <w:tcPr>
            <w:tcW w:w="1076" w:type="dxa"/>
            <w:vMerge w:val="continue"/>
            <w:vAlign w:val="center"/>
          </w:tcPr>
          <w:p>
            <w:pPr>
              <w:adjustRightInd w:val="0"/>
              <w:snapToGrid w:val="0"/>
              <w:jc w:val="center"/>
              <w:rPr>
                <w:rFonts w:ascii="t" w:hAnsi="t"/>
                <w:color w:val="000000" w:themeColor="text1"/>
                <w:szCs w:val="21"/>
              </w:rPr>
            </w:pPr>
          </w:p>
        </w:tc>
        <w:tc>
          <w:tcPr>
            <w:tcW w:w="2048" w:type="dxa"/>
            <w:vAlign w:val="center"/>
          </w:tcPr>
          <w:p>
            <w:pPr>
              <w:jc w:val="center"/>
              <w:rPr>
                <w:rFonts w:ascii="Times New Roman" w:hAnsi="Times New Roman" w:eastAsia="宋体" w:cs="Times New Roman"/>
              </w:rPr>
            </w:pPr>
            <w:r>
              <w:rPr>
                <w:rFonts w:hint="eastAsia" w:ascii="Times New Roman" w:hAnsi="Times New Roman" w:eastAsia="宋体" w:cs="Times New Roman"/>
              </w:rPr>
              <w:t>补充设备冲洗废水</w:t>
            </w:r>
          </w:p>
        </w:tc>
        <w:tc>
          <w:tcPr>
            <w:tcW w:w="2467" w:type="dxa"/>
            <w:gridSpan w:val="2"/>
            <w:tcBorders>
              <w:bottom w:val="single" w:color="auto" w:sz="4" w:space="0"/>
            </w:tcBorders>
            <w:vAlign w:val="center"/>
          </w:tcPr>
          <w:p>
            <w:pPr>
              <w:jc w:val="center"/>
              <w:rPr>
                <w:rFonts w:hint="eastAsia"/>
                <w:szCs w:val="21"/>
              </w:rPr>
            </w:pPr>
            <w:r>
              <w:rPr>
                <w:rFonts w:hint="eastAsia"/>
                <w:szCs w:val="21"/>
              </w:rPr>
              <w:t>主要污染因子SS，浓度约为200mg/L</w:t>
            </w:r>
          </w:p>
        </w:tc>
        <w:tc>
          <w:tcPr>
            <w:tcW w:w="2366" w:type="dxa"/>
            <w:tcBorders>
              <w:bottom w:val="single" w:color="auto" w:sz="4" w:space="0"/>
            </w:tcBorders>
            <w:vAlign w:val="center"/>
          </w:tcPr>
          <w:p>
            <w:pPr>
              <w:jc w:val="center"/>
              <w:rPr>
                <w:rFonts w:hint="eastAsia"/>
                <w:szCs w:val="21"/>
              </w:rPr>
            </w:pPr>
            <w:r>
              <w:rPr>
                <w:rFonts w:hint="eastAsia"/>
                <w:szCs w:val="21"/>
              </w:rPr>
              <w:t>用于蓄水池池子养护，最后清理用于浇灌周边农田，不直接外排入河流。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000000" w:themeColor="text1"/>
                <w:szCs w:val="21"/>
              </w:rPr>
            </w:pPr>
          </w:p>
        </w:tc>
        <w:tc>
          <w:tcPr>
            <w:tcW w:w="1076" w:type="dxa"/>
            <w:vMerge w:val="continue"/>
            <w:vAlign w:val="center"/>
          </w:tcPr>
          <w:p>
            <w:pPr>
              <w:adjustRightInd w:val="0"/>
              <w:snapToGrid w:val="0"/>
              <w:jc w:val="center"/>
              <w:rPr>
                <w:rFonts w:ascii="t" w:hAnsi="t"/>
                <w:color w:val="000000" w:themeColor="text1"/>
                <w:szCs w:val="21"/>
              </w:rPr>
            </w:pPr>
          </w:p>
        </w:tc>
        <w:tc>
          <w:tcPr>
            <w:tcW w:w="2048" w:type="dxa"/>
            <w:vAlign w:val="center"/>
          </w:tcPr>
          <w:p>
            <w:pPr>
              <w:jc w:val="center"/>
              <w:rPr>
                <w:rFonts w:ascii="Times New Roman" w:hAnsi="Times New Roman" w:eastAsia="宋体" w:cs="Times New Roman"/>
              </w:rPr>
            </w:pPr>
            <w:r>
              <w:rPr>
                <w:rFonts w:hint="eastAsia" w:ascii="Times New Roman" w:hAnsi="Times New Roman" w:eastAsia="宋体" w:cs="Times New Roman"/>
              </w:rPr>
              <w:t>管道冲洗、试压废水</w:t>
            </w:r>
          </w:p>
        </w:tc>
        <w:tc>
          <w:tcPr>
            <w:tcW w:w="2467" w:type="dxa"/>
            <w:gridSpan w:val="2"/>
            <w:tcBorders>
              <w:bottom w:val="single" w:color="auto" w:sz="4" w:space="0"/>
              <w:right w:val="single" w:color="auto" w:sz="4" w:space="0"/>
            </w:tcBorders>
            <w:vAlign w:val="center"/>
          </w:tcPr>
          <w:p>
            <w:pPr>
              <w:snapToGrid w:val="0"/>
              <w:jc w:val="center"/>
              <w:rPr>
                <w:szCs w:val="21"/>
              </w:rPr>
            </w:pPr>
            <w:r>
              <w:rPr>
                <w:rFonts w:hint="eastAsia"/>
                <w:szCs w:val="21"/>
              </w:rPr>
              <w:t>产生量26.8m</w:t>
            </w:r>
            <w:r>
              <w:rPr>
                <w:rFonts w:hint="eastAsia"/>
                <w:szCs w:val="21"/>
                <w:vertAlign w:val="superscript"/>
              </w:rPr>
              <w:t>3</w:t>
            </w:r>
            <w:r>
              <w:rPr>
                <w:rFonts w:hint="eastAsia"/>
                <w:szCs w:val="21"/>
              </w:rPr>
              <w:t>，主要污染因子SS，浓度约为200mg/L</w:t>
            </w:r>
          </w:p>
        </w:tc>
        <w:tc>
          <w:tcPr>
            <w:tcW w:w="2366" w:type="dxa"/>
            <w:tcBorders>
              <w:left w:val="single" w:color="auto" w:sz="4" w:space="0"/>
            </w:tcBorders>
            <w:vAlign w:val="center"/>
          </w:tcPr>
          <w:p>
            <w:pPr>
              <w:snapToGrid w:val="0"/>
              <w:jc w:val="center"/>
              <w:rPr>
                <w:szCs w:val="21"/>
              </w:rPr>
            </w:pPr>
            <w:r>
              <w:rPr>
                <w:rFonts w:hint="eastAsia"/>
                <w:szCs w:val="21"/>
              </w:rPr>
              <w:t>用于蓄水池池子养护，最后清理用于浇灌周边农田，不直接外排入河流。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restart"/>
            <w:vAlign w:val="center"/>
          </w:tcPr>
          <w:p>
            <w:pPr>
              <w:adjustRightInd w:val="0"/>
              <w:snapToGrid w:val="0"/>
              <w:jc w:val="center"/>
              <w:rPr>
                <w:rFonts w:ascii="t" w:hAnsi="t"/>
                <w:b/>
                <w:color w:val="000000" w:themeColor="text1"/>
                <w:szCs w:val="21"/>
              </w:rPr>
            </w:pPr>
            <w:r>
              <w:rPr>
                <w:rFonts w:ascii="t" w:hAnsi="t"/>
                <w:b/>
                <w:color w:val="000000" w:themeColor="text1"/>
                <w:szCs w:val="21"/>
              </w:rPr>
              <w:t>固体废弃物</w:t>
            </w:r>
          </w:p>
        </w:tc>
        <w:tc>
          <w:tcPr>
            <w:tcW w:w="1076" w:type="dxa"/>
            <w:vMerge w:val="restart"/>
            <w:vAlign w:val="center"/>
          </w:tcPr>
          <w:p>
            <w:pPr>
              <w:snapToGrid w:val="0"/>
              <w:jc w:val="center"/>
              <w:rPr>
                <w:szCs w:val="21"/>
              </w:rPr>
            </w:pPr>
            <w:r>
              <w:rPr>
                <w:rFonts w:hint="eastAsia" w:ascii="t" w:hAnsi="t"/>
                <w:color w:val="000000" w:themeColor="text1"/>
                <w:szCs w:val="21"/>
              </w:rPr>
              <w:t>施工期</w:t>
            </w:r>
          </w:p>
        </w:tc>
        <w:tc>
          <w:tcPr>
            <w:tcW w:w="2048" w:type="dxa"/>
            <w:vAlign w:val="center"/>
          </w:tcPr>
          <w:p>
            <w:pPr>
              <w:jc w:val="center"/>
              <w:rPr>
                <w:rFonts w:cs="Times New Roman"/>
              </w:rPr>
            </w:pPr>
            <w:r>
              <w:rPr>
                <w:rFonts w:ascii="Times New Roman" w:hAnsi="Times New Roman" w:eastAsia="宋体" w:cs="Times New Roman"/>
              </w:rPr>
              <w:t>开挖弃渣</w:t>
            </w:r>
          </w:p>
        </w:tc>
        <w:tc>
          <w:tcPr>
            <w:tcW w:w="2467" w:type="dxa"/>
            <w:gridSpan w:val="2"/>
            <w:vAlign w:val="center"/>
          </w:tcPr>
          <w:p>
            <w:pPr>
              <w:jc w:val="center"/>
              <w:rPr>
                <w:rFonts w:cs="Times New Roman"/>
                <w:szCs w:val="21"/>
              </w:rPr>
            </w:pPr>
            <w:r>
              <w:rPr>
                <w:rFonts w:hint="eastAsia"/>
                <w:szCs w:val="21"/>
              </w:rPr>
              <w:t>746.6m³（自然方）</w:t>
            </w:r>
          </w:p>
        </w:tc>
        <w:tc>
          <w:tcPr>
            <w:tcW w:w="2366" w:type="dxa"/>
            <w:tcBorders>
              <w:bottom w:val="single" w:color="auto" w:sz="6" w:space="0"/>
            </w:tcBorders>
            <w:vAlign w:val="center"/>
          </w:tcPr>
          <w:p>
            <w:pPr>
              <w:snapToGrid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000000" w:themeColor="text1"/>
                <w:szCs w:val="21"/>
              </w:rPr>
            </w:pPr>
          </w:p>
        </w:tc>
        <w:tc>
          <w:tcPr>
            <w:tcW w:w="1076" w:type="dxa"/>
            <w:vMerge w:val="continue"/>
            <w:vAlign w:val="center"/>
          </w:tcPr>
          <w:p>
            <w:pPr>
              <w:adjustRightInd w:val="0"/>
              <w:snapToGrid w:val="0"/>
              <w:spacing w:line="240" w:lineRule="atLeast"/>
              <w:jc w:val="center"/>
              <w:rPr>
                <w:bCs/>
              </w:rPr>
            </w:pPr>
          </w:p>
        </w:tc>
        <w:tc>
          <w:tcPr>
            <w:tcW w:w="2048" w:type="dxa"/>
            <w:vAlign w:val="center"/>
          </w:tcPr>
          <w:p>
            <w:pPr>
              <w:jc w:val="center"/>
              <w:rPr>
                <w:rFonts w:cs="Times New Roman"/>
              </w:rPr>
            </w:pPr>
            <w:r>
              <w:rPr>
                <w:rFonts w:ascii="Times New Roman" w:hAnsi="Times New Roman" w:eastAsia="宋体" w:cs="Times New Roman"/>
              </w:rPr>
              <w:t>生活垃圾</w:t>
            </w:r>
          </w:p>
        </w:tc>
        <w:tc>
          <w:tcPr>
            <w:tcW w:w="2467" w:type="dxa"/>
            <w:gridSpan w:val="2"/>
            <w:vAlign w:val="center"/>
          </w:tcPr>
          <w:p>
            <w:pPr>
              <w:jc w:val="center"/>
              <w:rPr>
                <w:rFonts w:cs="Times New Roman"/>
              </w:rPr>
            </w:pPr>
            <w:r>
              <w:rPr>
                <w:rFonts w:hint="eastAsia" w:cs="Times New Roman"/>
              </w:rPr>
              <w:t>产生量约为25kg/d</w:t>
            </w:r>
          </w:p>
        </w:tc>
        <w:tc>
          <w:tcPr>
            <w:tcW w:w="2366" w:type="dxa"/>
            <w:tcBorders>
              <w:top w:val="single" w:color="auto" w:sz="6" w:space="0"/>
            </w:tcBorders>
            <w:vAlign w:val="center"/>
          </w:tcPr>
          <w:p>
            <w:pPr>
              <w:adjustRightInd w:val="0"/>
              <w:snapToGrid w:val="0"/>
              <w:spacing w:line="240" w:lineRule="atLeast"/>
              <w:jc w:val="center"/>
              <w:rPr>
                <w:bCs/>
              </w:rPr>
            </w:pPr>
            <w:r>
              <w:rPr>
                <w:rFonts w:hint="eastAsia"/>
                <w:bCs/>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000000" w:themeColor="text1"/>
                <w:szCs w:val="21"/>
              </w:rPr>
            </w:pPr>
          </w:p>
        </w:tc>
        <w:tc>
          <w:tcPr>
            <w:tcW w:w="1076" w:type="dxa"/>
            <w:vAlign w:val="center"/>
          </w:tcPr>
          <w:p>
            <w:pPr>
              <w:jc w:val="center"/>
              <w:rPr>
                <w:rFonts w:cs="Times New Roman"/>
              </w:rPr>
            </w:pPr>
            <w:r>
              <w:rPr>
                <w:rFonts w:ascii="Times New Roman" w:hAnsi="Times New Roman" w:eastAsia="宋体" w:cs="Times New Roman"/>
              </w:rPr>
              <w:t>营运期</w:t>
            </w:r>
          </w:p>
        </w:tc>
        <w:tc>
          <w:tcPr>
            <w:tcW w:w="2048" w:type="dxa"/>
            <w:vAlign w:val="center"/>
          </w:tcPr>
          <w:p>
            <w:pPr>
              <w:jc w:val="center"/>
              <w:rPr>
                <w:rFonts w:eastAsia="宋体" w:cs="Times New Roman"/>
              </w:rPr>
            </w:pPr>
            <w:r>
              <w:rPr>
                <w:rFonts w:ascii="Times New Roman" w:hAnsi="Times New Roman" w:eastAsia="宋体" w:cs="Times New Roman"/>
              </w:rPr>
              <w:t>沉淀池</w:t>
            </w:r>
            <w:r>
              <w:rPr>
                <w:rFonts w:hint="eastAsia" w:ascii="Times New Roman" w:hAnsi="Times New Roman" w:eastAsia="宋体" w:cs="Times New Roman"/>
              </w:rPr>
              <w:t>浮渣及底泥</w:t>
            </w:r>
          </w:p>
        </w:tc>
        <w:tc>
          <w:tcPr>
            <w:tcW w:w="2467" w:type="dxa"/>
            <w:gridSpan w:val="2"/>
            <w:vAlign w:val="center"/>
          </w:tcPr>
          <w:p>
            <w:pPr>
              <w:jc w:val="center"/>
              <w:rPr>
                <w:rFonts w:cs="Times New Roman"/>
              </w:rPr>
            </w:pPr>
            <w:r>
              <w:rPr>
                <w:rFonts w:hint="eastAsia" w:cs="Times New Roman"/>
              </w:rPr>
              <w:t>清掏量每次约为0.5t/a</w:t>
            </w:r>
          </w:p>
        </w:tc>
        <w:tc>
          <w:tcPr>
            <w:tcW w:w="2366" w:type="dxa"/>
            <w:vAlign w:val="center"/>
          </w:tcPr>
          <w:p>
            <w:pPr>
              <w:jc w:val="center"/>
              <w:rPr>
                <w:rFonts w:cs="Times New Roman"/>
              </w:rPr>
            </w:pPr>
            <w:r>
              <w:rPr>
                <w:rFonts w:hint="eastAsia" w:cs="Times New Roma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Align w:val="center"/>
          </w:tcPr>
          <w:p>
            <w:pPr>
              <w:snapToGrid w:val="0"/>
              <w:jc w:val="center"/>
              <w:rPr>
                <w:b/>
                <w:szCs w:val="21"/>
              </w:rPr>
            </w:pPr>
            <w:r>
              <w:rPr>
                <w:b/>
                <w:szCs w:val="21"/>
              </w:rPr>
              <w:t>噪声</w:t>
            </w:r>
          </w:p>
        </w:tc>
        <w:tc>
          <w:tcPr>
            <w:tcW w:w="1076" w:type="dxa"/>
            <w:vAlign w:val="center"/>
          </w:tcPr>
          <w:p>
            <w:pPr>
              <w:snapToGrid w:val="0"/>
              <w:jc w:val="center"/>
              <w:rPr>
                <w:szCs w:val="21"/>
              </w:rPr>
            </w:pPr>
            <w:r>
              <w:rPr>
                <w:szCs w:val="21"/>
              </w:rPr>
              <w:t>施工期</w:t>
            </w:r>
          </w:p>
        </w:tc>
        <w:tc>
          <w:tcPr>
            <w:tcW w:w="2060" w:type="dxa"/>
            <w:gridSpan w:val="2"/>
            <w:tcBorders>
              <w:right w:val="single" w:color="000000" w:sz="6" w:space="0"/>
            </w:tcBorders>
            <w:vAlign w:val="center"/>
          </w:tcPr>
          <w:p>
            <w:pPr>
              <w:snapToGrid w:val="0"/>
              <w:jc w:val="center"/>
              <w:rPr>
                <w:szCs w:val="21"/>
              </w:rPr>
            </w:pPr>
            <w:r>
              <w:rPr>
                <w:rFonts w:hint="eastAsia"/>
                <w:szCs w:val="21"/>
              </w:rPr>
              <w:t>施工机械及运输车辆噪声</w:t>
            </w:r>
          </w:p>
        </w:tc>
        <w:tc>
          <w:tcPr>
            <w:tcW w:w="2460" w:type="dxa"/>
            <w:tcBorders>
              <w:left w:val="single" w:color="000000" w:sz="6" w:space="0"/>
              <w:right w:val="single" w:color="000000" w:sz="6" w:space="0"/>
            </w:tcBorders>
            <w:vAlign w:val="center"/>
          </w:tcPr>
          <w:p>
            <w:pPr>
              <w:pStyle w:val="311"/>
              <w:spacing w:line="262" w:lineRule="exact"/>
              <w:ind w:right="2"/>
              <w:jc w:val="center"/>
              <w:rPr>
                <w:rFonts w:ascii="宋体" w:hAnsi="宋体" w:eastAsia="宋体" w:cs="宋体"/>
                <w:sz w:val="21"/>
                <w:szCs w:val="21"/>
              </w:rPr>
            </w:pPr>
            <w:r>
              <w:rPr>
                <w:rFonts w:ascii="宋体" w:hAnsi="宋体" w:eastAsia="宋体" w:cs="宋体"/>
                <w:sz w:val="21"/>
                <w:szCs w:val="21"/>
              </w:rPr>
              <w:t>噪声源强在</w:t>
            </w:r>
          </w:p>
          <w:p>
            <w:pPr>
              <w:pStyle w:val="311"/>
              <w:spacing w:before="84"/>
              <w:ind w:right="2"/>
              <w:jc w:val="center"/>
              <w:rPr>
                <w:rFonts w:ascii="Times New Roman" w:hAnsi="Times New Roman" w:eastAsia="Times New Roman" w:cs="Times New Roman"/>
                <w:sz w:val="21"/>
                <w:szCs w:val="21"/>
              </w:rPr>
            </w:pPr>
            <w:r>
              <w:rPr>
                <w:rFonts w:hint="eastAsia" w:ascii="Times New Roman"/>
                <w:sz w:val="21"/>
                <w:lang w:eastAsia="zh-CN"/>
              </w:rPr>
              <w:t>80</w:t>
            </w:r>
            <w:r>
              <w:rPr>
                <w:rFonts w:ascii="Times New Roman"/>
                <w:sz w:val="21"/>
              </w:rPr>
              <w:t>~90dB(A)</w:t>
            </w:r>
          </w:p>
          <w:p>
            <w:pPr>
              <w:snapToGrid w:val="0"/>
              <w:jc w:val="center"/>
              <w:rPr>
                <w:rFonts w:ascii="Times New Roman" w:hAnsi="Times New Roman" w:eastAsia="宋体" w:cs="Times New Roman"/>
              </w:rPr>
            </w:pPr>
            <w:r>
              <w:rPr>
                <w:rFonts w:ascii="宋体" w:hAnsi="宋体" w:eastAsia="宋体" w:cs="宋体"/>
                <w:szCs w:val="21"/>
              </w:rPr>
              <w:t>之间</w:t>
            </w:r>
          </w:p>
        </w:tc>
        <w:tc>
          <w:tcPr>
            <w:tcW w:w="2361" w:type="dxa"/>
            <w:tcBorders>
              <w:left w:val="single" w:color="000000" w:sz="6" w:space="0"/>
            </w:tcBorders>
            <w:vAlign w:val="center"/>
          </w:tcPr>
          <w:p>
            <w:pPr>
              <w:pStyle w:val="311"/>
              <w:spacing w:before="84"/>
              <w:ind w:right="2"/>
              <w:jc w:val="center"/>
              <w:rPr>
                <w:rFonts w:ascii="Times New Roman" w:hAnsi="Times New Roman" w:eastAsia="Times New Roman" w:cs="Times New Roman"/>
                <w:sz w:val="21"/>
                <w:szCs w:val="21"/>
              </w:rPr>
            </w:pPr>
            <w:r>
              <w:rPr>
                <w:rFonts w:hint="eastAsia" w:ascii="Times New Roman" w:hAnsi="Times New Roman" w:eastAsia="宋体" w:cs="Times New Roman"/>
                <w:lang w:eastAsia="zh-CN"/>
              </w:rPr>
              <w:t>60-70</w:t>
            </w:r>
            <w:r>
              <w:rPr>
                <w:rFonts w:ascii="Times New Roman"/>
                <w:sz w:val="21"/>
              </w:rPr>
              <w:t>dB(A)</w:t>
            </w:r>
          </w:p>
          <w:p>
            <w:pPr>
              <w:snapToGrid w:val="0"/>
              <w:jc w:val="center"/>
              <w:rPr>
                <w:rFonts w:ascii="Times New Roman" w:hAnsi="Times New Roman" w:eastAsia="宋体" w:cs="Times New Roman"/>
              </w:rPr>
            </w:pPr>
            <w:r>
              <w:rPr>
                <w:rFonts w:ascii="宋体" w:hAnsi="宋体" w:eastAsia="宋体" w:cs="宋体"/>
                <w:szCs w:val="21"/>
              </w:rPr>
              <w:t>之间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3" w:hRule="atLeast"/>
          <w:jc w:val="center"/>
        </w:trPr>
        <w:tc>
          <w:tcPr>
            <w:tcW w:w="8946" w:type="dxa"/>
            <w:gridSpan w:val="6"/>
          </w:tcPr>
          <w:p>
            <w:pPr>
              <w:adjustRightInd w:val="0"/>
              <w:snapToGrid w:val="0"/>
              <w:spacing w:line="360" w:lineRule="auto"/>
              <w:rPr>
                <w:sz w:val="24"/>
                <w:szCs w:val="24"/>
              </w:rPr>
            </w:pPr>
            <w:r>
              <w:rPr>
                <w:sz w:val="24"/>
                <w:szCs w:val="24"/>
              </w:rPr>
              <w:t>主要生态影响</w:t>
            </w:r>
          </w:p>
          <w:p>
            <w:pPr>
              <w:tabs>
                <w:tab w:val="left" w:pos="-108"/>
                <w:tab w:val="left" w:pos="0"/>
              </w:tabs>
              <w:adjustRightInd w:val="0"/>
              <w:snapToGrid w:val="0"/>
              <w:spacing w:line="360" w:lineRule="auto"/>
              <w:ind w:firstLine="480" w:firstLineChars="200"/>
              <w:rPr>
                <w:sz w:val="24"/>
                <w:szCs w:val="24"/>
              </w:rPr>
            </w:pPr>
            <w:r>
              <w:rPr>
                <w:sz w:val="24"/>
                <w:szCs w:val="24"/>
              </w:rPr>
              <w:t>本项目对生态环境的影响主要是施工阶段，主要影响是由于水池开挖造成土壤结构改变，以及土石方工程等产生的水土流失，此影响为暂时性影响，应进行严格管理，最大程度地避免。施工后期及时恢复施工迹地和按照设计与环保要求实施场区绿化工程，改善当地生态环境质量。</w:t>
            </w:r>
          </w:p>
          <w:p>
            <w:pPr>
              <w:tabs>
                <w:tab w:val="left" w:pos="-108"/>
                <w:tab w:val="left" w:pos="0"/>
              </w:tabs>
              <w:adjustRightInd w:val="0"/>
              <w:snapToGrid w:val="0"/>
              <w:spacing w:line="360" w:lineRule="auto"/>
              <w:ind w:firstLine="420" w:firstLineChars="200"/>
            </w:pPr>
          </w:p>
          <w:p>
            <w:pPr>
              <w:tabs>
                <w:tab w:val="left" w:pos="-108"/>
                <w:tab w:val="left" w:pos="0"/>
              </w:tabs>
              <w:adjustRightInd w:val="0"/>
              <w:snapToGrid w:val="0"/>
              <w:spacing w:line="360" w:lineRule="auto"/>
              <w:ind w:firstLine="420" w:firstLineChars="200"/>
            </w:pPr>
          </w:p>
          <w:p>
            <w:pPr>
              <w:tabs>
                <w:tab w:val="left" w:pos="-108"/>
                <w:tab w:val="left" w:pos="0"/>
              </w:tabs>
              <w:adjustRightInd w:val="0"/>
              <w:snapToGrid w:val="0"/>
              <w:spacing w:line="360" w:lineRule="auto"/>
              <w:ind w:firstLine="420" w:firstLineChars="200"/>
            </w:pPr>
          </w:p>
          <w:p>
            <w:pPr>
              <w:pStyle w:val="2"/>
            </w:pPr>
          </w:p>
          <w:p>
            <w:pPr>
              <w:pStyle w:val="3"/>
              <w:rPr>
                <w:lang w:eastAsia="zh-CN"/>
              </w:rPr>
            </w:pPr>
          </w:p>
          <w:p>
            <w:pPr>
              <w:pStyle w:val="2"/>
              <w:spacing w:line="360" w:lineRule="auto"/>
              <w:ind w:firstLine="480"/>
            </w:pPr>
          </w:p>
          <w:p>
            <w:pPr>
              <w:pStyle w:val="4"/>
              <w:ind w:left="0" w:leftChars="0" w:firstLine="0" w:firstLineChars="0"/>
              <w:rPr>
                <w:rFonts w:ascii="t" w:hAnsi="t"/>
                <w:color w:val="000000" w:themeColor="text1"/>
                <w:szCs w:val="21"/>
              </w:rPr>
            </w:pPr>
          </w:p>
        </w:tc>
      </w:tr>
    </w:tbl>
    <w:p>
      <w:pPr>
        <w:tabs>
          <w:tab w:val="left" w:pos="5760"/>
        </w:tabs>
        <w:adjustRightInd w:val="0"/>
        <w:snapToGrid w:val="0"/>
        <w:spacing w:before="156" w:beforeLines="50"/>
        <w:outlineLvl w:val="0"/>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环境影响分析</w:t>
      </w:r>
      <w:r>
        <w:rPr>
          <w:rFonts w:hint="eastAsia" w:ascii="Times New Roman" w:hAnsi="Times New Roman" w:cs="Times New Roman"/>
          <w:b/>
          <w:color w:val="000000" w:themeColor="text1"/>
          <w:sz w:val="30"/>
          <w:szCs w:val="30"/>
        </w:rPr>
        <w:t xml:space="preserve">                                          （</w:t>
      </w:r>
      <w:r>
        <w:rPr>
          <w:rFonts w:hint="eastAsia" w:ascii="Times New Roman" w:hAnsi="Times New Roman" w:cs="Times New Roman"/>
          <w:b/>
          <w:snapToGrid w:val="0"/>
          <w:color w:val="000000" w:themeColor="text1"/>
          <w:kern w:val="0"/>
          <w:sz w:val="30"/>
          <w:szCs w:val="30"/>
        </w:rPr>
        <w:t>表七</w:t>
      </w:r>
      <w:r>
        <w:rPr>
          <w:rFonts w:hint="eastAsia" w:ascii="Times New Roman" w:hAnsi="Times New Roman" w:cs="Times New Roman"/>
          <w:b/>
          <w:color w:val="000000" w:themeColor="text1"/>
          <w:sz w:val="30"/>
          <w:szCs w:val="30"/>
        </w:rPr>
        <w:t>）</w:t>
      </w:r>
    </w:p>
    <w:tbl>
      <w:tblPr>
        <w:tblStyle w:val="51"/>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9" w:hRule="atLeast"/>
          <w:jc w:val="center"/>
        </w:trPr>
        <w:tc>
          <w:tcPr>
            <w:tcW w:w="9504" w:type="dxa"/>
            <w:vAlign w:val="center"/>
          </w:tcPr>
          <w:p>
            <w:pPr>
              <w:widowControl/>
              <w:spacing w:line="360" w:lineRule="auto"/>
              <w:rPr>
                <w:rFonts w:hint="default" w:ascii="Times New Roman" w:hAnsi="Times New Roman" w:cs="Times New Roman" w:eastAsiaTheme="minorEastAsia"/>
                <w:b/>
                <w:bCs/>
                <w:color w:val="000000" w:themeColor="text1"/>
                <w:sz w:val="28"/>
                <w:szCs w:val="28"/>
                <w:lang w:val="en-US" w:eastAsia="zh-CN"/>
              </w:rPr>
            </w:pPr>
            <w:r>
              <w:rPr>
                <w:rFonts w:hint="eastAsia" w:ascii="Times New Roman" w:hAnsi="Times New Roman" w:cs="Times New Roman"/>
                <w:b/>
                <w:bCs/>
                <w:color w:val="000000" w:themeColor="text1"/>
                <w:sz w:val="28"/>
                <w:szCs w:val="28"/>
                <w:lang w:val="en-US" w:eastAsia="zh-CN"/>
              </w:rPr>
              <w:t>评价等级</w:t>
            </w:r>
          </w:p>
          <w:p>
            <w:pPr>
              <w:widowControl/>
              <w:spacing w:line="360" w:lineRule="auto"/>
              <w:ind w:firstLine="480" w:firstLineChars="200"/>
              <w:rPr>
                <w:rFonts w:hint="eastAsia" w:asciiTheme="minorEastAsia" w:hAnsiTheme="minorEastAsia" w:eastAsiaTheme="minorEastAsia" w:cstheme="minorEastAsia"/>
                <w:b/>
                <w:snapToGrid w:val="0"/>
                <w:color w:val="000000" w:themeColor="text1"/>
                <w:sz w:val="24"/>
              </w:rPr>
            </w:pPr>
            <w:r>
              <w:rPr>
                <w:rFonts w:hint="eastAsia" w:asciiTheme="minorEastAsia" w:hAnsiTheme="minorEastAsia" w:eastAsiaTheme="minorEastAsia" w:cstheme="minorEastAsia"/>
                <w:color w:val="000000" w:themeColor="text1"/>
                <w:sz w:val="24"/>
              </w:rPr>
              <w:t>根据本项目工程特点、建设地区环境特征、按《环境影响评价技术导则》中确定评价等级的原则和方法，确定本项目评价工作等级如表</w:t>
            </w:r>
            <w:r>
              <w:rPr>
                <w:rFonts w:hint="eastAsia" w:asciiTheme="minorEastAsia" w:hAnsiTheme="minorEastAsia" w:cstheme="minorEastAsia"/>
                <w:color w:val="000000" w:themeColor="text1"/>
                <w:sz w:val="24"/>
                <w:lang w:val="en-US" w:eastAsia="zh-CN"/>
              </w:rPr>
              <w:t>7-1</w:t>
            </w:r>
            <w:r>
              <w:rPr>
                <w:rFonts w:hint="eastAsia" w:asciiTheme="minorEastAsia" w:hAnsiTheme="minorEastAsia" w:eastAsiaTheme="minorEastAsia" w:cstheme="minorEastAsia"/>
                <w:color w:val="000000" w:themeColor="text1"/>
                <w:sz w:val="24"/>
              </w:rPr>
              <w:t>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表7-1 评价等级划分</w:t>
            </w:r>
          </w:p>
          <w:tbl>
            <w:tblPr>
              <w:tblStyle w:val="51"/>
              <w:tblW w:w="90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20"/>
              <w:gridCol w:w="976"/>
              <w:gridCol w:w="70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5" w:hRule="exact"/>
                <w:jc w:val="center"/>
              </w:trPr>
              <w:tc>
                <w:tcPr>
                  <w:tcW w:w="102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评价内容</w:t>
                  </w:r>
                </w:p>
              </w:tc>
              <w:tc>
                <w:tcPr>
                  <w:tcW w:w="97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工作等级</w:t>
                  </w:r>
                </w:p>
              </w:tc>
              <w:tc>
                <w:tcPr>
                  <w:tcW w:w="708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根据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6" w:hRule="exact"/>
                <w:jc w:val="center"/>
              </w:trPr>
              <w:tc>
                <w:tcPr>
                  <w:tcW w:w="102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声环境</w:t>
                  </w:r>
                </w:p>
              </w:tc>
              <w:tc>
                <w:tcPr>
                  <w:tcW w:w="97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二级</w:t>
                  </w:r>
                </w:p>
              </w:tc>
              <w:tc>
                <w:tcPr>
                  <w:tcW w:w="708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根据《环境影响评价技术导则——声环境》（HJ 2.4-2009），本项目位于阿</w:t>
                  </w: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坝藏族羌族自治州</w:t>
                  </w:r>
                  <w:r>
                    <w:rPr>
                      <w:rFonts w:hint="eastAsia" w:asciiTheme="minorEastAsia" w:hAnsiTheme="minorEastAsia" w:cstheme="minorEastAsia"/>
                      <w:color w:val="000000" w:themeColor="text1"/>
                      <w:kern w:val="2"/>
                      <w:sz w:val="21"/>
                      <w:szCs w:val="21"/>
                      <w:lang w:val="en-US" w:eastAsia="zh-CN" w:bidi="ar-SA"/>
                    </w:rPr>
                    <w:t>松潘</w:t>
                  </w:r>
                  <w:r>
                    <w:rPr>
                      <w:rFonts w:hint="eastAsia" w:asciiTheme="minorEastAsia" w:hAnsiTheme="minorEastAsia" w:eastAsiaTheme="minorEastAsia" w:cstheme="minorEastAsia"/>
                      <w:color w:val="000000" w:themeColor="text1"/>
                      <w:kern w:val="2"/>
                      <w:sz w:val="21"/>
                      <w:szCs w:val="21"/>
                      <w:lang w:val="en-US" w:eastAsia="zh-CN" w:bidi="ar-SA"/>
                    </w:rPr>
                    <w:t>县，项目区周边</w:t>
                  </w:r>
                  <w:r>
                    <w:rPr>
                      <w:rFonts w:hint="eastAsia" w:asciiTheme="minorEastAsia" w:hAnsiTheme="minorEastAsia" w:cstheme="minorEastAsia"/>
                      <w:color w:val="000000" w:themeColor="text1"/>
                      <w:kern w:val="2"/>
                      <w:sz w:val="21"/>
                      <w:szCs w:val="21"/>
                      <w:lang w:val="en-US" w:eastAsia="zh-CN" w:bidi="ar-SA"/>
                    </w:rPr>
                    <w:t>为农村地区</w:t>
                  </w:r>
                  <w:r>
                    <w:rPr>
                      <w:rFonts w:hint="eastAsia" w:asciiTheme="minorEastAsia" w:hAnsiTheme="minorEastAsia" w:eastAsiaTheme="minorEastAsia" w:cstheme="minorEastAsia"/>
                      <w:color w:val="000000" w:themeColor="text1"/>
                      <w:kern w:val="2"/>
                      <w:sz w:val="21"/>
                      <w:szCs w:val="21"/>
                      <w:lang w:val="en-US" w:eastAsia="zh-CN" w:bidi="ar-SA"/>
                    </w:rPr>
                    <w:t>，为2类声环境功能区。</w:t>
                  </w:r>
                  <w:r>
                    <w:rPr>
                      <w:rFonts w:hint="eastAsia" w:asciiTheme="minorEastAsia" w:hAnsiTheme="minorEastAsia" w:cstheme="minorEastAsia"/>
                      <w:color w:val="000000" w:themeColor="text1"/>
                      <w:kern w:val="2"/>
                      <w:sz w:val="21"/>
                      <w:szCs w:val="21"/>
                      <w:lang w:val="en-US" w:eastAsia="zh-CN" w:bidi="ar-SA"/>
                    </w:rPr>
                    <w:t>评价范围为项目周边200m范围。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51" w:hRule="exact"/>
                <w:jc w:val="center"/>
              </w:trPr>
              <w:tc>
                <w:tcPr>
                  <w:tcW w:w="102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环境空气</w:t>
                  </w:r>
                </w:p>
              </w:tc>
              <w:tc>
                <w:tcPr>
                  <w:tcW w:w="97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三级</w:t>
                  </w:r>
                </w:p>
              </w:tc>
              <w:tc>
                <w:tcPr>
                  <w:tcW w:w="708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根据《环境影响评价技术导则——大气环境》（HJ 2.2-2018），本项目无集中式排放源，项目营运期对环境空气几乎无影响，环境空气影响评价工作等级确定为三级，不需设置大气环境影响评价范围。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70" w:hRule="exact"/>
                <w:jc w:val="center"/>
              </w:trPr>
              <w:tc>
                <w:tcPr>
                  <w:tcW w:w="102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地表水环境</w:t>
                  </w:r>
                </w:p>
              </w:tc>
              <w:tc>
                <w:tcPr>
                  <w:tcW w:w="97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三级</w:t>
                  </w:r>
                </w:p>
              </w:tc>
              <w:tc>
                <w:tcPr>
                  <w:tcW w:w="708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根据《环境影响评价技术导则——地表水环境》（HJ 2.3-2018），本项目属</w:t>
                  </w: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于水文要素影响型，根据业主提供资料可知，项目</w:t>
                  </w:r>
                  <w:r>
                    <w:rPr>
                      <w:rFonts w:hint="eastAsia" w:asciiTheme="minorEastAsia" w:hAnsiTheme="minorEastAsia" w:cstheme="minorEastAsia"/>
                      <w:color w:val="000000" w:themeColor="text1"/>
                      <w:kern w:val="2"/>
                      <w:sz w:val="21"/>
                      <w:szCs w:val="21"/>
                      <w:lang w:val="en-US" w:eastAsia="zh-CN" w:bidi="ar-SA"/>
                    </w:rPr>
                    <w:t>占地面积为14383m</w:t>
                  </w:r>
                  <w:r>
                    <w:rPr>
                      <w:rFonts w:hint="eastAsia" w:asciiTheme="minorEastAsia" w:hAnsiTheme="minorEastAsia" w:cstheme="minorEastAsia"/>
                      <w:color w:val="000000" w:themeColor="text1"/>
                      <w:kern w:val="2"/>
                      <w:sz w:val="21"/>
                      <w:szCs w:val="21"/>
                      <w:vertAlign w:val="superscript"/>
                      <w:lang w:val="en-US" w:eastAsia="zh-CN" w:bidi="ar-SA"/>
                    </w:rPr>
                    <w:t>2</w:t>
                  </w:r>
                  <w:r>
                    <w:rPr>
                      <w:rFonts w:hint="eastAsia" w:asciiTheme="minorEastAsia" w:hAnsiTheme="minorEastAsia" w:eastAsiaTheme="minorEastAsia" w:cstheme="minorEastAsia"/>
                      <w:color w:val="000000" w:themeColor="text1"/>
                      <w:kern w:val="2"/>
                      <w:sz w:val="21"/>
                      <w:szCs w:val="21"/>
                      <w:lang w:val="en-US" w:eastAsia="zh-CN" w:bidi="ar-SA"/>
                    </w:rPr>
                    <w:t>＜0.05km</w:t>
                  </w:r>
                  <w:r>
                    <w:rPr>
                      <w:rFonts w:hint="eastAsia" w:asciiTheme="minorEastAsia" w:hAnsiTheme="minorEastAsia" w:eastAsiaTheme="minorEastAsia" w:cstheme="minorEastAsia"/>
                      <w:color w:val="000000" w:themeColor="text1"/>
                      <w:kern w:val="2"/>
                      <w:sz w:val="21"/>
                      <w:szCs w:val="21"/>
                      <w:vertAlign w:val="superscript"/>
                      <w:lang w:val="en-US" w:eastAsia="zh-CN" w:bidi="ar-SA"/>
                    </w:rPr>
                    <w:t>2</w:t>
                  </w:r>
                  <w:r>
                    <w:rPr>
                      <w:rFonts w:hint="eastAsia" w:asciiTheme="minorEastAsia" w:hAnsiTheme="minorEastAsia" w:eastAsiaTheme="minorEastAsia" w:cstheme="minorEastAsia"/>
                      <w:color w:val="000000" w:themeColor="text1"/>
                      <w:kern w:val="2"/>
                      <w:sz w:val="21"/>
                      <w:szCs w:val="21"/>
                      <w:lang w:val="en-US" w:eastAsia="zh-CN" w:bidi="ar-SA"/>
                    </w:rPr>
                    <w:t>，</w:t>
                  </w:r>
                  <w:r>
                    <w:rPr>
                      <w:rFonts w:hint="eastAsia" w:asciiTheme="minorEastAsia" w:hAnsiTheme="minorEastAsia" w:cstheme="minorEastAsia"/>
                      <w:color w:val="000000" w:themeColor="text1"/>
                      <w:kern w:val="2"/>
                      <w:sz w:val="21"/>
                      <w:szCs w:val="21"/>
                      <w:lang w:val="en-US" w:eastAsia="zh-CN" w:bidi="ar-SA"/>
                    </w:rPr>
                    <w:t>本工程不涉及</w:t>
                  </w:r>
                  <w:r>
                    <w:rPr>
                      <w:rFonts w:hint="eastAsia" w:asciiTheme="minorEastAsia" w:hAnsiTheme="minorEastAsia" w:eastAsiaTheme="minorEastAsia" w:cstheme="minorEastAsia"/>
                      <w:color w:val="000000" w:themeColor="text1"/>
                      <w:kern w:val="2"/>
                      <w:sz w:val="21"/>
                      <w:szCs w:val="21"/>
                      <w:lang w:val="en-US" w:eastAsia="zh-CN" w:bidi="ar-SA"/>
                    </w:rPr>
                    <w:t>扰动水底面积，过水断面宽度占用比例或占用水域面积比例 R=0%＜5%，因此，评价工作等级确定为三级。</w:t>
                  </w:r>
                  <w:r>
                    <w:rPr>
                      <w:rFonts w:hint="eastAsia"/>
                      <w:lang w:val="en-US" w:eastAsia="zh-CN"/>
                    </w:rPr>
                    <w:t>本项目废水不排入地表水体，地表水评价范围为项目占地范围。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58" w:hRule="exact"/>
                <w:jc w:val="center"/>
              </w:trPr>
              <w:tc>
                <w:tcPr>
                  <w:tcW w:w="102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生态环境</w:t>
                  </w:r>
                </w:p>
              </w:tc>
              <w:tc>
                <w:tcPr>
                  <w:tcW w:w="97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三级</w:t>
                  </w:r>
                </w:p>
              </w:tc>
              <w:tc>
                <w:tcPr>
                  <w:tcW w:w="708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根据《环境影响评价技术导则——生态影响》（HJ19-2011），本项目不属于重要湿地，不涉及特殊生态敏感区和重要生态敏感区，为一般区域。本工程总占地面积为</w:t>
                  </w:r>
                  <w:r>
                    <w:rPr>
                      <w:rFonts w:hint="eastAsia" w:asciiTheme="minorEastAsia" w:hAnsiTheme="minorEastAsia" w:cstheme="minorEastAsia"/>
                      <w:color w:val="000000" w:themeColor="text1"/>
                      <w:kern w:val="2"/>
                      <w:sz w:val="21"/>
                      <w:szCs w:val="21"/>
                      <w:lang w:val="en-US" w:eastAsia="zh-CN" w:bidi="ar-SA"/>
                    </w:rPr>
                    <w:t>14383</w:t>
                  </w:r>
                  <w:r>
                    <w:rPr>
                      <w:rFonts w:hint="eastAsia" w:asciiTheme="minorEastAsia" w:hAnsiTheme="minorEastAsia" w:eastAsiaTheme="minorEastAsia" w:cstheme="minorEastAsia"/>
                      <w:color w:val="000000" w:themeColor="text1"/>
                      <w:kern w:val="2"/>
                      <w:sz w:val="21"/>
                      <w:szCs w:val="21"/>
                      <w:lang w:val="en-US" w:eastAsia="zh-CN" w:bidi="ar-SA"/>
                    </w:rPr>
                    <w:t>m</w:t>
                  </w:r>
                  <w:r>
                    <w:rPr>
                      <w:rFonts w:hint="eastAsia" w:asciiTheme="minorEastAsia" w:hAnsiTheme="minorEastAsia" w:eastAsiaTheme="minorEastAsia" w:cstheme="minorEastAsia"/>
                      <w:color w:val="000000" w:themeColor="text1"/>
                      <w:kern w:val="2"/>
                      <w:sz w:val="21"/>
                      <w:szCs w:val="21"/>
                      <w:vertAlign w:val="superscript"/>
                      <w:lang w:val="en-US" w:eastAsia="zh-CN" w:bidi="ar-SA"/>
                    </w:rPr>
                    <w:t>2</w:t>
                  </w:r>
                  <w:r>
                    <w:rPr>
                      <w:rFonts w:hint="eastAsia" w:asciiTheme="minorEastAsia" w:hAnsiTheme="minorEastAsia" w:eastAsiaTheme="minorEastAsia" w:cstheme="minorEastAsia"/>
                      <w:color w:val="000000" w:themeColor="text1"/>
                      <w:kern w:val="2"/>
                      <w:sz w:val="21"/>
                      <w:szCs w:val="21"/>
                      <w:lang w:val="en-US" w:eastAsia="zh-CN" w:bidi="ar-SA"/>
                    </w:rPr>
                    <w:t>＜2km</w:t>
                  </w:r>
                  <w:r>
                    <w:rPr>
                      <w:rFonts w:hint="eastAsia" w:asciiTheme="minorEastAsia" w:hAnsiTheme="minorEastAsia" w:eastAsiaTheme="minorEastAsia" w:cstheme="minorEastAsia"/>
                      <w:color w:val="000000" w:themeColor="text1"/>
                      <w:kern w:val="2"/>
                      <w:sz w:val="21"/>
                      <w:szCs w:val="21"/>
                      <w:vertAlign w:val="superscript"/>
                      <w:lang w:val="en-US" w:eastAsia="zh-CN" w:bidi="ar-SA"/>
                    </w:rPr>
                    <w:t>2</w:t>
                  </w:r>
                  <w:r>
                    <w:rPr>
                      <w:rFonts w:hint="eastAsia" w:asciiTheme="minorEastAsia" w:hAnsiTheme="minorEastAsia" w:eastAsiaTheme="minorEastAsia" w:cstheme="minorEastAsia"/>
                      <w:color w:val="000000" w:themeColor="text1"/>
                      <w:kern w:val="2"/>
                      <w:sz w:val="21"/>
                      <w:szCs w:val="21"/>
                      <w:lang w:val="en-US" w:eastAsia="zh-CN" w:bidi="ar-SA"/>
                    </w:rPr>
                    <w:t>，长度为</w:t>
                  </w:r>
                  <w:r>
                    <w:rPr>
                      <w:rFonts w:hint="eastAsia" w:asciiTheme="minorEastAsia" w:hAnsiTheme="minorEastAsia" w:cstheme="minorEastAsia"/>
                      <w:color w:val="000000" w:themeColor="text1"/>
                      <w:kern w:val="2"/>
                      <w:sz w:val="21"/>
                      <w:szCs w:val="21"/>
                      <w:lang w:val="en-US" w:eastAsia="zh-CN" w:bidi="ar-SA"/>
                    </w:rPr>
                    <w:t>14.35k</w:t>
                  </w:r>
                  <w:r>
                    <w:rPr>
                      <w:rFonts w:hint="eastAsia" w:asciiTheme="minorEastAsia" w:hAnsiTheme="minorEastAsia" w:eastAsiaTheme="minorEastAsia" w:cstheme="minorEastAsia"/>
                      <w:color w:val="000000" w:themeColor="text1"/>
                      <w:kern w:val="2"/>
                      <w:sz w:val="21"/>
                      <w:szCs w:val="21"/>
                      <w:lang w:val="en-US" w:eastAsia="zh-CN" w:bidi="ar-SA"/>
                    </w:rPr>
                    <w:t>m＜50km。因此，生态环境影响评价工作等级确定为三级。</w:t>
                  </w:r>
                  <w:r>
                    <w:rPr>
                      <w:rFonts w:hint="eastAsia" w:asciiTheme="minorEastAsia" w:hAnsiTheme="minorEastAsia" w:cstheme="minorEastAsia"/>
                      <w:color w:val="000000" w:themeColor="text1"/>
                      <w:kern w:val="2"/>
                      <w:sz w:val="21"/>
                      <w:szCs w:val="21"/>
                      <w:lang w:val="en-US" w:eastAsia="zh-CN" w:bidi="ar-SA"/>
                    </w:rPr>
                    <w:t>本项目评价范围为占地范围四周向外外延200m。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4" w:hRule="exact"/>
                <w:jc w:val="center"/>
              </w:trPr>
              <w:tc>
                <w:tcPr>
                  <w:tcW w:w="102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地下水</w:t>
                  </w: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w:t>
                  </w:r>
                </w:p>
              </w:tc>
              <w:tc>
                <w:tcPr>
                  <w:tcW w:w="97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w w:val="99"/>
                      <w:sz w:val="21"/>
                      <w:szCs w:val="21"/>
                    </w:rPr>
                    <w:t>/</w:t>
                  </w:r>
                </w:p>
              </w:tc>
              <w:tc>
                <w:tcPr>
                  <w:tcW w:w="708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根据《环境影响评价技术导则——地下水环境》（HJ 610-2016），本项目</w:t>
                  </w: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为Ⅳ类建设项目，无需进行地下水评价。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58" w:hRule="exact"/>
                <w:jc w:val="center"/>
              </w:trPr>
              <w:tc>
                <w:tcPr>
                  <w:tcW w:w="102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土壤环境</w:t>
                  </w:r>
                </w:p>
              </w:tc>
              <w:tc>
                <w:tcPr>
                  <w:tcW w:w="97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w w:val="99"/>
                      <w:sz w:val="21"/>
                      <w:szCs w:val="21"/>
                    </w:rPr>
                    <w:t>/</w:t>
                  </w:r>
                </w:p>
              </w:tc>
              <w:tc>
                <w:tcPr>
                  <w:tcW w:w="708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根据《环境影响评价技术导则——土壤环境（试行）》（HJ 964-2018），</w:t>
                  </w: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1"/>
                      <w:szCs w:val="21"/>
                      <w:lang w:val="en-US" w:eastAsia="zh-CN" w:bidi="ar-SA"/>
                    </w:rPr>
                  </w:pPr>
                  <w:r>
                    <w:rPr>
                      <w:rFonts w:hint="eastAsia" w:asciiTheme="minorEastAsia" w:hAnsiTheme="minorEastAsia" w:eastAsiaTheme="minorEastAsia" w:cstheme="minorEastAsia"/>
                      <w:color w:val="000000" w:themeColor="text1"/>
                      <w:kern w:val="2"/>
                      <w:sz w:val="21"/>
                      <w:szCs w:val="21"/>
                      <w:lang w:val="en-US" w:eastAsia="zh-CN" w:bidi="ar-SA"/>
                    </w:rPr>
                    <w:t>本项目属于Ⅲ类项目，建设项目永久占地约</w:t>
                  </w:r>
                  <w:r>
                    <w:rPr>
                      <w:rFonts w:hint="eastAsia" w:asciiTheme="minorEastAsia" w:hAnsiTheme="minorEastAsia" w:cstheme="minorEastAsia"/>
                      <w:color w:val="000000" w:themeColor="text1"/>
                      <w:kern w:val="2"/>
                      <w:sz w:val="21"/>
                      <w:szCs w:val="21"/>
                      <w:lang w:val="en-US" w:eastAsia="zh-CN" w:bidi="ar-SA"/>
                    </w:rPr>
                    <w:t>14383</w:t>
                  </w:r>
                  <w:r>
                    <w:rPr>
                      <w:rFonts w:hint="eastAsia" w:asciiTheme="minorEastAsia" w:hAnsiTheme="minorEastAsia" w:eastAsiaTheme="minorEastAsia" w:cstheme="minorEastAsia"/>
                      <w:color w:val="000000" w:themeColor="text1"/>
                      <w:kern w:val="2"/>
                      <w:sz w:val="21"/>
                      <w:szCs w:val="21"/>
                      <w:lang w:val="en-US" w:eastAsia="zh-CN" w:bidi="ar-SA"/>
                    </w:rPr>
                    <w:t>m</w:t>
                  </w:r>
                  <w:r>
                    <w:rPr>
                      <w:rFonts w:hint="eastAsia" w:asciiTheme="minorEastAsia" w:hAnsiTheme="minorEastAsia" w:eastAsiaTheme="minorEastAsia" w:cstheme="minorEastAsia"/>
                      <w:color w:val="000000" w:themeColor="text1"/>
                      <w:kern w:val="2"/>
                      <w:sz w:val="21"/>
                      <w:szCs w:val="21"/>
                      <w:vertAlign w:val="superscript"/>
                      <w:lang w:val="en-US" w:eastAsia="zh-CN" w:bidi="ar-SA"/>
                    </w:rPr>
                    <w:t>2</w:t>
                  </w:r>
                  <w:r>
                    <w:rPr>
                      <w:rFonts w:hint="eastAsia" w:asciiTheme="minorEastAsia" w:hAnsiTheme="minorEastAsia" w:eastAsiaTheme="minorEastAsia" w:cstheme="minorEastAsia"/>
                      <w:color w:val="000000" w:themeColor="text1"/>
                      <w:kern w:val="2"/>
                      <w:sz w:val="21"/>
                      <w:szCs w:val="21"/>
                      <w:lang w:val="en-US" w:eastAsia="zh-CN" w:bidi="ar-SA"/>
                    </w:rPr>
                    <w:t>＜5hm</w:t>
                  </w:r>
                  <w:r>
                    <w:rPr>
                      <w:rFonts w:hint="eastAsia" w:asciiTheme="minorEastAsia" w:hAnsiTheme="minorEastAsia" w:eastAsiaTheme="minorEastAsia" w:cstheme="minorEastAsia"/>
                      <w:color w:val="000000" w:themeColor="text1"/>
                      <w:kern w:val="2"/>
                      <w:sz w:val="21"/>
                      <w:szCs w:val="21"/>
                      <w:vertAlign w:val="superscript"/>
                      <w:lang w:val="en-US" w:eastAsia="zh-CN" w:bidi="ar-SA"/>
                    </w:rPr>
                    <w:t>2</w:t>
                  </w:r>
                  <w:r>
                    <w:rPr>
                      <w:rFonts w:hint="eastAsia" w:asciiTheme="minorEastAsia" w:hAnsiTheme="minorEastAsia" w:eastAsiaTheme="minorEastAsia" w:cstheme="minorEastAsia"/>
                      <w:color w:val="000000" w:themeColor="text1"/>
                      <w:kern w:val="2"/>
                      <w:sz w:val="21"/>
                      <w:szCs w:val="21"/>
                      <w:lang w:val="en-US" w:eastAsia="zh-CN" w:bidi="ar-SA"/>
                    </w:rPr>
                    <w:t>，属于小型占地； 项目所在地干燥度为1.68＜1.8，土壤含盐量为0.13g/kg＜2g/kg，5.5＜pH＜ 8.5；敏感程度为不敏感，可不开展土壤环境影响评价。</w:t>
                  </w:r>
                </w:p>
              </w:tc>
            </w:tr>
          </w:tbl>
          <w:p>
            <w:pPr>
              <w:adjustRightInd w:val="0"/>
              <w:snapToGrid w:val="0"/>
              <w:spacing w:line="360" w:lineRule="auto"/>
              <w:rPr>
                <w:rFonts w:ascii="t" w:hAnsi="t"/>
                <w:b/>
                <w:snapToGrid w:val="0"/>
                <w:color w:val="000000" w:themeColor="text1"/>
                <w:sz w:val="24"/>
              </w:rPr>
            </w:pPr>
          </w:p>
          <w:p>
            <w:pPr>
              <w:adjustRightInd w:val="0"/>
              <w:snapToGrid w:val="0"/>
              <w:spacing w:line="360" w:lineRule="auto"/>
              <w:rPr>
                <w:rFonts w:ascii="t" w:hAnsi="t"/>
                <w:b/>
                <w:snapToGrid w:val="0"/>
                <w:color w:val="000000" w:themeColor="text1"/>
                <w:sz w:val="24"/>
              </w:rPr>
            </w:pPr>
            <w:r>
              <w:rPr>
                <w:rFonts w:ascii="t" w:hAnsi="t"/>
                <w:b/>
                <w:snapToGrid w:val="0"/>
                <w:color w:val="000000" w:themeColor="text1"/>
                <w:sz w:val="24"/>
              </w:rPr>
              <w:t>一、施工期环境影响分析</w:t>
            </w:r>
          </w:p>
          <w:p>
            <w:pPr>
              <w:spacing w:line="360" w:lineRule="auto"/>
              <w:ind w:firstLine="480" w:firstLineChars="200"/>
              <w:rPr>
                <w:rFonts w:cs="Times New Roman"/>
                <w:sz w:val="24"/>
              </w:rPr>
            </w:pPr>
            <w:r>
              <w:rPr>
                <w:rFonts w:ascii="Times New Roman" w:hAnsi="Times New Roman" w:eastAsia="宋体" w:cs="Times New Roman"/>
                <w:sz w:val="24"/>
              </w:rPr>
              <w:t>项目施工期的环境影响主要包括施工废水、废气和噪声对当地地表水、大气环境及声学环境的影响，同时施工期还存在一定的社会环境影响和生态环境影响。本项目主要影响集中在施工期间，且影响随施工期结束而消失。</w:t>
            </w:r>
          </w:p>
          <w:p>
            <w:pPr>
              <w:spacing w:line="360" w:lineRule="auto"/>
              <w:ind w:firstLine="480" w:firstLineChars="200"/>
              <w:rPr>
                <w:rFonts w:cs="Times New Roman"/>
                <w:b/>
                <w:sz w:val="24"/>
              </w:rPr>
            </w:pPr>
            <w:r>
              <w:rPr>
                <w:rFonts w:ascii="Times New Roman" w:hAnsi="Times New Roman" w:eastAsia="宋体" w:cs="Times New Roman"/>
                <w:b/>
                <w:sz w:val="24"/>
              </w:rPr>
              <w:t>（一）大气环境影响分析</w:t>
            </w:r>
          </w:p>
          <w:p>
            <w:pPr>
              <w:spacing w:line="360" w:lineRule="auto"/>
              <w:ind w:firstLine="480" w:firstLineChars="200"/>
              <w:rPr>
                <w:rFonts w:ascii="t" w:hAnsi="t"/>
                <w:snapToGrid w:val="0"/>
                <w:kern w:val="0"/>
                <w:sz w:val="24"/>
              </w:rPr>
            </w:pPr>
            <w:r>
              <w:rPr>
                <w:rFonts w:hint="eastAsia" w:ascii="t" w:hAnsi="t"/>
                <w:snapToGrid w:val="0"/>
                <w:kern w:val="0"/>
                <w:sz w:val="24"/>
              </w:rPr>
              <w:t>1、施工扬尘</w:t>
            </w:r>
          </w:p>
          <w:p>
            <w:pPr>
              <w:spacing w:line="360" w:lineRule="auto"/>
              <w:ind w:firstLine="480" w:firstLineChars="200"/>
              <w:rPr>
                <w:rFonts w:ascii="t" w:hAnsi="t"/>
                <w:snapToGrid w:val="0"/>
                <w:kern w:val="0"/>
                <w:sz w:val="24"/>
              </w:rPr>
            </w:pPr>
            <w:r>
              <w:rPr>
                <w:rFonts w:hint="eastAsia" w:ascii="t" w:hAnsi="t"/>
                <w:snapToGrid w:val="0"/>
                <w:kern w:val="0"/>
                <w:sz w:val="24"/>
              </w:rPr>
              <w:t>施工期中挖填土方和砂石料、平整土地、混凝土搅拌、材料运输、装卸物料等环节都有扬尘产生，其中最主要的是运输车辆道路扬尘和施工作业扬尘。产生的扬尘对周围环境有一定的影响，可导致周围空气中TSP的浓度超标。施工过程中影响最大的是土方挖填和拉运、卸载土石方、水泥料。</w:t>
            </w:r>
          </w:p>
          <w:p>
            <w:pPr>
              <w:spacing w:line="360" w:lineRule="auto"/>
              <w:ind w:firstLine="480" w:firstLineChars="200"/>
              <w:rPr>
                <w:rFonts w:ascii="t" w:hAnsi="t"/>
                <w:snapToGrid w:val="0"/>
                <w:kern w:val="0"/>
                <w:sz w:val="24"/>
              </w:rPr>
            </w:pPr>
            <w:r>
              <w:rPr>
                <w:rFonts w:hint="eastAsia" w:ascii="t" w:hAnsi="t"/>
                <w:snapToGrid w:val="0"/>
                <w:kern w:val="0"/>
                <w:sz w:val="24"/>
              </w:rPr>
              <w:t>由施工现场管理经验可知，施工期扬尘污染的程度，与施工现场条件、管理水平、机械化程度以及气象条件等诸多因素有关。有关单位对建筑施工工地的扬尘进行了实地监测，相关数据见下表。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表7-1  建筑施工工地扬尘监测结果  单位：mg/m3</w:t>
            </w:r>
          </w:p>
          <w:tbl>
            <w:tblPr>
              <w:tblStyle w:val="51"/>
              <w:tblW w:w="9072" w:type="dxa"/>
              <w:tblInd w:w="223" w:type="dxa"/>
              <w:tblLayout w:type="fixed"/>
              <w:tblCellMar>
                <w:top w:w="0" w:type="dxa"/>
                <w:left w:w="0" w:type="dxa"/>
                <w:bottom w:w="0" w:type="dxa"/>
                <w:right w:w="0" w:type="dxa"/>
              </w:tblCellMar>
            </w:tblPr>
            <w:tblGrid>
              <w:gridCol w:w="1081"/>
              <w:gridCol w:w="1667"/>
              <w:gridCol w:w="1372"/>
              <w:gridCol w:w="1370"/>
              <w:gridCol w:w="1374"/>
              <w:gridCol w:w="1370"/>
              <w:gridCol w:w="838"/>
            </w:tblGrid>
            <w:tr>
              <w:tblPrEx>
                <w:tblCellMar>
                  <w:top w:w="0" w:type="dxa"/>
                  <w:left w:w="0" w:type="dxa"/>
                  <w:bottom w:w="0" w:type="dxa"/>
                  <w:right w:w="0" w:type="dxa"/>
                </w:tblCellMar>
              </w:tblPrEx>
              <w:trPr>
                <w:trHeight w:val="423" w:hRule="exact"/>
              </w:trPr>
              <w:tc>
                <w:tcPr>
                  <w:tcW w:w="1081" w:type="dxa"/>
                  <w:vMerge w:val="restart"/>
                  <w:tcBorders>
                    <w:top w:val="single" w:color="000000" w:sz="12" w:space="0"/>
                    <w:left w:val="nil"/>
                    <w:right w:val="single" w:color="000000" w:sz="6" w:space="0"/>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位置结果</w:t>
                  </w:r>
                </w:p>
              </w:tc>
              <w:tc>
                <w:tcPr>
                  <w:tcW w:w="1667" w:type="dxa"/>
                  <w:vMerge w:val="restart"/>
                  <w:tcBorders>
                    <w:top w:val="single" w:color="000000" w:sz="12" w:space="0"/>
                    <w:left w:val="single" w:color="000000" w:sz="6" w:space="0"/>
                    <w:right w:val="single" w:color="000000" w:sz="6" w:space="0"/>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工地上风向</w:t>
                  </w:r>
                </w:p>
                <w:p>
                  <w:pPr>
                    <w:pStyle w:val="311"/>
                    <w:jc w:val="center"/>
                    <w:rPr>
                      <w:rFonts w:ascii="Times New Roman" w:hAnsi="Times New Roman" w:eastAsia="Times New Roman" w:cs="Times New Roman"/>
                      <w:sz w:val="21"/>
                      <w:szCs w:val="21"/>
                      <w:lang w:eastAsia="zh-CN"/>
                    </w:rPr>
                  </w:pPr>
                  <w:r>
                    <w:rPr>
                      <w:rFonts w:ascii="Times New Roman"/>
                      <w:b/>
                      <w:sz w:val="21"/>
                      <w:szCs w:val="21"/>
                      <w:lang w:eastAsia="zh-CN"/>
                    </w:rPr>
                    <w:t>50m</w:t>
                  </w:r>
                </w:p>
              </w:tc>
              <w:tc>
                <w:tcPr>
                  <w:tcW w:w="1372" w:type="dxa"/>
                  <w:vMerge w:val="restart"/>
                  <w:tcBorders>
                    <w:top w:val="single" w:color="000000" w:sz="12" w:space="0"/>
                    <w:left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p>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工地内</w:t>
                  </w:r>
                </w:p>
              </w:tc>
              <w:tc>
                <w:tcPr>
                  <w:tcW w:w="4114" w:type="dxa"/>
                  <w:gridSpan w:val="3"/>
                  <w:tcBorders>
                    <w:top w:val="single" w:color="000000" w:sz="12" w:space="0"/>
                    <w:left w:val="single" w:color="000000" w:sz="6" w:space="0"/>
                    <w:bottom w:val="single" w:color="000000" w:sz="6" w:space="0"/>
                    <w:right w:val="single" w:color="000000" w:sz="6" w:space="0"/>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工地下风向</w:t>
                  </w:r>
                </w:p>
              </w:tc>
              <w:tc>
                <w:tcPr>
                  <w:tcW w:w="838" w:type="dxa"/>
                  <w:tcBorders>
                    <w:top w:val="single" w:color="000000" w:sz="12" w:space="0"/>
                    <w:left w:val="single" w:color="000000" w:sz="6" w:space="0"/>
                    <w:bottom w:val="single" w:color="000000" w:sz="6" w:space="0"/>
                    <w:right w:val="nil"/>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备注</w:t>
                  </w:r>
                </w:p>
              </w:tc>
            </w:tr>
            <w:tr>
              <w:tblPrEx>
                <w:tblCellMar>
                  <w:top w:w="0" w:type="dxa"/>
                  <w:left w:w="0" w:type="dxa"/>
                  <w:bottom w:w="0" w:type="dxa"/>
                  <w:right w:w="0" w:type="dxa"/>
                </w:tblCellMar>
              </w:tblPrEx>
              <w:trPr>
                <w:trHeight w:val="415" w:hRule="exact"/>
              </w:trPr>
              <w:tc>
                <w:tcPr>
                  <w:tcW w:w="1081" w:type="dxa"/>
                  <w:vMerge w:val="continue"/>
                  <w:tcBorders>
                    <w:left w:val="nil"/>
                    <w:bottom w:val="single" w:color="000000" w:sz="6" w:space="0"/>
                    <w:right w:val="single" w:color="000000" w:sz="6" w:space="0"/>
                  </w:tcBorders>
                  <w:vAlign w:val="center"/>
                </w:tcPr>
                <w:p>
                  <w:pPr>
                    <w:jc w:val="center"/>
                    <w:rPr>
                      <w:szCs w:val="21"/>
                    </w:rPr>
                  </w:pPr>
                </w:p>
              </w:tc>
              <w:tc>
                <w:tcPr>
                  <w:tcW w:w="1667" w:type="dxa"/>
                  <w:vMerge w:val="continue"/>
                  <w:tcBorders>
                    <w:left w:val="single" w:color="000000" w:sz="6" w:space="0"/>
                    <w:bottom w:val="single" w:color="000000" w:sz="6" w:space="0"/>
                    <w:right w:val="single" w:color="000000" w:sz="6" w:space="0"/>
                  </w:tcBorders>
                  <w:vAlign w:val="center"/>
                </w:tcPr>
                <w:p>
                  <w:pPr>
                    <w:jc w:val="center"/>
                    <w:rPr>
                      <w:szCs w:val="21"/>
                    </w:rPr>
                  </w:pPr>
                </w:p>
              </w:tc>
              <w:tc>
                <w:tcPr>
                  <w:tcW w:w="1372" w:type="dxa"/>
                  <w:vMerge w:val="continue"/>
                  <w:tcBorders>
                    <w:left w:val="single" w:color="000000" w:sz="6" w:space="0"/>
                    <w:bottom w:val="single" w:color="000000" w:sz="6" w:space="0"/>
                    <w:right w:val="single" w:color="000000" w:sz="6" w:space="0"/>
                  </w:tcBorders>
                  <w:vAlign w:val="center"/>
                </w:tcPr>
                <w:p>
                  <w:pPr>
                    <w:jc w:val="center"/>
                    <w:rPr>
                      <w:szCs w:val="21"/>
                    </w:rPr>
                  </w:pPr>
                </w:p>
              </w:tc>
              <w:tc>
                <w:tcPr>
                  <w:tcW w:w="1370"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50m</w:t>
                  </w:r>
                </w:p>
              </w:tc>
              <w:tc>
                <w:tcPr>
                  <w:tcW w:w="1374"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100m</w:t>
                  </w:r>
                </w:p>
              </w:tc>
              <w:tc>
                <w:tcPr>
                  <w:tcW w:w="1370"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150m</w:t>
                  </w:r>
                </w:p>
              </w:tc>
              <w:tc>
                <w:tcPr>
                  <w:tcW w:w="838" w:type="dxa"/>
                  <w:vMerge w:val="restart"/>
                  <w:tcBorders>
                    <w:top w:val="single" w:color="000000" w:sz="6" w:space="0"/>
                    <w:left w:val="single" w:color="000000" w:sz="6" w:space="0"/>
                    <w:right w:val="nil"/>
                  </w:tcBorders>
                  <w:vAlign w:val="center"/>
                </w:tcPr>
                <w:p>
                  <w:pPr>
                    <w:pStyle w:val="311"/>
                    <w:jc w:val="center"/>
                    <w:rPr>
                      <w:rFonts w:ascii="Times New Roman" w:hAnsi="Times New Roman" w:eastAsia="Times New Roman" w:cs="Times New Roman"/>
                      <w:sz w:val="21"/>
                      <w:szCs w:val="21"/>
                      <w:lang w:eastAsia="zh-CN"/>
                    </w:rPr>
                  </w:pPr>
                  <w:r>
                    <w:rPr>
                      <w:rFonts w:ascii="宋体" w:hAnsi="宋体" w:eastAsia="宋体" w:cs="宋体"/>
                      <w:sz w:val="21"/>
                      <w:szCs w:val="21"/>
                      <w:lang w:eastAsia="zh-CN"/>
                    </w:rPr>
                    <w:t>平均风速</w:t>
                  </w:r>
                  <w:r>
                    <w:rPr>
                      <w:rFonts w:ascii="Times New Roman"/>
                      <w:sz w:val="21"/>
                      <w:szCs w:val="21"/>
                      <w:lang w:eastAsia="zh-CN"/>
                    </w:rPr>
                    <w:t>2.5m/s</w:t>
                  </w:r>
                </w:p>
              </w:tc>
            </w:tr>
            <w:tr>
              <w:tblPrEx>
                <w:tblCellMar>
                  <w:top w:w="0" w:type="dxa"/>
                  <w:left w:w="0" w:type="dxa"/>
                  <w:bottom w:w="0" w:type="dxa"/>
                  <w:right w:w="0" w:type="dxa"/>
                </w:tblCellMar>
              </w:tblPrEx>
              <w:trPr>
                <w:trHeight w:val="415" w:hRule="exact"/>
              </w:trPr>
              <w:tc>
                <w:tcPr>
                  <w:tcW w:w="1081" w:type="dxa"/>
                  <w:tcBorders>
                    <w:top w:val="single" w:color="000000" w:sz="6" w:space="0"/>
                    <w:left w:val="nil"/>
                    <w:bottom w:val="single" w:color="000000" w:sz="6" w:space="0"/>
                    <w:right w:val="single" w:color="000000" w:sz="6" w:space="0"/>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lang w:eastAsia="zh-CN"/>
                    </w:rPr>
                    <w:t>范围</w:t>
                  </w:r>
                </w:p>
              </w:tc>
              <w:tc>
                <w:tcPr>
                  <w:tcW w:w="1667"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0.303~0.328</w:t>
                  </w:r>
                </w:p>
              </w:tc>
              <w:tc>
                <w:tcPr>
                  <w:tcW w:w="1372"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0.409~0.759</w:t>
                  </w:r>
                </w:p>
              </w:tc>
              <w:tc>
                <w:tcPr>
                  <w:tcW w:w="1370"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0.434~0.538</w:t>
                  </w:r>
                </w:p>
              </w:tc>
              <w:tc>
                <w:tcPr>
                  <w:tcW w:w="1374"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0.356~0.465</w:t>
                  </w:r>
                </w:p>
              </w:tc>
              <w:tc>
                <w:tcPr>
                  <w:tcW w:w="1370" w:type="dxa"/>
                  <w:tcBorders>
                    <w:top w:val="single" w:color="000000" w:sz="6" w:space="0"/>
                    <w:left w:val="single" w:color="000000" w:sz="6" w:space="0"/>
                    <w:bottom w:val="single" w:color="000000" w:sz="6"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0.309~0.336</w:t>
                  </w:r>
                </w:p>
              </w:tc>
              <w:tc>
                <w:tcPr>
                  <w:tcW w:w="838" w:type="dxa"/>
                  <w:vMerge w:val="continue"/>
                  <w:tcBorders>
                    <w:left w:val="single" w:color="000000" w:sz="6" w:space="0"/>
                    <w:right w:val="nil"/>
                  </w:tcBorders>
                  <w:vAlign w:val="center"/>
                </w:tcPr>
                <w:p>
                  <w:pPr>
                    <w:jc w:val="center"/>
                    <w:rPr>
                      <w:szCs w:val="21"/>
                    </w:rPr>
                  </w:pPr>
                </w:p>
              </w:tc>
            </w:tr>
            <w:tr>
              <w:tblPrEx>
                <w:tblCellMar>
                  <w:top w:w="0" w:type="dxa"/>
                  <w:left w:w="0" w:type="dxa"/>
                  <w:bottom w:w="0" w:type="dxa"/>
                  <w:right w:w="0" w:type="dxa"/>
                </w:tblCellMar>
              </w:tblPrEx>
              <w:trPr>
                <w:trHeight w:val="422" w:hRule="exact"/>
              </w:trPr>
              <w:tc>
                <w:tcPr>
                  <w:tcW w:w="1081" w:type="dxa"/>
                  <w:tcBorders>
                    <w:top w:val="single" w:color="000000" w:sz="6" w:space="0"/>
                    <w:left w:val="nil"/>
                    <w:bottom w:val="single" w:color="000000" w:sz="12" w:space="0"/>
                    <w:right w:val="single" w:color="000000" w:sz="6" w:space="0"/>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lang w:eastAsia="zh-CN"/>
                    </w:rPr>
                    <w:t>平均值</w:t>
                  </w:r>
                </w:p>
              </w:tc>
              <w:tc>
                <w:tcPr>
                  <w:tcW w:w="1667" w:type="dxa"/>
                  <w:tcBorders>
                    <w:top w:val="single" w:color="000000" w:sz="6" w:space="0"/>
                    <w:left w:val="single" w:color="000000" w:sz="6" w:space="0"/>
                    <w:bottom w:val="single" w:color="000000" w:sz="12"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0.317</w:t>
                  </w:r>
                </w:p>
              </w:tc>
              <w:tc>
                <w:tcPr>
                  <w:tcW w:w="1372" w:type="dxa"/>
                  <w:tcBorders>
                    <w:top w:val="single" w:color="000000" w:sz="6" w:space="0"/>
                    <w:left w:val="single" w:color="000000" w:sz="6" w:space="0"/>
                    <w:bottom w:val="single" w:color="000000" w:sz="12"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0.596</w:t>
                  </w:r>
                </w:p>
              </w:tc>
              <w:tc>
                <w:tcPr>
                  <w:tcW w:w="1370" w:type="dxa"/>
                  <w:tcBorders>
                    <w:top w:val="single" w:color="000000" w:sz="6" w:space="0"/>
                    <w:left w:val="single" w:color="000000" w:sz="6" w:space="0"/>
                    <w:bottom w:val="single" w:color="000000" w:sz="12"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0.487</w:t>
                  </w:r>
                </w:p>
              </w:tc>
              <w:tc>
                <w:tcPr>
                  <w:tcW w:w="1374" w:type="dxa"/>
                  <w:tcBorders>
                    <w:top w:val="single" w:color="000000" w:sz="6" w:space="0"/>
                    <w:left w:val="single" w:color="000000" w:sz="6" w:space="0"/>
                    <w:bottom w:val="single" w:color="000000" w:sz="12"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0.390</w:t>
                  </w:r>
                </w:p>
              </w:tc>
              <w:tc>
                <w:tcPr>
                  <w:tcW w:w="1370" w:type="dxa"/>
                  <w:tcBorders>
                    <w:top w:val="single" w:color="000000" w:sz="6" w:space="0"/>
                    <w:left w:val="single" w:color="000000" w:sz="6" w:space="0"/>
                    <w:bottom w:val="single" w:color="000000" w:sz="12" w:space="0"/>
                    <w:right w:val="single" w:color="000000" w:sz="6" w:space="0"/>
                  </w:tcBorders>
                  <w:vAlign w:val="center"/>
                </w:tcPr>
                <w:p>
                  <w:pPr>
                    <w:pStyle w:val="311"/>
                    <w:jc w:val="center"/>
                    <w:rPr>
                      <w:rFonts w:ascii="Times New Roman" w:hAnsi="Times New Roman" w:eastAsia="Times New Roman" w:cs="Times New Roman"/>
                      <w:sz w:val="21"/>
                      <w:szCs w:val="21"/>
                      <w:lang w:eastAsia="zh-CN"/>
                    </w:rPr>
                  </w:pPr>
                  <w:r>
                    <w:rPr>
                      <w:rFonts w:ascii="Times New Roman"/>
                      <w:sz w:val="21"/>
                      <w:szCs w:val="21"/>
                      <w:lang w:eastAsia="zh-CN"/>
                    </w:rPr>
                    <w:t>0.322</w:t>
                  </w:r>
                </w:p>
              </w:tc>
              <w:tc>
                <w:tcPr>
                  <w:tcW w:w="838" w:type="dxa"/>
                  <w:vMerge w:val="continue"/>
                  <w:tcBorders>
                    <w:left w:val="single" w:color="000000" w:sz="6" w:space="0"/>
                    <w:bottom w:val="single" w:color="000000" w:sz="12" w:space="0"/>
                    <w:right w:val="nil"/>
                  </w:tcBorders>
                  <w:vAlign w:val="center"/>
                </w:tcPr>
                <w:p>
                  <w:pPr>
                    <w:jc w:val="center"/>
                    <w:rPr>
                      <w:szCs w:val="21"/>
                    </w:rPr>
                  </w:pPr>
                </w:p>
              </w:tc>
            </w:tr>
          </w:tbl>
          <w:p>
            <w:pPr>
              <w:pStyle w:val="2"/>
              <w:spacing w:after="0" w:line="240" w:lineRule="auto"/>
              <w:ind w:left="0" w:leftChars="0"/>
              <w:jc w:val="center"/>
              <w:rPr>
                <w:rFonts w:ascii="t" w:hAnsi="t"/>
                <w:snapToGrid w:val="0"/>
                <w:kern w:val="0"/>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表7-2  建筑施工工地洒水前、后扬尘监测结果  单位：mg/m3</w:t>
            </w:r>
          </w:p>
          <w:tbl>
            <w:tblPr>
              <w:tblStyle w:val="51"/>
              <w:tblW w:w="9072" w:type="dxa"/>
              <w:tblInd w:w="223" w:type="dxa"/>
              <w:tblLayout w:type="fixed"/>
              <w:tblCellMar>
                <w:top w:w="0" w:type="dxa"/>
                <w:left w:w="0" w:type="dxa"/>
                <w:bottom w:w="0" w:type="dxa"/>
                <w:right w:w="0" w:type="dxa"/>
              </w:tblCellMar>
            </w:tblPr>
            <w:tblGrid>
              <w:gridCol w:w="1982"/>
              <w:gridCol w:w="986"/>
              <w:gridCol w:w="986"/>
              <w:gridCol w:w="986"/>
              <w:gridCol w:w="986"/>
              <w:gridCol w:w="985"/>
              <w:gridCol w:w="987"/>
              <w:gridCol w:w="1174"/>
            </w:tblGrid>
            <w:tr>
              <w:tblPrEx>
                <w:tblCellMar>
                  <w:top w:w="0" w:type="dxa"/>
                  <w:left w:w="0" w:type="dxa"/>
                  <w:bottom w:w="0" w:type="dxa"/>
                  <w:right w:w="0" w:type="dxa"/>
                </w:tblCellMar>
              </w:tblPrEx>
              <w:trPr>
                <w:trHeight w:val="423" w:hRule="exact"/>
              </w:trPr>
              <w:tc>
                <w:tcPr>
                  <w:tcW w:w="1982" w:type="dxa"/>
                  <w:tcBorders>
                    <w:top w:val="single" w:color="000000" w:sz="12" w:space="0"/>
                    <w:left w:val="nil"/>
                    <w:bottom w:val="single" w:color="000000" w:sz="6" w:space="0"/>
                    <w:right w:val="single" w:color="000000" w:sz="6" w:space="0"/>
                  </w:tcBorders>
                </w:tcPr>
                <w:p>
                  <w:pPr>
                    <w:pStyle w:val="311"/>
                    <w:spacing w:before="42"/>
                    <w:ind w:left="110" w:right="-21"/>
                    <w:rPr>
                      <w:rFonts w:ascii="宋体" w:hAnsi="宋体" w:eastAsia="宋体" w:cs="宋体"/>
                      <w:sz w:val="21"/>
                      <w:szCs w:val="21"/>
                      <w:lang w:eastAsia="zh-CN"/>
                    </w:rPr>
                  </w:pPr>
                  <w:r>
                    <w:rPr>
                      <w:rFonts w:ascii="宋体" w:hAnsi="宋体" w:eastAsia="宋体" w:cs="宋体"/>
                      <w:b/>
                      <w:bCs/>
                      <w:sz w:val="21"/>
                      <w:szCs w:val="21"/>
                      <w:lang w:eastAsia="zh-CN"/>
                    </w:rPr>
                    <w:t>距工地距离（</w:t>
                  </w:r>
                  <w:r>
                    <w:rPr>
                      <w:rFonts w:ascii="Times New Roman" w:hAnsi="Times New Roman" w:eastAsia="Times New Roman" w:cs="Times New Roman"/>
                      <w:b/>
                      <w:bCs/>
                      <w:sz w:val="21"/>
                      <w:szCs w:val="21"/>
                      <w:lang w:eastAsia="zh-CN"/>
                    </w:rPr>
                    <w:t>m</w:t>
                  </w:r>
                  <w:r>
                    <w:rPr>
                      <w:rFonts w:ascii="宋体" w:hAnsi="宋体" w:eastAsia="宋体" w:cs="宋体"/>
                      <w:b/>
                      <w:bCs/>
                      <w:sz w:val="21"/>
                      <w:szCs w:val="21"/>
                      <w:lang w:eastAsia="zh-CN"/>
                    </w:rPr>
                    <w:t>）</w:t>
                  </w:r>
                </w:p>
              </w:tc>
              <w:tc>
                <w:tcPr>
                  <w:tcW w:w="986" w:type="dxa"/>
                  <w:tcBorders>
                    <w:top w:val="single" w:color="000000" w:sz="12" w:space="0"/>
                    <w:left w:val="single" w:color="000000" w:sz="6" w:space="0"/>
                    <w:bottom w:val="single" w:color="000000" w:sz="6" w:space="0"/>
                    <w:right w:val="single" w:color="000000" w:sz="6" w:space="0"/>
                  </w:tcBorders>
                </w:tcPr>
                <w:p>
                  <w:pPr>
                    <w:pStyle w:val="311"/>
                    <w:spacing w:before="96"/>
                    <w:jc w:val="center"/>
                    <w:rPr>
                      <w:rFonts w:ascii="Times New Roman" w:hAnsi="Times New Roman" w:eastAsia="Times New Roman" w:cs="Times New Roman"/>
                      <w:sz w:val="21"/>
                      <w:szCs w:val="21"/>
                      <w:lang w:eastAsia="zh-CN"/>
                    </w:rPr>
                  </w:pPr>
                  <w:r>
                    <w:rPr>
                      <w:rFonts w:ascii="Times New Roman"/>
                      <w:b/>
                      <w:sz w:val="21"/>
                      <w:szCs w:val="21"/>
                      <w:lang w:eastAsia="zh-CN"/>
                    </w:rPr>
                    <w:t>10</w:t>
                  </w:r>
                </w:p>
              </w:tc>
              <w:tc>
                <w:tcPr>
                  <w:tcW w:w="986" w:type="dxa"/>
                  <w:tcBorders>
                    <w:top w:val="single" w:color="000000" w:sz="12" w:space="0"/>
                    <w:left w:val="single" w:color="000000" w:sz="6" w:space="0"/>
                    <w:bottom w:val="single" w:color="000000" w:sz="6" w:space="0"/>
                    <w:right w:val="single" w:color="000000" w:sz="6" w:space="0"/>
                  </w:tcBorders>
                </w:tcPr>
                <w:p>
                  <w:pPr>
                    <w:pStyle w:val="311"/>
                    <w:spacing w:before="96"/>
                    <w:jc w:val="center"/>
                    <w:rPr>
                      <w:rFonts w:ascii="Times New Roman" w:hAnsi="Times New Roman" w:eastAsia="Times New Roman" w:cs="Times New Roman"/>
                      <w:sz w:val="21"/>
                      <w:szCs w:val="21"/>
                      <w:lang w:eastAsia="zh-CN"/>
                    </w:rPr>
                  </w:pPr>
                  <w:r>
                    <w:rPr>
                      <w:rFonts w:ascii="Times New Roman"/>
                      <w:b/>
                      <w:sz w:val="21"/>
                      <w:szCs w:val="21"/>
                      <w:lang w:eastAsia="zh-CN"/>
                    </w:rPr>
                    <w:t>20</w:t>
                  </w:r>
                </w:p>
              </w:tc>
              <w:tc>
                <w:tcPr>
                  <w:tcW w:w="986" w:type="dxa"/>
                  <w:tcBorders>
                    <w:top w:val="single" w:color="000000" w:sz="12" w:space="0"/>
                    <w:left w:val="single" w:color="000000" w:sz="6" w:space="0"/>
                    <w:bottom w:val="single" w:color="000000" w:sz="6" w:space="0"/>
                    <w:right w:val="single" w:color="000000" w:sz="6" w:space="0"/>
                  </w:tcBorders>
                </w:tcPr>
                <w:p>
                  <w:pPr>
                    <w:pStyle w:val="311"/>
                    <w:spacing w:before="96"/>
                    <w:ind w:left="1"/>
                    <w:jc w:val="center"/>
                    <w:rPr>
                      <w:rFonts w:ascii="Times New Roman" w:hAnsi="Times New Roman" w:eastAsia="Times New Roman" w:cs="Times New Roman"/>
                      <w:sz w:val="21"/>
                      <w:szCs w:val="21"/>
                      <w:lang w:eastAsia="zh-CN"/>
                    </w:rPr>
                  </w:pPr>
                  <w:r>
                    <w:rPr>
                      <w:rFonts w:ascii="Times New Roman"/>
                      <w:b/>
                      <w:sz w:val="21"/>
                      <w:szCs w:val="21"/>
                      <w:lang w:eastAsia="zh-CN"/>
                    </w:rPr>
                    <w:t>30</w:t>
                  </w:r>
                </w:p>
              </w:tc>
              <w:tc>
                <w:tcPr>
                  <w:tcW w:w="986" w:type="dxa"/>
                  <w:tcBorders>
                    <w:top w:val="single" w:color="000000" w:sz="12" w:space="0"/>
                    <w:left w:val="single" w:color="000000" w:sz="6" w:space="0"/>
                    <w:bottom w:val="single" w:color="000000" w:sz="6" w:space="0"/>
                    <w:right w:val="single" w:color="000000" w:sz="6" w:space="0"/>
                  </w:tcBorders>
                </w:tcPr>
                <w:p>
                  <w:pPr>
                    <w:pStyle w:val="311"/>
                    <w:spacing w:before="96"/>
                    <w:ind w:left="2"/>
                    <w:jc w:val="center"/>
                    <w:rPr>
                      <w:rFonts w:ascii="Times New Roman" w:hAnsi="Times New Roman" w:eastAsia="Times New Roman" w:cs="Times New Roman"/>
                      <w:sz w:val="21"/>
                      <w:szCs w:val="21"/>
                      <w:lang w:eastAsia="zh-CN"/>
                    </w:rPr>
                  </w:pPr>
                  <w:r>
                    <w:rPr>
                      <w:rFonts w:ascii="Times New Roman"/>
                      <w:b/>
                      <w:sz w:val="21"/>
                      <w:szCs w:val="21"/>
                      <w:lang w:eastAsia="zh-CN"/>
                    </w:rPr>
                    <w:t>40</w:t>
                  </w:r>
                </w:p>
              </w:tc>
              <w:tc>
                <w:tcPr>
                  <w:tcW w:w="985" w:type="dxa"/>
                  <w:tcBorders>
                    <w:top w:val="single" w:color="000000" w:sz="12" w:space="0"/>
                    <w:left w:val="single" w:color="000000" w:sz="6" w:space="0"/>
                    <w:bottom w:val="single" w:color="000000" w:sz="6" w:space="0"/>
                    <w:right w:val="single" w:color="000000" w:sz="6" w:space="0"/>
                  </w:tcBorders>
                </w:tcPr>
                <w:p>
                  <w:pPr>
                    <w:pStyle w:val="311"/>
                    <w:spacing w:before="96"/>
                    <w:jc w:val="center"/>
                    <w:rPr>
                      <w:rFonts w:ascii="Times New Roman" w:hAnsi="Times New Roman" w:eastAsia="Times New Roman" w:cs="Times New Roman"/>
                      <w:sz w:val="21"/>
                      <w:szCs w:val="21"/>
                      <w:lang w:eastAsia="zh-CN"/>
                    </w:rPr>
                  </w:pPr>
                  <w:r>
                    <w:rPr>
                      <w:rFonts w:ascii="Times New Roman"/>
                      <w:b/>
                      <w:sz w:val="21"/>
                      <w:szCs w:val="21"/>
                      <w:lang w:eastAsia="zh-CN"/>
                    </w:rPr>
                    <w:t>50</w:t>
                  </w:r>
                </w:p>
              </w:tc>
              <w:tc>
                <w:tcPr>
                  <w:tcW w:w="987" w:type="dxa"/>
                  <w:tcBorders>
                    <w:top w:val="single" w:color="000000" w:sz="12" w:space="0"/>
                    <w:left w:val="single" w:color="000000" w:sz="6" w:space="0"/>
                    <w:bottom w:val="single" w:color="000000" w:sz="6" w:space="0"/>
                    <w:right w:val="single" w:color="000000" w:sz="6" w:space="0"/>
                  </w:tcBorders>
                </w:tcPr>
                <w:p>
                  <w:pPr>
                    <w:pStyle w:val="311"/>
                    <w:spacing w:before="96"/>
                    <w:ind w:left="306"/>
                    <w:rPr>
                      <w:rFonts w:ascii="Times New Roman" w:hAnsi="Times New Roman" w:eastAsia="Times New Roman" w:cs="Times New Roman"/>
                      <w:sz w:val="21"/>
                      <w:szCs w:val="21"/>
                      <w:lang w:eastAsia="zh-CN"/>
                    </w:rPr>
                  </w:pPr>
                  <w:r>
                    <w:rPr>
                      <w:rFonts w:ascii="Times New Roman"/>
                      <w:b/>
                      <w:sz w:val="21"/>
                      <w:szCs w:val="21"/>
                      <w:lang w:eastAsia="zh-CN"/>
                    </w:rPr>
                    <w:t>100</w:t>
                  </w:r>
                </w:p>
              </w:tc>
              <w:tc>
                <w:tcPr>
                  <w:tcW w:w="1174" w:type="dxa"/>
                  <w:tcBorders>
                    <w:top w:val="single" w:color="000000" w:sz="12" w:space="0"/>
                    <w:left w:val="single" w:color="000000" w:sz="6" w:space="0"/>
                    <w:bottom w:val="single" w:color="000000" w:sz="6" w:space="0"/>
                    <w:right w:val="nil"/>
                  </w:tcBorders>
                </w:tcPr>
                <w:p>
                  <w:pPr>
                    <w:pStyle w:val="311"/>
                    <w:spacing w:before="42"/>
                    <w:ind w:left="339"/>
                    <w:rPr>
                      <w:rFonts w:ascii="宋体" w:hAnsi="宋体" w:eastAsia="宋体" w:cs="宋体"/>
                      <w:sz w:val="21"/>
                      <w:szCs w:val="21"/>
                      <w:lang w:eastAsia="zh-CN"/>
                    </w:rPr>
                  </w:pPr>
                  <w:r>
                    <w:rPr>
                      <w:rFonts w:ascii="宋体" w:hAnsi="宋体" w:eastAsia="宋体" w:cs="宋体"/>
                      <w:b/>
                      <w:bCs/>
                      <w:sz w:val="21"/>
                      <w:szCs w:val="21"/>
                      <w:lang w:eastAsia="zh-CN"/>
                    </w:rPr>
                    <w:t>备注</w:t>
                  </w:r>
                </w:p>
              </w:tc>
            </w:tr>
            <w:tr>
              <w:tblPrEx>
                <w:tblCellMar>
                  <w:top w:w="0" w:type="dxa"/>
                  <w:left w:w="0" w:type="dxa"/>
                  <w:bottom w:w="0" w:type="dxa"/>
                  <w:right w:w="0" w:type="dxa"/>
                </w:tblCellMar>
              </w:tblPrEx>
              <w:trPr>
                <w:trHeight w:val="415" w:hRule="exact"/>
              </w:trPr>
              <w:tc>
                <w:tcPr>
                  <w:tcW w:w="1982" w:type="dxa"/>
                  <w:tcBorders>
                    <w:top w:val="single" w:color="000000" w:sz="6" w:space="0"/>
                    <w:left w:val="nil"/>
                    <w:bottom w:val="single" w:color="000000" w:sz="6" w:space="0"/>
                    <w:right w:val="single" w:color="000000" w:sz="6" w:space="0"/>
                  </w:tcBorders>
                </w:tcPr>
                <w:p>
                  <w:pPr>
                    <w:pStyle w:val="311"/>
                    <w:spacing w:before="41"/>
                    <w:ind w:left="631"/>
                    <w:rPr>
                      <w:rFonts w:ascii="宋体" w:hAnsi="宋体" w:eastAsia="宋体" w:cs="宋体"/>
                      <w:sz w:val="21"/>
                      <w:szCs w:val="21"/>
                      <w:lang w:eastAsia="zh-CN"/>
                    </w:rPr>
                  </w:pPr>
                  <w:r>
                    <w:rPr>
                      <w:rFonts w:ascii="宋体" w:hAnsi="宋体" w:eastAsia="宋体" w:cs="宋体"/>
                      <w:sz w:val="21"/>
                      <w:szCs w:val="21"/>
                      <w:lang w:eastAsia="zh-CN"/>
                    </w:rPr>
                    <w:t>洒水前</w:t>
                  </w:r>
                </w:p>
              </w:tc>
              <w:tc>
                <w:tcPr>
                  <w:tcW w:w="986" w:type="dxa"/>
                  <w:tcBorders>
                    <w:top w:val="single" w:color="000000" w:sz="6" w:space="0"/>
                    <w:left w:val="single" w:color="000000" w:sz="6" w:space="0"/>
                    <w:bottom w:val="single" w:color="000000" w:sz="6" w:space="0"/>
                    <w:right w:val="single" w:color="000000" w:sz="6" w:space="0"/>
                  </w:tcBorders>
                </w:tcPr>
                <w:p>
                  <w:pPr>
                    <w:pStyle w:val="311"/>
                    <w:spacing w:before="95"/>
                    <w:ind w:left="288"/>
                    <w:rPr>
                      <w:rFonts w:ascii="Times New Roman" w:hAnsi="Times New Roman" w:eastAsia="Times New Roman" w:cs="Times New Roman"/>
                      <w:sz w:val="21"/>
                      <w:szCs w:val="21"/>
                      <w:lang w:eastAsia="zh-CN"/>
                    </w:rPr>
                  </w:pPr>
                  <w:r>
                    <w:rPr>
                      <w:rFonts w:ascii="Times New Roman"/>
                      <w:spacing w:val="-4"/>
                      <w:sz w:val="21"/>
                      <w:szCs w:val="21"/>
                      <w:lang w:eastAsia="zh-CN"/>
                    </w:rPr>
                    <w:t>1.75</w:t>
                  </w:r>
                </w:p>
              </w:tc>
              <w:tc>
                <w:tcPr>
                  <w:tcW w:w="986" w:type="dxa"/>
                  <w:tcBorders>
                    <w:top w:val="single" w:color="000000" w:sz="6" w:space="0"/>
                    <w:left w:val="single" w:color="000000" w:sz="6" w:space="0"/>
                    <w:bottom w:val="single" w:color="000000" w:sz="6" w:space="0"/>
                    <w:right w:val="single" w:color="000000" w:sz="6" w:space="0"/>
                  </w:tcBorders>
                </w:tcPr>
                <w:p>
                  <w:pPr>
                    <w:pStyle w:val="311"/>
                    <w:spacing w:before="95"/>
                    <w:ind w:left="274"/>
                    <w:rPr>
                      <w:rFonts w:ascii="Times New Roman" w:hAnsi="Times New Roman" w:eastAsia="Times New Roman" w:cs="Times New Roman"/>
                      <w:sz w:val="21"/>
                      <w:szCs w:val="21"/>
                      <w:lang w:eastAsia="zh-CN"/>
                    </w:rPr>
                  </w:pPr>
                  <w:r>
                    <w:rPr>
                      <w:rFonts w:ascii="Times New Roman"/>
                      <w:sz w:val="21"/>
                      <w:szCs w:val="21"/>
                      <w:lang w:eastAsia="zh-CN"/>
                    </w:rPr>
                    <w:t>1.30</w:t>
                  </w:r>
                </w:p>
              </w:tc>
              <w:tc>
                <w:tcPr>
                  <w:tcW w:w="986" w:type="dxa"/>
                  <w:tcBorders>
                    <w:top w:val="single" w:color="000000" w:sz="6" w:space="0"/>
                    <w:left w:val="single" w:color="000000" w:sz="6" w:space="0"/>
                    <w:bottom w:val="single" w:color="000000" w:sz="6" w:space="0"/>
                    <w:right w:val="single" w:color="000000" w:sz="6" w:space="0"/>
                  </w:tcBorders>
                </w:tcPr>
                <w:p>
                  <w:pPr>
                    <w:pStyle w:val="311"/>
                    <w:spacing w:before="95"/>
                    <w:ind w:left="215"/>
                    <w:rPr>
                      <w:rFonts w:ascii="Times New Roman" w:hAnsi="Times New Roman" w:eastAsia="Times New Roman" w:cs="Times New Roman"/>
                      <w:sz w:val="21"/>
                      <w:szCs w:val="21"/>
                      <w:lang w:eastAsia="zh-CN"/>
                    </w:rPr>
                  </w:pPr>
                  <w:r>
                    <w:rPr>
                      <w:rFonts w:ascii="Times New Roman"/>
                      <w:sz w:val="21"/>
                      <w:szCs w:val="21"/>
                      <w:lang w:eastAsia="zh-CN"/>
                    </w:rPr>
                    <w:t>0.780</w:t>
                  </w:r>
                </w:p>
              </w:tc>
              <w:tc>
                <w:tcPr>
                  <w:tcW w:w="986" w:type="dxa"/>
                  <w:tcBorders>
                    <w:top w:val="single" w:color="000000" w:sz="6" w:space="0"/>
                    <w:left w:val="single" w:color="000000" w:sz="6" w:space="0"/>
                    <w:bottom w:val="single" w:color="000000" w:sz="6" w:space="0"/>
                    <w:right w:val="single" w:color="000000" w:sz="6" w:space="0"/>
                  </w:tcBorders>
                </w:tcPr>
                <w:p>
                  <w:pPr>
                    <w:pStyle w:val="311"/>
                    <w:spacing w:before="95"/>
                    <w:ind w:left="215"/>
                    <w:rPr>
                      <w:rFonts w:ascii="Times New Roman" w:hAnsi="Times New Roman" w:eastAsia="Times New Roman" w:cs="Times New Roman"/>
                      <w:sz w:val="21"/>
                      <w:szCs w:val="21"/>
                      <w:lang w:eastAsia="zh-CN"/>
                    </w:rPr>
                  </w:pPr>
                  <w:r>
                    <w:rPr>
                      <w:rFonts w:ascii="Times New Roman"/>
                      <w:sz w:val="21"/>
                      <w:szCs w:val="21"/>
                      <w:lang w:eastAsia="zh-CN"/>
                    </w:rPr>
                    <w:t>0.365</w:t>
                  </w:r>
                </w:p>
              </w:tc>
              <w:tc>
                <w:tcPr>
                  <w:tcW w:w="985" w:type="dxa"/>
                  <w:tcBorders>
                    <w:top w:val="single" w:color="000000" w:sz="6" w:space="0"/>
                    <w:left w:val="single" w:color="000000" w:sz="6" w:space="0"/>
                    <w:bottom w:val="single" w:color="000000" w:sz="6" w:space="0"/>
                    <w:right w:val="single" w:color="000000" w:sz="6" w:space="0"/>
                  </w:tcBorders>
                </w:tcPr>
                <w:p>
                  <w:pPr>
                    <w:pStyle w:val="311"/>
                    <w:spacing w:before="95"/>
                    <w:ind w:left="213"/>
                    <w:rPr>
                      <w:rFonts w:ascii="Times New Roman" w:hAnsi="Times New Roman" w:eastAsia="Times New Roman" w:cs="Times New Roman"/>
                      <w:sz w:val="21"/>
                      <w:szCs w:val="21"/>
                      <w:lang w:eastAsia="zh-CN"/>
                    </w:rPr>
                  </w:pPr>
                  <w:r>
                    <w:rPr>
                      <w:rFonts w:ascii="Times New Roman"/>
                      <w:sz w:val="21"/>
                      <w:szCs w:val="21"/>
                      <w:lang w:eastAsia="zh-CN"/>
                    </w:rPr>
                    <w:t>0.345</w:t>
                  </w:r>
                </w:p>
              </w:tc>
              <w:tc>
                <w:tcPr>
                  <w:tcW w:w="987" w:type="dxa"/>
                  <w:tcBorders>
                    <w:top w:val="single" w:color="000000" w:sz="6" w:space="0"/>
                    <w:left w:val="single" w:color="000000" w:sz="6" w:space="0"/>
                    <w:bottom w:val="single" w:color="000000" w:sz="6" w:space="0"/>
                    <w:right w:val="single" w:color="000000" w:sz="6" w:space="0"/>
                  </w:tcBorders>
                </w:tcPr>
                <w:p>
                  <w:pPr>
                    <w:pStyle w:val="311"/>
                    <w:spacing w:before="95"/>
                    <w:ind w:left="214"/>
                    <w:rPr>
                      <w:rFonts w:ascii="Times New Roman" w:hAnsi="Times New Roman" w:eastAsia="Times New Roman" w:cs="Times New Roman"/>
                      <w:sz w:val="21"/>
                      <w:szCs w:val="21"/>
                      <w:lang w:eastAsia="zh-CN"/>
                    </w:rPr>
                  </w:pPr>
                  <w:r>
                    <w:rPr>
                      <w:rFonts w:ascii="Times New Roman"/>
                      <w:sz w:val="21"/>
                      <w:szCs w:val="21"/>
                      <w:lang w:eastAsia="zh-CN"/>
                    </w:rPr>
                    <w:t>0.330</w:t>
                  </w:r>
                </w:p>
              </w:tc>
              <w:tc>
                <w:tcPr>
                  <w:tcW w:w="1174" w:type="dxa"/>
                  <w:vMerge w:val="restart"/>
                  <w:tcBorders>
                    <w:top w:val="single" w:color="000000" w:sz="6" w:space="0"/>
                    <w:left w:val="single" w:color="000000" w:sz="6" w:space="0"/>
                    <w:right w:val="nil"/>
                  </w:tcBorders>
                </w:tcPr>
                <w:p>
                  <w:pPr>
                    <w:pStyle w:val="311"/>
                    <w:spacing w:before="10" w:line="398" w:lineRule="exact"/>
                    <w:ind w:left="339" w:right="345"/>
                    <w:rPr>
                      <w:rFonts w:ascii="宋体" w:hAnsi="宋体" w:eastAsia="宋体" w:cs="宋体"/>
                      <w:sz w:val="21"/>
                      <w:szCs w:val="21"/>
                      <w:lang w:eastAsia="zh-CN"/>
                    </w:rPr>
                  </w:pPr>
                  <w:r>
                    <w:rPr>
                      <w:rFonts w:ascii="宋体" w:hAnsi="宋体" w:eastAsia="宋体" w:cs="宋体"/>
                      <w:sz w:val="21"/>
                      <w:szCs w:val="21"/>
                      <w:lang w:eastAsia="zh-CN"/>
                    </w:rPr>
                    <w:t>春季 监测</w:t>
                  </w:r>
                </w:p>
              </w:tc>
            </w:tr>
            <w:tr>
              <w:tblPrEx>
                <w:tblCellMar>
                  <w:top w:w="0" w:type="dxa"/>
                  <w:left w:w="0" w:type="dxa"/>
                  <w:bottom w:w="0" w:type="dxa"/>
                  <w:right w:w="0" w:type="dxa"/>
                </w:tblCellMar>
              </w:tblPrEx>
              <w:trPr>
                <w:trHeight w:val="422" w:hRule="exact"/>
              </w:trPr>
              <w:tc>
                <w:tcPr>
                  <w:tcW w:w="1982" w:type="dxa"/>
                  <w:tcBorders>
                    <w:top w:val="single" w:color="000000" w:sz="6" w:space="0"/>
                    <w:left w:val="nil"/>
                    <w:bottom w:val="single" w:color="000000" w:sz="12" w:space="0"/>
                    <w:right w:val="single" w:color="000000" w:sz="6" w:space="0"/>
                  </w:tcBorders>
                </w:tcPr>
                <w:p>
                  <w:pPr>
                    <w:pStyle w:val="311"/>
                    <w:spacing w:before="42"/>
                    <w:ind w:left="631"/>
                    <w:rPr>
                      <w:rFonts w:ascii="宋体" w:hAnsi="宋体" w:eastAsia="宋体" w:cs="宋体"/>
                      <w:sz w:val="21"/>
                      <w:szCs w:val="21"/>
                      <w:lang w:eastAsia="zh-CN"/>
                    </w:rPr>
                  </w:pPr>
                  <w:r>
                    <w:rPr>
                      <w:rFonts w:ascii="宋体" w:hAnsi="宋体" w:eastAsia="宋体" w:cs="宋体"/>
                      <w:sz w:val="21"/>
                      <w:szCs w:val="21"/>
                      <w:lang w:eastAsia="zh-CN"/>
                    </w:rPr>
                    <w:t>洒水后</w:t>
                  </w:r>
                </w:p>
              </w:tc>
              <w:tc>
                <w:tcPr>
                  <w:tcW w:w="986" w:type="dxa"/>
                  <w:tcBorders>
                    <w:top w:val="single" w:color="000000" w:sz="6" w:space="0"/>
                    <w:left w:val="single" w:color="000000" w:sz="6" w:space="0"/>
                    <w:bottom w:val="single" w:color="000000" w:sz="12" w:space="0"/>
                    <w:right w:val="single" w:color="000000" w:sz="6" w:space="0"/>
                  </w:tcBorders>
                </w:tcPr>
                <w:p>
                  <w:pPr>
                    <w:pStyle w:val="311"/>
                    <w:spacing w:before="95"/>
                    <w:ind w:left="216"/>
                    <w:rPr>
                      <w:rFonts w:ascii="Times New Roman" w:hAnsi="Times New Roman" w:eastAsia="Times New Roman" w:cs="Times New Roman"/>
                      <w:sz w:val="21"/>
                      <w:szCs w:val="21"/>
                      <w:lang w:eastAsia="zh-CN"/>
                    </w:rPr>
                  </w:pPr>
                  <w:r>
                    <w:rPr>
                      <w:rFonts w:ascii="Times New Roman"/>
                      <w:sz w:val="21"/>
                      <w:szCs w:val="21"/>
                      <w:lang w:eastAsia="zh-CN"/>
                    </w:rPr>
                    <w:t>0.437</w:t>
                  </w:r>
                </w:p>
              </w:tc>
              <w:tc>
                <w:tcPr>
                  <w:tcW w:w="986" w:type="dxa"/>
                  <w:tcBorders>
                    <w:top w:val="single" w:color="000000" w:sz="6" w:space="0"/>
                    <w:left w:val="single" w:color="000000" w:sz="6" w:space="0"/>
                    <w:bottom w:val="single" w:color="000000" w:sz="12" w:space="0"/>
                    <w:right w:val="single" w:color="000000" w:sz="6" w:space="0"/>
                  </w:tcBorders>
                </w:tcPr>
                <w:p>
                  <w:pPr>
                    <w:pStyle w:val="311"/>
                    <w:spacing w:before="95"/>
                    <w:ind w:left="214"/>
                    <w:rPr>
                      <w:rFonts w:ascii="Times New Roman" w:hAnsi="Times New Roman" w:eastAsia="Times New Roman" w:cs="Times New Roman"/>
                      <w:sz w:val="21"/>
                      <w:szCs w:val="21"/>
                      <w:lang w:eastAsia="zh-CN"/>
                    </w:rPr>
                  </w:pPr>
                  <w:r>
                    <w:rPr>
                      <w:rFonts w:ascii="Times New Roman"/>
                      <w:sz w:val="21"/>
                      <w:szCs w:val="21"/>
                      <w:lang w:eastAsia="zh-CN"/>
                    </w:rPr>
                    <w:t>0.350</w:t>
                  </w:r>
                </w:p>
              </w:tc>
              <w:tc>
                <w:tcPr>
                  <w:tcW w:w="986" w:type="dxa"/>
                  <w:tcBorders>
                    <w:top w:val="single" w:color="000000" w:sz="6" w:space="0"/>
                    <w:left w:val="single" w:color="000000" w:sz="6" w:space="0"/>
                    <w:bottom w:val="single" w:color="000000" w:sz="12" w:space="0"/>
                    <w:right w:val="single" w:color="000000" w:sz="6" w:space="0"/>
                  </w:tcBorders>
                </w:tcPr>
                <w:p>
                  <w:pPr>
                    <w:pStyle w:val="311"/>
                    <w:spacing w:before="95"/>
                    <w:ind w:left="215"/>
                    <w:rPr>
                      <w:rFonts w:ascii="Times New Roman" w:hAnsi="Times New Roman" w:eastAsia="Times New Roman" w:cs="Times New Roman"/>
                      <w:sz w:val="21"/>
                      <w:szCs w:val="21"/>
                      <w:lang w:eastAsia="zh-CN"/>
                    </w:rPr>
                  </w:pPr>
                  <w:r>
                    <w:rPr>
                      <w:rFonts w:ascii="Times New Roman"/>
                      <w:sz w:val="21"/>
                      <w:szCs w:val="21"/>
                      <w:lang w:eastAsia="zh-CN"/>
                    </w:rPr>
                    <w:t>0.310</w:t>
                  </w:r>
                </w:p>
              </w:tc>
              <w:tc>
                <w:tcPr>
                  <w:tcW w:w="986" w:type="dxa"/>
                  <w:tcBorders>
                    <w:top w:val="single" w:color="000000" w:sz="6" w:space="0"/>
                    <w:left w:val="single" w:color="000000" w:sz="6" w:space="0"/>
                    <w:bottom w:val="single" w:color="000000" w:sz="12" w:space="0"/>
                    <w:right w:val="single" w:color="000000" w:sz="6" w:space="0"/>
                  </w:tcBorders>
                </w:tcPr>
                <w:p>
                  <w:pPr>
                    <w:pStyle w:val="311"/>
                    <w:spacing w:before="95"/>
                    <w:ind w:left="215"/>
                    <w:rPr>
                      <w:rFonts w:ascii="Times New Roman" w:hAnsi="Times New Roman" w:eastAsia="Times New Roman" w:cs="Times New Roman"/>
                      <w:sz w:val="21"/>
                      <w:szCs w:val="21"/>
                      <w:lang w:eastAsia="zh-CN"/>
                    </w:rPr>
                  </w:pPr>
                  <w:r>
                    <w:rPr>
                      <w:rFonts w:ascii="Times New Roman"/>
                      <w:sz w:val="21"/>
                      <w:szCs w:val="21"/>
                      <w:lang w:eastAsia="zh-CN"/>
                    </w:rPr>
                    <w:t>0.265</w:t>
                  </w:r>
                </w:p>
              </w:tc>
              <w:tc>
                <w:tcPr>
                  <w:tcW w:w="985" w:type="dxa"/>
                  <w:tcBorders>
                    <w:top w:val="single" w:color="000000" w:sz="6" w:space="0"/>
                    <w:left w:val="single" w:color="000000" w:sz="6" w:space="0"/>
                    <w:bottom w:val="single" w:color="000000" w:sz="12" w:space="0"/>
                    <w:right w:val="single" w:color="000000" w:sz="6" w:space="0"/>
                  </w:tcBorders>
                </w:tcPr>
                <w:p>
                  <w:pPr>
                    <w:pStyle w:val="311"/>
                    <w:spacing w:before="95"/>
                    <w:ind w:left="213"/>
                    <w:rPr>
                      <w:rFonts w:ascii="Times New Roman" w:hAnsi="Times New Roman" w:eastAsia="Times New Roman" w:cs="Times New Roman"/>
                      <w:sz w:val="21"/>
                      <w:szCs w:val="21"/>
                      <w:lang w:eastAsia="zh-CN"/>
                    </w:rPr>
                  </w:pPr>
                  <w:r>
                    <w:rPr>
                      <w:rFonts w:ascii="Times New Roman"/>
                      <w:sz w:val="21"/>
                      <w:szCs w:val="21"/>
                      <w:lang w:eastAsia="zh-CN"/>
                    </w:rPr>
                    <w:t>0.250</w:t>
                  </w:r>
                </w:p>
              </w:tc>
              <w:tc>
                <w:tcPr>
                  <w:tcW w:w="987" w:type="dxa"/>
                  <w:tcBorders>
                    <w:top w:val="single" w:color="000000" w:sz="6" w:space="0"/>
                    <w:left w:val="single" w:color="000000" w:sz="6" w:space="0"/>
                    <w:bottom w:val="single" w:color="000000" w:sz="12" w:space="0"/>
                    <w:right w:val="single" w:color="000000" w:sz="6" w:space="0"/>
                  </w:tcBorders>
                </w:tcPr>
                <w:p>
                  <w:pPr>
                    <w:pStyle w:val="311"/>
                    <w:spacing w:before="95"/>
                    <w:ind w:left="214"/>
                    <w:rPr>
                      <w:rFonts w:ascii="Times New Roman" w:hAnsi="Times New Roman" w:eastAsia="Times New Roman" w:cs="Times New Roman"/>
                      <w:sz w:val="21"/>
                      <w:szCs w:val="21"/>
                      <w:lang w:eastAsia="zh-CN"/>
                    </w:rPr>
                  </w:pPr>
                  <w:r>
                    <w:rPr>
                      <w:rFonts w:ascii="Times New Roman"/>
                      <w:sz w:val="21"/>
                      <w:szCs w:val="21"/>
                      <w:lang w:eastAsia="zh-CN"/>
                    </w:rPr>
                    <w:t>0.238</w:t>
                  </w:r>
                </w:p>
              </w:tc>
              <w:tc>
                <w:tcPr>
                  <w:tcW w:w="1174" w:type="dxa"/>
                  <w:vMerge w:val="continue"/>
                  <w:tcBorders>
                    <w:left w:val="single" w:color="000000" w:sz="6" w:space="0"/>
                    <w:bottom w:val="single" w:color="000000" w:sz="12" w:space="0"/>
                    <w:right w:val="nil"/>
                  </w:tcBorders>
                </w:tcPr>
                <w:p>
                  <w:pPr>
                    <w:rPr>
                      <w:szCs w:val="21"/>
                    </w:rPr>
                  </w:pPr>
                </w:p>
              </w:tc>
            </w:tr>
          </w:tbl>
          <w:p>
            <w:pPr>
              <w:pStyle w:val="3"/>
              <w:rPr>
                <w:lang w:eastAsia="zh-CN"/>
              </w:rPr>
            </w:pPr>
          </w:p>
          <w:p>
            <w:pPr>
              <w:spacing w:line="360" w:lineRule="auto"/>
              <w:ind w:firstLine="480" w:firstLineChars="200"/>
              <w:rPr>
                <w:rFonts w:ascii="t" w:hAnsi="t"/>
                <w:snapToGrid w:val="0"/>
                <w:kern w:val="0"/>
                <w:sz w:val="24"/>
              </w:rPr>
            </w:pPr>
            <w:r>
              <w:rPr>
                <w:rFonts w:hint="eastAsia" w:ascii="t" w:hAnsi="t"/>
                <w:snapToGrid w:val="0"/>
                <w:kern w:val="0"/>
                <w:sz w:val="24"/>
              </w:rPr>
              <w:t>由以上调查数据可以看出，距离施工场地越近，空气中扬尘浓度越大，当风力在2.5m/s 时，150m以外的环境受影响程度较低。同时也可以看出，施工现场采取场地洒水措施后，可以明显地降低施工场地周围环境空气的扬尘浓度。</w:t>
            </w:r>
          </w:p>
          <w:p>
            <w:pPr>
              <w:spacing w:line="360" w:lineRule="auto"/>
              <w:ind w:firstLine="480" w:firstLineChars="200"/>
              <w:rPr>
                <w:rFonts w:ascii="t" w:hAnsi="t"/>
                <w:snapToGrid w:val="0"/>
                <w:kern w:val="0"/>
                <w:sz w:val="24"/>
              </w:rPr>
            </w:pPr>
            <w:r>
              <w:rPr>
                <w:rFonts w:hint="eastAsia" w:ascii="t" w:hAnsi="t"/>
                <w:snapToGrid w:val="0"/>
                <w:kern w:val="0"/>
                <w:sz w:val="24"/>
              </w:rPr>
              <w:t>施工扬尘不可避免地会对周围环境产生影响，但会随着工程的结束而消失。</w:t>
            </w:r>
          </w:p>
          <w:p>
            <w:pPr>
              <w:spacing w:line="360" w:lineRule="auto"/>
              <w:ind w:firstLine="480" w:firstLineChars="200"/>
              <w:rPr>
                <w:rFonts w:ascii="t" w:hAnsi="t"/>
                <w:snapToGrid w:val="0"/>
                <w:kern w:val="0"/>
                <w:sz w:val="24"/>
              </w:rPr>
            </w:pPr>
            <w:r>
              <w:rPr>
                <w:rFonts w:hint="eastAsia" w:ascii="t" w:hAnsi="t"/>
                <w:snapToGrid w:val="0"/>
                <w:kern w:val="0"/>
                <w:sz w:val="24"/>
              </w:rPr>
              <w:t>2、施工机械燃油废气</w:t>
            </w:r>
          </w:p>
          <w:p>
            <w:pPr>
              <w:spacing w:line="360" w:lineRule="auto"/>
              <w:ind w:firstLine="480" w:firstLineChars="200"/>
              <w:rPr>
                <w:rFonts w:ascii="t" w:hAnsi="t"/>
                <w:snapToGrid w:val="0"/>
                <w:kern w:val="0"/>
                <w:sz w:val="24"/>
              </w:rPr>
            </w:pPr>
            <w:r>
              <w:rPr>
                <w:rFonts w:hint="eastAsia" w:ascii="t" w:hAnsi="t"/>
                <w:snapToGrid w:val="0"/>
                <w:kern w:val="0"/>
                <w:sz w:val="24"/>
              </w:rPr>
              <w:t>项目实施期间，施工机械动力设备运转会产生燃油废气，主要污染物为NO</w:t>
            </w:r>
            <w:r>
              <w:rPr>
                <w:rFonts w:hint="eastAsia" w:ascii="t" w:hAnsi="t"/>
                <w:snapToGrid w:val="0"/>
                <w:kern w:val="0"/>
                <w:sz w:val="24"/>
                <w:vertAlign w:val="subscript"/>
              </w:rPr>
              <w:t>X</w:t>
            </w:r>
            <w:r>
              <w:rPr>
                <w:rFonts w:hint="eastAsia" w:ascii="t" w:hAnsi="t"/>
                <w:snapToGrid w:val="0"/>
                <w:kern w:val="0"/>
                <w:sz w:val="24"/>
              </w:rPr>
              <w:t>、CO和 THC等。 本项目施工作业将使用符合环保要求的车辆、机械设备和燃油。由于施工期间机械设备及车辆非连续运转使用，且单个作业点施工时间短作业量小，废气产生量也较小，同时，施工作业场地开阔，利于空气扩散，则根据同类项目施工现场经验，预计本项目施工期间施工机械排放燃油废气对周边环境影响将很小，不会对大气环境造成长期影响。</w:t>
            </w:r>
          </w:p>
          <w:p>
            <w:pPr>
              <w:spacing w:line="360" w:lineRule="auto"/>
              <w:ind w:firstLine="480" w:firstLineChars="200"/>
              <w:rPr>
                <w:rFonts w:ascii="t" w:hAnsi="t"/>
                <w:snapToGrid w:val="0"/>
                <w:kern w:val="0"/>
                <w:sz w:val="24"/>
              </w:rPr>
            </w:pPr>
            <w:r>
              <w:rPr>
                <w:rFonts w:hint="eastAsia" w:ascii="t" w:hAnsi="t"/>
                <w:snapToGrid w:val="0"/>
                <w:kern w:val="0"/>
                <w:sz w:val="24"/>
              </w:rPr>
              <w:t>3、大气污染防治措施</w:t>
            </w:r>
          </w:p>
          <w:p>
            <w:pPr>
              <w:spacing w:line="360" w:lineRule="auto"/>
              <w:ind w:firstLine="480" w:firstLineChars="200"/>
              <w:rPr>
                <w:rFonts w:ascii="t" w:hAnsi="t"/>
                <w:snapToGrid w:val="0"/>
                <w:kern w:val="0"/>
                <w:sz w:val="24"/>
              </w:rPr>
            </w:pPr>
            <w:r>
              <w:rPr>
                <w:rFonts w:hint="eastAsia" w:ascii="t" w:hAnsi="t"/>
                <w:snapToGrid w:val="0"/>
                <w:kern w:val="0"/>
                <w:sz w:val="24"/>
              </w:rPr>
              <w:t>施工期采取了以下措施治理扬尘：</w:t>
            </w:r>
          </w:p>
          <w:p>
            <w:pPr>
              <w:spacing w:line="360" w:lineRule="auto"/>
              <w:ind w:firstLine="480" w:firstLineChars="200"/>
              <w:rPr>
                <w:rFonts w:ascii="t" w:hAnsi="t"/>
                <w:snapToGrid w:val="0"/>
                <w:kern w:val="0"/>
                <w:sz w:val="24"/>
              </w:rPr>
            </w:pPr>
            <w:r>
              <w:rPr>
                <w:rFonts w:hint="eastAsia" w:ascii="t" w:hAnsi="t"/>
                <w:snapToGrid w:val="0"/>
                <w:kern w:val="0"/>
                <w:sz w:val="24"/>
              </w:rPr>
              <w:t>a、施工工地设置2m的蓝色硬质彩钢板密闭围档，在非雨天时适时洒水，包括正在施工的场地及主要运输道路等；</w:t>
            </w:r>
          </w:p>
          <w:p>
            <w:pPr>
              <w:spacing w:line="360" w:lineRule="auto"/>
              <w:ind w:firstLine="480" w:firstLineChars="200"/>
              <w:rPr>
                <w:rFonts w:ascii="t" w:hAnsi="t"/>
                <w:snapToGrid w:val="0"/>
                <w:kern w:val="0"/>
                <w:sz w:val="24"/>
              </w:rPr>
            </w:pPr>
            <w:r>
              <w:rPr>
                <w:rFonts w:hint="eastAsia" w:ascii="t" w:hAnsi="t"/>
                <w:snapToGrid w:val="0"/>
                <w:kern w:val="0"/>
                <w:sz w:val="24"/>
              </w:rPr>
              <w:t>b、材料如石灰、水泥等为袋装，运输途中未有扬尘散落，储存时堆入库房或用篷布覆盖；</w:t>
            </w:r>
          </w:p>
          <w:p>
            <w:pPr>
              <w:spacing w:line="360" w:lineRule="auto"/>
              <w:ind w:firstLine="480" w:firstLineChars="200"/>
              <w:rPr>
                <w:rFonts w:ascii="t" w:hAnsi="t"/>
                <w:snapToGrid w:val="0"/>
                <w:kern w:val="0"/>
                <w:sz w:val="24"/>
              </w:rPr>
            </w:pPr>
            <w:r>
              <w:rPr>
                <w:rFonts w:hint="eastAsia" w:ascii="t" w:hAnsi="t"/>
                <w:snapToGrid w:val="0"/>
                <w:kern w:val="0"/>
                <w:sz w:val="24"/>
              </w:rPr>
              <w:t>c、土、砂、石料运输未超载，装高未超过车厢板，并盖篷布；</w:t>
            </w:r>
          </w:p>
          <w:p>
            <w:pPr>
              <w:spacing w:line="360" w:lineRule="auto"/>
              <w:ind w:firstLine="480" w:firstLineChars="200"/>
              <w:rPr>
                <w:rFonts w:ascii="t" w:hAnsi="t"/>
                <w:snapToGrid w:val="0"/>
                <w:kern w:val="0"/>
                <w:sz w:val="24"/>
              </w:rPr>
            </w:pPr>
            <w:r>
              <w:rPr>
                <w:rFonts w:hint="eastAsia" w:ascii="t" w:hAnsi="t"/>
                <w:snapToGrid w:val="0"/>
                <w:kern w:val="0"/>
                <w:sz w:val="24"/>
              </w:rPr>
              <w:t>d、及时清运施工废弃物，暂时不能清运的采取覆盖措施，运输沙、石、水泥、土石方等易产尘物质的车辆封盖严密；</w:t>
            </w:r>
          </w:p>
          <w:p>
            <w:pPr>
              <w:spacing w:line="360" w:lineRule="auto"/>
              <w:ind w:firstLine="480" w:firstLineChars="200"/>
              <w:rPr>
                <w:rFonts w:ascii="t" w:hAnsi="t"/>
                <w:snapToGrid w:val="0"/>
                <w:kern w:val="0"/>
                <w:sz w:val="24"/>
              </w:rPr>
            </w:pPr>
            <w:r>
              <w:rPr>
                <w:rFonts w:hint="eastAsia" w:ascii="t" w:hAnsi="t"/>
                <w:snapToGrid w:val="0"/>
                <w:kern w:val="0"/>
                <w:sz w:val="24"/>
              </w:rPr>
              <w:t>e、工程完毕后及时清理施工场地，对施工场地、临时堆料场等，除及时进行清理外，进行硬化处理或绿化，并及时移交给土地使用方或政府。</w:t>
            </w:r>
          </w:p>
          <w:p>
            <w:pPr>
              <w:spacing w:line="360" w:lineRule="auto"/>
              <w:ind w:firstLine="480" w:firstLineChars="200"/>
              <w:rPr>
                <w:rFonts w:ascii="t" w:hAnsi="t"/>
                <w:snapToGrid w:val="0"/>
                <w:kern w:val="0"/>
                <w:sz w:val="24"/>
              </w:rPr>
            </w:pPr>
            <w:r>
              <w:rPr>
                <w:rFonts w:hint="eastAsia" w:ascii="t" w:hAnsi="t"/>
                <w:snapToGrid w:val="0"/>
                <w:kern w:val="0"/>
                <w:sz w:val="24"/>
              </w:rPr>
              <w:t>施工期扬尘的环境影响通过优化施工规划，合理布局、合理施工、加强管理等措施得以控制或减轻；同时，此阶段的影响时间短，伴随施工结束而消失，而且仅局限于施工区域，属于短期、阶段性影响。环评建议施工期采取的扬尘治理措施有：安排专职人员负责施工现场卫生管理工作；施工时湿法作业，对暴露的土层及时恢复或临时覆盖，及时洒水以减少风沙扬尘；运输线路及时清除尘土；定时洒水降尘，减少道路等二次扬尘；对施工场地周边进行打围；车辆（施工机械）离场前进行冲洗。</w:t>
            </w:r>
          </w:p>
          <w:p>
            <w:pPr>
              <w:spacing w:line="360" w:lineRule="auto"/>
              <w:ind w:firstLine="480" w:firstLineChars="200"/>
              <w:rPr>
                <w:rFonts w:ascii="t" w:hAnsi="t"/>
                <w:snapToGrid w:val="0"/>
                <w:kern w:val="0"/>
                <w:sz w:val="24"/>
              </w:rPr>
            </w:pPr>
            <w:r>
              <w:rPr>
                <w:rFonts w:hint="eastAsia" w:ascii="t" w:hAnsi="t"/>
                <w:snapToGrid w:val="0"/>
                <w:kern w:val="0"/>
                <w:sz w:val="24"/>
              </w:rPr>
              <w:t>根据同类项目现场施工经验可知，上述大气污染控制及减缓措施有效、可行，建设单位及施工单位在落实上述措施、强化环境管理的情况下，环评认为项目施工期产生的大气污染物对区域大气环境影响将很小，且影响将随着施工期的结束而消失。</w:t>
            </w:r>
          </w:p>
          <w:p>
            <w:pPr>
              <w:spacing w:line="360" w:lineRule="auto"/>
              <w:ind w:firstLine="480" w:firstLineChars="200"/>
              <w:rPr>
                <w:rFonts w:cs="Times New Roman"/>
                <w:b/>
                <w:sz w:val="24"/>
              </w:rPr>
            </w:pPr>
            <w:r>
              <w:rPr>
                <w:rFonts w:ascii="Times New Roman" w:hAnsi="Times New Roman" w:eastAsia="宋体" w:cs="Times New Roman"/>
                <w:b/>
                <w:sz w:val="24"/>
              </w:rPr>
              <w:t>（二）地表水环境影响分析</w:t>
            </w:r>
          </w:p>
          <w:p>
            <w:pPr>
              <w:spacing w:line="360" w:lineRule="auto"/>
              <w:ind w:firstLine="480" w:firstLineChars="200"/>
              <w:rPr>
                <w:sz w:val="24"/>
              </w:rPr>
            </w:pPr>
            <w:r>
              <w:rPr>
                <w:rFonts w:hint="eastAsia"/>
                <w:sz w:val="24"/>
              </w:rPr>
              <w:t>项目废水主要为施工人员的生活污水和少量的管道冲洗、试压废水</w:t>
            </w:r>
            <w:r>
              <w:rPr>
                <w:rFonts w:hint="eastAsia"/>
                <w:sz w:val="24"/>
                <w:szCs w:val="24"/>
                <w:lang w:val="en-US" w:eastAsia="zh-CN"/>
              </w:rPr>
              <w:t>及</w:t>
            </w:r>
            <w:r>
              <w:rPr>
                <w:rFonts w:hint="eastAsia"/>
                <w:sz w:val="24"/>
                <w:szCs w:val="24"/>
              </w:rPr>
              <w:t>设备清洗废水</w:t>
            </w:r>
            <w:r>
              <w:rPr>
                <w:rFonts w:hint="eastAsia"/>
                <w:sz w:val="24"/>
              </w:rPr>
              <w:t>。</w:t>
            </w:r>
          </w:p>
          <w:p>
            <w:pPr>
              <w:spacing w:line="360" w:lineRule="auto"/>
              <w:ind w:firstLine="480" w:firstLineChars="200"/>
              <w:rPr>
                <w:sz w:val="24"/>
              </w:rPr>
            </w:pPr>
            <w:r>
              <w:rPr>
                <w:rFonts w:hint="eastAsia"/>
                <w:sz w:val="24"/>
              </w:rPr>
              <w:t>施工人数高峰期约50人，人均生活污水排放量0.04m</w:t>
            </w:r>
            <w:r>
              <w:rPr>
                <w:rFonts w:hint="eastAsia"/>
                <w:sz w:val="24"/>
                <w:vertAlign w:val="superscript"/>
              </w:rPr>
              <w:t>3</w:t>
            </w:r>
            <w:r>
              <w:rPr>
                <w:rFonts w:hint="eastAsia"/>
                <w:sz w:val="24"/>
              </w:rPr>
              <w:t>/人，管道冲洗、试压废水产生量约2</w:t>
            </w:r>
            <w:r>
              <w:rPr>
                <w:rFonts w:hint="eastAsia"/>
                <w:sz w:val="24"/>
                <w:lang w:val="en-US" w:eastAsia="zh-CN"/>
              </w:rPr>
              <w:t>6.8</w:t>
            </w:r>
            <w:r>
              <w:rPr>
                <w:rFonts w:hint="eastAsia"/>
                <w:sz w:val="24"/>
              </w:rPr>
              <w:t>m</w:t>
            </w:r>
            <w:r>
              <w:rPr>
                <w:rFonts w:hint="eastAsia"/>
                <w:sz w:val="24"/>
                <w:vertAlign w:val="superscript"/>
              </w:rPr>
              <w:t>3</w:t>
            </w:r>
            <w:r>
              <w:rPr>
                <w:rFonts w:hint="eastAsia"/>
                <w:sz w:val="24"/>
              </w:rPr>
              <w:t>/d，生活污水主要污染物为BOD、COD</w:t>
            </w:r>
            <w:r>
              <w:rPr>
                <w:rFonts w:hint="eastAsia"/>
                <w:sz w:val="24"/>
                <w:lang w:val="en-US" w:eastAsia="zh-CN"/>
              </w:rPr>
              <w:t>cr</w:t>
            </w:r>
            <w:r>
              <w:rPr>
                <w:rFonts w:hint="eastAsia"/>
                <w:sz w:val="24"/>
              </w:rPr>
              <w:t>，浓度分别为200mg/L 和400mg/L。生活污水依托租用民房预处理池处理后用于农灌，不排入项目周边地表水体。</w:t>
            </w:r>
          </w:p>
          <w:p>
            <w:pPr>
              <w:spacing w:line="360" w:lineRule="auto"/>
              <w:ind w:firstLine="480" w:firstLineChars="200"/>
              <w:rPr>
                <w:sz w:val="24"/>
              </w:rPr>
            </w:pPr>
            <w:r>
              <w:rPr>
                <w:rFonts w:hint="eastAsia"/>
                <w:sz w:val="24"/>
              </w:rPr>
              <w:t>管道冲洗、试压废水</w:t>
            </w:r>
            <w:r>
              <w:rPr>
                <w:rFonts w:hint="eastAsia"/>
                <w:sz w:val="24"/>
                <w:lang w:val="en-US" w:eastAsia="zh-CN"/>
              </w:rPr>
              <w:t>和设备清洗废水</w:t>
            </w:r>
            <w:r>
              <w:rPr>
                <w:rFonts w:hint="eastAsia"/>
                <w:sz w:val="24"/>
              </w:rPr>
              <w:t>主要污染因子为SS，管道冲洗、试压分段进行，根据项目管道的长度和管径计算，本项目每个点的管道冲洗、试压废水</w:t>
            </w:r>
            <w:r>
              <w:rPr>
                <w:rFonts w:hint="eastAsia"/>
                <w:sz w:val="24"/>
                <w:lang w:val="en-US" w:eastAsia="zh-CN"/>
              </w:rPr>
              <w:t>和设备清洗废水</w:t>
            </w:r>
            <w:r>
              <w:rPr>
                <w:rFonts w:hint="eastAsia"/>
                <w:sz w:val="24"/>
              </w:rPr>
              <w:t>产生量合计约为26.8m</w:t>
            </w:r>
            <w:r>
              <w:rPr>
                <w:rFonts w:hint="eastAsia"/>
                <w:sz w:val="24"/>
                <w:vertAlign w:val="superscript"/>
              </w:rPr>
              <w:t>3</w:t>
            </w:r>
            <w:r>
              <w:rPr>
                <w:rFonts w:hint="eastAsia"/>
                <w:sz w:val="24"/>
                <w:vertAlign w:val="baseline"/>
                <w:lang w:val="en-US" w:eastAsia="zh-CN"/>
              </w:rPr>
              <w:t>/d</w:t>
            </w:r>
            <w:r>
              <w:rPr>
                <w:rFonts w:hint="eastAsia"/>
                <w:sz w:val="24"/>
              </w:rPr>
              <w:t>，项目施工量小，施工时间较短，冲洗、试压废水用于池子养护，最后清理用于浇灌周边农田，不直接外排入河流。因此，项目废水不会对周边水环境造成影响。</w:t>
            </w:r>
          </w:p>
          <w:p>
            <w:pPr>
              <w:spacing w:line="360" w:lineRule="auto"/>
              <w:ind w:firstLine="480" w:firstLineChars="200"/>
              <w:rPr>
                <w:rFonts w:cs="Times New Roman"/>
                <w:b/>
                <w:bCs/>
                <w:sz w:val="24"/>
              </w:rPr>
            </w:pPr>
            <w:r>
              <w:rPr>
                <w:rFonts w:ascii="Times New Roman" w:hAnsi="Times New Roman" w:eastAsia="宋体" w:cs="Times New Roman"/>
                <w:b/>
                <w:bCs/>
                <w:sz w:val="24"/>
              </w:rPr>
              <w:t>（三）声环境影响分析</w:t>
            </w:r>
          </w:p>
          <w:p>
            <w:pPr>
              <w:spacing w:line="360" w:lineRule="auto"/>
              <w:ind w:firstLine="480" w:firstLineChars="200"/>
              <w:rPr>
                <w:rFonts w:cs="Times New Roman"/>
                <w:sz w:val="24"/>
              </w:rPr>
            </w:pPr>
            <w:r>
              <w:rPr>
                <w:rFonts w:ascii="Times New Roman" w:hAnsi="Times New Roman" w:eastAsia="宋体" w:cs="Times New Roman"/>
                <w:sz w:val="24"/>
              </w:rPr>
              <w:t>根据工程建设特点，施工期噪声只要来自人工施工产生的噪声以及运输车辆产生的噪声，随着项目建设的完成，噪声影响也随之消失，对区域内住户产生的影响较小。</w:t>
            </w:r>
          </w:p>
          <w:p>
            <w:pPr>
              <w:pStyle w:val="19"/>
              <w:spacing w:before="0" w:line="360" w:lineRule="auto"/>
              <w:ind w:firstLine="480" w:firstLineChars="200"/>
              <w:rPr>
                <w:rFonts w:ascii="Times New Roman" w:hAnsi="Times New Roman" w:cs="Times New Roman"/>
                <w:b/>
                <w:bCs/>
              </w:rPr>
            </w:pPr>
            <w:r>
              <w:rPr>
                <w:rFonts w:ascii="Times New Roman" w:hAnsi="Times New Roman" w:cs="Times New Roman"/>
                <w:b/>
                <w:bCs/>
              </w:rPr>
              <w:t>（四）固体废物影响分析</w:t>
            </w:r>
          </w:p>
          <w:p>
            <w:pPr>
              <w:spacing w:line="360" w:lineRule="auto"/>
              <w:ind w:firstLine="480" w:firstLineChars="200"/>
              <w:rPr>
                <w:rFonts w:cs="Times New Roman"/>
                <w:sz w:val="24"/>
              </w:rPr>
            </w:pPr>
            <w:r>
              <w:rPr>
                <w:rFonts w:ascii="Times New Roman" w:hAnsi="Times New Roman" w:eastAsia="宋体" w:cs="Times New Roman"/>
                <w:bCs/>
                <w:sz w:val="24"/>
              </w:rPr>
              <w:t>本工程施工产生的固体废物主要是工程施工时挖掘的土方</w:t>
            </w:r>
            <w:r>
              <w:rPr>
                <w:rFonts w:hint="eastAsia" w:ascii="Times New Roman" w:hAnsi="Times New Roman" w:eastAsia="宋体" w:cs="Times New Roman"/>
                <w:bCs/>
                <w:sz w:val="24"/>
              </w:rPr>
              <w:t>和施工人员生活垃圾</w:t>
            </w:r>
            <w:r>
              <w:rPr>
                <w:rFonts w:ascii="Times New Roman" w:hAnsi="Times New Roman" w:eastAsia="宋体" w:cs="Times New Roman"/>
                <w:bCs/>
                <w:sz w:val="24"/>
              </w:rPr>
              <w:t>。</w:t>
            </w:r>
            <w:r>
              <w:rPr>
                <w:rFonts w:hint="eastAsia"/>
                <w:sz w:val="24"/>
              </w:rPr>
              <w:t>本工程土石方开挖量(含清基)为6506.6m</w:t>
            </w:r>
            <w:r>
              <w:rPr>
                <w:rFonts w:hint="eastAsia"/>
                <w:sz w:val="24"/>
                <w:vertAlign w:val="superscript"/>
              </w:rPr>
              <w:t>3</w:t>
            </w:r>
            <w:r>
              <w:rPr>
                <w:rFonts w:hint="eastAsia"/>
                <w:sz w:val="24"/>
              </w:rPr>
              <w:t>（自然方） ，本工程需要的土石方回填总量为5760 m</w:t>
            </w:r>
            <w:r>
              <w:rPr>
                <w:rFonts w:hint="eastAsia"/>
                <w:sz w:val="24"/>
                <w:vertAlign w:val="superscript"/>
              </w:rPr>
              <w:t>3</w:t>
            </w:r>
            <w:r>
              <w:rPr>
                <w:rFonts w:hint="eastAsia"/>
                <w:sz w:val="24"/>
              </w:rPr>
              <w:t>（自然方）。综合考虑损耗与利用率后，弃渣合计746.6m³（自然方），</w:t>
            </w:r>
            <w:r>
              <w:rPr>
                <w:rFonts w:ascii="Times New Roman" w:hAnsi="Times New Roman" w:eastAsia="宋体" w:cs="Times New Roman"/>
                <w:bCs/>
                <w:sz w:val="24"/>
              </w:rPr>
              <w:t>根</w:t>
            </w:r>
            <w:r>
              <w:rPr>
                <w:rFonts w:ascii="Times New Roman" w:hAnsi="Times New Roman" w:eastAsia="宋体" w:cs="Times New Roman"/>
                <w:sz w:val="24"/>
              </w:rPr>
              <w:t>据本工程特点，项目不设置永久弃渣场、料场，弃土石全部及时就近回填至农田、附近土地、机耕道或荒地。</w:t>
            </w:r>
          </w:p>
          <w:p>
            <w:pPr>
              <w:spacing w:line="360" w:lineRule="auto"/>
              <w:ind w:firstLine="480" w:firstLineChars="200"/>
              <w:rPr>
                <w:sz w:val="24"/>
              </w:rPr>
            </w:pPr>
            <w:r>
              <w:rPr>
                <w:rFonts w:hint="eastAsia"/>
                <w:sz w:val="24"/>
              </w:rPr>
              <w:t>项目高峰期施工人员50人，垃圾产生量约为25kg/d，集中收集后委托当地市政环卫部门送往指定生活垃圾处理场处理。</w:t>
            </w:r>
          </w:p>
          <w:p>
            <w:pPr>
              <w:spacing w:line="360" w:lineRule="auto"/>
              <w:ind w:firstLine="480" w:firstLineChars="200"/>
              <w:rPr>
                <w:rFonts w:cs="Times New Roman"/>
                <w:sz w:val="24"/>
              </w:rPr>
            </w:pPr>
            <w:r>
              <w:rPr>
                <w:rFonts w:ascii="Times New Roman" w:hAnsi="Times New Roman" w:eastAsia="宋体" w:cs="Times New Roman"/>
                <w:sz w:val="24"/>
              </w:rPr>
              <w:t>基于本工程的特点，施工阶段产生的建筑废物总量不会太大，但若不加以处置同样会对沿线局部地区土壤、大气和水环境造成污染。只要加强管理并采取合适的处置手段，完全可以减轻甚至消除施工期固体废物所带来的不良环境影响。</w:t>
            </w:r>
          </w:p>
          <w:p>
            <w:pPr>
              <w:spacing w:line="360" w:lineRule="auto"/>
              <w:ind w:firstLine="480" w:firstLineChars="200"/>
              <w:rPr>
                <w:rFonts w:cs="Times New Roman"/>
                <w:b/>
                <w:sz w:val="24"/>
              </w:rPr>
            </w:pPr>
            <w:r>
              <w:rPr>
                <w:rFonts w:ascii="Times New Roman" w:hAnsi="Times New Roman" w:eastAsia="宋体" w:cs="Times New Roman"/>
                <w:b/>
                <w:sz w:val="24"/>
              </w:rPr>
              <w:t>（五）生态环境影响分析</w:t>
            </w:r>
          </w:p>
          <w:p>
            <w:pPr>
              <w:spacing w:line="360" w:lineRule="auto"/>
              <w:ind w:firstLine="480" w:firstLineChars="200"/>
              <w:rPr>
                <w:rFonts w:cs="Times New Roman"/>
                <w:sz w:val="24"/>
              </w:rPr>
            </w:pPr>
            <w:r>
              <w:rPr>
                <w:rFonts w:ascii="Times New Roman" w:hAnsi="Times New Roman" w:eastAsia="宋体" w:cs="Times New Roman"/>
                <w:sz w:val="24"/>
              </w:rPr>
              <w:t>1、对生态环境的影响</w:t>
            </w:r>
          </w:p>
          <w:p>
            <w:pPr>
              <w:spacing w:line="360" w:lineRule="auto"/>
              <w:ind w:firstLine="480" w:firstLineChars="200"/>
              <w:rPr>
                <w:rFonts w:cs="Times New Roman"/>
                <w:sz w:val="24"/>
              </w:rPr>
            </w:pPr>
            <w:r>
              <w:rPr>
                <w:rFonts w:ascii="Times New Roman" w:hAnsi="Times New Roman" w:eastAsia="宋体" w:cs="Times New Roman"/>
                <w:sz w:val="24"/>
              </w:rPr>
              <w:t>（1）工程建设占用土地影响</w:t>
            </w:r>
          </w:p>
          <w:p>
            <w:pPr>
              <w:spacing w:line="360" w:lineRule="auto"/>
              <w:ind w:firstLine="480" w:firstLineChars="200"/>
              <w:rPr>
                <w:rFonts w:cs="Times New Roman"/>
                <w:sz w:val="24"/>
              </w:rPr>
            </w:pPr>
            <w:r>
              <w:rPr>
                <w:rFonts w:ascii="Times New Roman" w:hAnsi="Times New Roman" w:eastAsia="宋体" w:cs="Times New Roman"/>
                <w:sz w:val="24"/>
              </w:rPr>
              <w:t>本项目饮水管线基本沿乡村机耕道铺设在无农耕区域，沿线两侧基本无农户。仅在施工过程会临时性占地，主要用于管线及水池开挖土石方的堆积，材料临时对方用地等，仅在施工期内及以后较短时间内影响土地的利用，经过一定恢复期后，土地的利用状况不会发生改变，仍可以保持原有的使用功能。本项目管线采用间断推进施工方式，尽量减少开挖土石方的堆积量，避免土石方的堆积时间。</w:t>
            </w:r>
          </w:p>
          <w:p>
            <w:pPr>
              <w:spacing w:line="360" w:lineRule="auto"/>
              <w:ind w:firstLine="480" w:firstLineChars="200"/>
              <w:rPr>
                <w:rFonts w:cs="Times New Roman"/>
                <w:sz w:val="24"/>
              </w:rPr>
            </w:pPr>
            <w:r>
              <w:rPr>
                <w:rFonts w:ascii="Times New Roman" w:hAnsi="Times New Roman" w:eastAsia="宋体" w:cs="Times New Roman"/>
                <w:sz w:val="24"/>
              </w:rPr>
              <w:t>（2）对土壤环境的影响</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管线施工方法为开挖式，对土壤进行开挖的环境影响表现在：</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①破坏土壤结构：土壤结构的形成需要漫长的时间，土壤结构是土壤质量好坏的重要指标，特别是团粒结构是土壤质量的重要指标，团粒结构占比的比重较高，表示土壤质量越好，团粒结构一旦被破坏，恢复需要较长时间，而且比较困难。施工过程中对土地的开挖和填埋，容易破坏团粒结构，干扰团粒结构的自然形成过程。施工过程中的机械碾压、人员践踏等活动都会对土壤结构产生不良影响。</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②破坏土壤层次，改变土壤质地：土壤在形成过程中具有一定的分层特性，特别在褐土地区分层现象更为明显。土壤表层为腐殖质层，中层为淋溶层，底层为成土母质层。耕作层土壤被混合后，直接影响农作物的生长和产量。</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③影响土壤的紧实度：在施工机械作业中，机械设备的碾压，施工人员的践踏使土壤紧实度增高，影响地表水的入渗，土体过于紧实不利于作物的生长。</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④土壤养分流失：在土壤刨面中各个土层中，就养分状况而言，表土层有机质、全氮、全磷均较其他层次高。施工作业对原有的土体构型查谁能扰动，使土壤性质发生变化，土壤养分受到影响，从而影响植物的生长。</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⑤对土壤生物的影响由于上述土壤理化性质和土体构型的改变，使土壤中微生物、原生动物及其它节肢动物、环节动物、软体动物的栖息环境改变。由于施工区无珍稀土壤生物，且施工带影响宽度仅范围为0.2-0.8m，所以土壤生物的生态平衡很快会恢复。</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（3）对动植物生态环境影响</w:t>
            </w:r>
          </w:p>
          <w:p>
            <w:pPr>
              <w:spacing w:line="360" w:lineRule="auto"/>
              <w:ind w:firstLine="480" w:firstLineChars="200"/>
              <w:rPr>
                <w:rFonts w:cs="Times New Roman"/>
                <w:sz w:val="24"/>
              </w:rPr>
            </w:pPr>
            <w:r>
              <w:rPr>
                <w:rFonts w:cs="Times New Roman" w:asciiTheme="minorEastAsia" w:hAnsiTheme="minorEastAsia"/>
                <w:sz w:val="24"/>
              </w:rPr>
              <w:t>经实地勘察，管路沿线两侧无大型森林公园、自然保护区和大片森林。施工范围内也没有大型草场，管路沿线无珍稀野生动植物。由于管路经过的地区生态类型简单，为人工栽培</w:t>
            </w:r>
            <w:r>
              <w:rPr>
                <w:rFonts w:ascii="Times New Roman" w:hAnsi="Times New Roman" w:eastAsia="宋体" w:cs="Times New Roman"/>
                <w:sz w:val="24"/>
              </w:rPr>
              <w:t>植被，且施工作业面很窄，施工期又短，因此不会影响野生动植物的生存环境，对陆生生态环境影响较小。</w:t>
            </w:r>
          </w:p>
          <w:p>
            <w:pPr>
              <w:spacing w:line="360" w:lineRule="auto"/>
              <w:ind w:firstLine="480" w:firstLineChars="200"/>
              <w:rPr>
                <w:rFonts w:cs="Times New Roman"/>
                <w:sz w:val="24"/>
              </w:rPr>
            </w:pPr>
            <w:r>
              <w:rPr>
                <w:rFonts w:ascii="Times New Roman" w:hAnsi="Times New Roman" w:eastAsia="宋体" w:cs="Times New Roman"/>
                <w:sz w:val="24"/>
              </w:rPr>
              <w:t>2、景观生态影响评价</w:t>
            </w:r>
          </w:p>
          <w:p>
            <w:pPr>
              <w:spacing w:line="360" w:lineRule="auto"/>
              <w:ind w:firstLine="480" w:firstLineChars="200"/>
              <w:rPr>
                <w:rFonts w:cs="Times New Roman"/>
                <w:sz w:val="24"/>
              </w:rPr>
            </w:pPr>
            <w:r>
              <w:rPr>
                <w:rFonts w:ascii="Times New Roman" w:hAnsi="Times New Roman" w:eastAsia="宋体" w:cs="Times New Roman"/>
                <w:sz w:val="24"/>
              </w:rPr>
              <w:t>管线建成后，地表将被复原，原有的土地使用功能不会发生改变，因此不会改变评价区原有景观生态格局与生态功能，本项工程不存在拆迁居民。因此，按照景观生态学理论与方法评价。本项工程对该区域景观生态基本没有影响。</w:t>
            </w:r>
          </w:p>
          <w:p>
            <w:pPr>
              <w:spacing w:line="360" w:lineRule="auto"/>
              <w:ind w:firstLine="480" w:firstLineChars="200"/>
              <w:rPr>
                <w:rFonts w:cs="Times New Roman"/>
                <w:sz w:val="24"/>
              </w:rPr>
            </w:pPr>
            <w:r>
              <w:rPr>
                <w:rFonts w:ascii="Times New Roman" w:hAnsi="Times New Roman" w:eastAsia="宋体" w:cs="Times New Roman"/>
                <w:sz w:val="24"/>
              </w:rPr>
              <w:t>3、主要生态保护措施</w:t>
            </w:r>
          </w:p>
          <w:p>
            <w:pPr>
              <w:spacing w:line="360" w:lineRule="auto"/>
              <w:ind w:firstLine="480" w:firstLineChars="200"/>
              <w:rPr>
                <w:rFonts w:cs="Times New Roman"/>
                <w:sz w:val="24"/>
              </w:rPr>
            </w:pPr>
            <w:r>
              <w:rPr>
                <w:rFonts w:ascii="Times New Roman" w:hAnsi="Times New Roman" w:eastAsia="宋体" w:cs="Times New Roman"/>
                <w:sz w:val="24"/>
              </w:rPr>
              <w:t>（1）加强施工管理，将工程施工严格控制在规划征用的土地范围内，尤其工程永久占地严禁超出工程征地范围，禁止滥占附近土地，施工临时占地也应符合施工规划要求。</w:t>
            </w:r>
          </w:p>
          <w:p>
            <w:pPr>
              <w:spacing w:line="360" w:lineRule="auto"/>
              <w:ind w:firstLine="480" w:firstLineChars="200"/>
              <w:rPr>
                <w:rFonts w:cs="Times New Roman"/>
                <w:sz w:val="24"/>
              </w:rPr>
            </w:pPr>
            <w:r>
              <w:rPr>
                <w:rFonts w:ascii="Times New Roman" w:hAnsi="Times New Roman" w:eastAsia="宋体" w:cs="Times New Roman"/>
                <w:sz w:val="24"/>
              </w:rPr>
              <w:t>（2）施工产生的废弃土石方及时回填处理，施工生活垃圾集中收集处理，尽量减少水土流失，控制施工区生态环境影响的范围和程度。</w:t>
            </w:r>
          </w:p>
          <w:p>
            <w:pPr>
              <w:spacing w:line="360" w:lineRule="auto"/>
              <w:ind w:firstLine="480" w:firstLineChars="200"/>
              <w:rPr>
                <w:rFonts w:cs="Times New Roman"/>
                <w:sz w:val="24"/>
              </w:rPr>
            </w:pPr>
            <w:r>
              <w:rPr>
                <w:rFonts w:ascii="Times New Roman" w:hAnsi="Times New Roman" w:eastAsia="宋体" w:cs="Times New Roman"/>
                <w:sz w:val="24"/>
              </w:rPr>
              <w:t>（3）施工结束后，要实施植被恢复、绿化工程，对水池周边及管道沿线生态环境遭破坏地段，要进行全面绿化恢复，种植本地树种和草皮，严禁引入外来物种，恢复原有生态平衡和自然环境。</w:t>
            </w:r>
          </w:p>
          <w:p>
            <w:pPr>
              <w:spacing w:line="360" w:lineRule="auto"/>
              <w:ind w:firstLine="480" w:firstLineChars="200"/>
              <w:rPr>
                <w:rFonts w:cs="Times New Roman"/>
                <w:sz w:val="24"/>
              </w:rPr>
            </w:pPr>
            <w:r>
              <w:rPr>
                <w:rFonts w:ascii="Times New Roman" w:hAnsi="Times New Roman" w:eastAsia="宋体" w:cs="Times New Roman"/>
                <w:sz w:val="24"/>
              </w:rPr>
              <w:t>（4）加强施工期的组织管理，提高工效，缩短工期；施工期最好选在旱季，避开暴雨期施工；挖、填方施工施工时，尽量做到先筑挡土墙，随挖、随运、随压，严禁随意开挖取土取石，破坏植被。</w:t>
            </w:r>
          </w:p>
          <w:p>
            <w:pPr>
              <w:spacing w:line="360" w:lineRule="auto"/>
              <w:ind w:firstLine="480" w:firstLineChars="200"/>
              <w:rPr>
                <w:rFonts w:cs="Times New Roman"/>
                <w:sz w:val="24"/>
              </w:rPr>
            </w:pPr>
            <w:r>
              <w:rPr>
                <w:rFonts w:ascii="Times New Roman" w:hAnsi="Times New Roman" w:eastAsia="宋体" w:cs="Times New Roman"/>
                <w:sz w:val="24"/>
              </w:rPr>
              <w:t>（5）施工结束后，施工场地、迹地采用当地树种及花草进行绿化及美化。</w:t>
            </w:r>
          </w:p>
          <w:p>
            <w:pPr>
              <w:spacing w:line="360" w:lineRule="auto"/>
              <w:ind w:firstLine="480" w:firstLineChars="200"/>
              <w:rPr>
                <w:rFonts w:cs="Times New Roman"/>
                <w:sz w:val="24"/>
              </w:rPr>
            </w:pPr>
            <w:r>
              <w:rPr>
                <w:rFonts w:ascii="Times New Roman" w:hAnsi="Times New Roman" w:eastAsia="宋体" w:cs="Times New Roman"/>
                <w:sz w:val="24"/>
              </w:rPr>
              <w:t>（6）环评要求业主按照相应水保规范做好水土保持工作。</w:t>
            </w:r>
          </w:p>
          <w:p>
            <w:pPr>
              <w:spacing w:line="360" w:lineRule="auto"/>
              <w:ind w:firstLine="480" w:firstLineChars="200"/>
              <w:rPr>
                <w:rFonts w:cs="Times New Roman"/>
                <w:sz w:val="24"/>
              </w:rPr>
            </w:pPr>
            <w:r>
              <w:rPr>
                <w:rFonts w:ascii="Times New Roman" w:hAnsi="Times New Roman" w:eastAsia="宋体" w:cs="Times New Roman"/>
                <w:sz w:val="24"/>
              </w:rPr>
              <w:t>（7）作好项目挖填土方的合理调配工作。本次管线挖方均堆于管线两侧，弃土堆放点应采取防护措施，避免在降雨期间挖填土方，以防雨水冲刷造成水土流失、污染水体、堵塞排水渠道。</w:t>
            </w:r>
          </w:p>
          <w:p>
            <w:pPr>
              <w:spacing w:line="360" w:lineRule="auto"/>
              <w:ind w:firstLine="480" w:firstLineChars="200"/>
              <w:rPr>
                <w:rFonts w:cs="Times New Roman"/>
                <w:sz w:val="24"/>
              </w:rPr>
            </w:pPr>
            <w:r>
              <w:rPr>
                <w:rFonts w:ascii="Times New Roman" w:hAnsi="Times New Roman" w:eastAsia="宋体" w:cs="Times New Roman"/>
                <w:sz w:val="24"/>
              </w:rPr>
              <w:t>通过采取上述生态保护措施，可最大程度的降低本项目建设对生态环境的影响和破坏。</w:t>
            </w:r>
          </w:p>
          <w:p>
            <w:pPr>
              <w:spacing w:line="360" w:lineRule="auto"/>
              <w:ind w:firstLine="480" w:firstLineChars="200"/>
              <w:rPr>
                <w:rFonts w:cs="Times New Roman"/>
                <w:sz w:val="24"/>
              </w:rPr>
            </w:pPr>
            <w:r>
              <w:rPr>
                <w:rFonts w:ascii="Times New Roman" w:hAnsi="Times New Roman" w:eastAsia="宋体" w:cs="Times New Roman"/>
                <w:sz w:val="24"/>
              </w:rPr>
              <w:t>综上所述，本项目</w:t>
            </w:r>
            <w:r>
              <w:rPr>
                <w:rFonts w:hint="eastAsia" w:ascii="Times New Roman" w:hAnsi="Times New Roman" w:eastAsia="宋体" w:cs="Times New Roman"/>
                <w:sz w:val="24"/>
              </w:rPr>
              <w:t>主要</w:t>
            </w:r>
            <w:r>
              <w:rPr>
                <w:rFonts w:ascii="Times New Roman" w:hAnsi="Times New Roman" w:eastAsia="宋体" w:cs="Times New Roman"/>
                <w:sz w:val="24"/>
              </w:rPr>
              <w:t>生态环境影响是在施工期，工程实施对项目周围生态环境影响很小，只要采取相应的生态保护和恢复措施，项目建设对生态环境的影响是可以接受的。</w:t>
            </w:r>
          </w:p>
          <w:p>
            <w:pPr>
              <w:widowControl/>
              <w:numPr>
                <w:ilvl w:val="0"/>
                <w:numId w:val="6"/>
              </w:numPr>
              <w:adjustRightInd w:val="0"/>
              <w:snapToGrid w:val="0"/>
              <w:spacing w:line="360" w:lineRule="auto"/>
              <w:ind w:firstLine="480" w:firstLineChars="200"/>
              <w:rPr>
                <w:rFonts w:cs="Times New Roman"/>
                <w:b/>
                <w:bCs/>
                <w:sz w:val="24"/>
              </w:rPr>
            </w:pPr>
            <w:r>
              <w:rPr>
                <w:rFonts w:ascii="Times New Roman" w:hAnsi="Times New Roman" w:eastAsia="宋体" w:cs="Times New Roman"/>
                <w:b/>
                <w:bCs/>
                <w:sz w:val="24"/>
              </w:rPr>
              <w:t>社会环境影响分析</w:t>
            </w:r>
          </w:p>
          <w:p>
            <w:pPr>
              <w:spacing w:line="360" w:lineRule="auto"/>
              <w:ind w:firstLine="480" w:firstLineChars="200"/>
              <w:rPr>
                <w:rFonts w:cs="Times New Roman"/>
                <w:sz w:val="24"/>
              </w:rPr>
            </w:pPr>
            <w:r>
              <w:rPr>
                <w:rFonts w:ascii="Times New Roman" w:hAnsi="Times New Roman" w:eastAsia="宋体" w:cs="Times New Roman"/>
                <w:sz w:val="24"/>
              </w:rPr>
              <w:t>项目施工期社会环境影响主要表现为交通影响。</w:t>
            </w:r>
          </w:p>
          <w:p>
            <w:pPr>
              <w:widowControl/>
              <w:numPr>
                <w:ilvl w:val="0"/>
                <w:numId w:val="7"/>
              </w:numPr>
              <w:adjustRightInd w:val="0"/>
              <w:snapToGrid w:val="0"/>
              <w:spacing w:line="360" w:lineRule="auto"/>
              <w:ind w:firstLine="480" w:firstLineChars="200"/>
              <w:rPr>
                <w:rFonts w:cs="Times New Roman"/>
                <w:sz w:val="24"/>
              </w:rPr>
            </w:pPr>
            <w:r>
              <w:rPr>
                <w:rFonts w:ascii="Times New Roman" w:hAnsi="Times New Roman" w:eastAsia="宋体" w:cs="Times New Roman"/>
                <w:sz w:val="24"/>
              </w:rPr>
              <w:t>交通影响分析</w:t>
            </w:r>
          </w:p>
          <w:p>
            <w:pPr>
              <w:spacing w:line="360" w:lineRule="auto"/>
              <w:ind w:firstLine="480" w:firstLineChars="200"/>
              <w:rPr>
                <w:rFonts w:cs="Times New Roman"/>
                <w:sz w:val="24"/>
              </w:rPr>
            </w:pPr>
            <w:r>
              <w:rPr>
                <w:rFonts w:ascii="Times New Roman" w:hAnsi="Times New Roman" w:eastAsia="宋体" w:cs="Times New Roman"/>
                <w:sz w:val="24"/>
              </w:rPr>
              <w:t>本环评要求临时对方的土方应尽量置于管路两侧，但施工时土方的临时堆置不可避免的还是会对该路段的车辆和行人通行造成一定的影响。</w:t>
            </w:r>
          </w:p>
          <w:p>
            <w:pPr>
              <w:widowControl/>
              <w:numPr>
                <w:ilvl w:val="0"/>
                <w:numId w:val="7"/>
              </w:numPr>
              <w:adjustRightInd w:val="0"/>
              <w:snapToGrid w:val="0"/>
              <w:spacing w:line="360" w:lineRule="auto"/>
              <w:ind w:firstLine="480" w:firstLineChars="200"/>
              <w:rPr>
                <w:rFonts w:cs="Times New Roman"/>
                <w:sz w:val="24"/>
              </w:rPr>
            </w:pPr>
            <w:r>
              <w:rPr>
                <w:rFonts w:ascii="Times New Roman" w:hAnsi="Times New Roman" w:eastAsia="宋体" w:cs="Times New Roman"/>
                <w:sz w:val="24"/>
              </w:rPr>
              <w:t>交通影响缓解管理措施</w:t>
            </w:r>
          </w:p>
          <w:p>
            <w:pPr>
              <w:spacing w:line="360" w:lineRule="auto"/>
              <w:ind w:firstLine="480" w:firstLineChars="200"/>
              <w:rPr>
                <w:rFonts w:cs="Times New Roman"/>
                <w:sz w:val="24"/>
              </w:rPr>
            </w:pPr>
            <w:r>
              <w:rPr>
                <w:rFonts w:ascii="Times New Roman" w:hAnsi="Times New Roman" w:eastAsia="宋体" w:cs="Times New Roman"/>
                <w:sz w:val="24"/>
              </w:rPr>
              <w:t>（1）合理安排施工时间，夜间及午休时间严禁施工；</w:t>
            </w:r>
          </w:p>
          <w:p>
            <w:pPr>
              <w:spacing w:line="360" w:lineRule="auto"/>
              <w:ind w:firstLine="480" w:firstLineChars="200"/>
              <w:rPr>
                <w:rFonts w:cs="Times New Roman"/>
                <w:sz w:val="24"/>
              </w:rPr>
            </w:pPr>
            <w:r>
              <w:rPr>
                <w:rFonts w:ascii="Times New Roman" w:hAnsi="Times New Roman" w:eastAsia="宋体" w:cs="Times New Roman"/>
                <w:sz w:val="24"/>
              </w:rPr>
              <w:t>（2）管路施工土方及时清运，不得乱堆乱放；</w:t>
            </w:r>
          </w:p>
          <w:p>
            <w:pPr>
              <w:spacing w:line="360" w:lineRule="auto"/>
              <w:ind w:firstLine="480" w:firstLineChars="200"/>
              <w:rPr>
                <w:rFonts w:cs="Times New Roman"/>
                <w:sz w:val="24"/>
              </w:rPr>
            </w:pPr>
            <w:r>
              <w:rPr>
                <w:rFonts w:ascii="Times New Roman" w:hAnsi="Times New Roman" w:eastAsia="宋体" w:cs="Times New Roman"/>
                <w:sz w:val="24"/>
              </w:rPr>
              <w:t>（3）当地环境主管部门加强监管力度。</w:t>
            </w:r>
          </w:p>
          <w:p>
            <w:pPr>
              <w:spacing w:line="360" w:lineRule="auto"/>
              <w:ind w:firstLine="480" w:firstLineChars="200"/>
              <w:rPr>
                <w:rFonts w:cs="Times New Roman"/>
                <w:sz w:val="24"/>
              </w:rPr>
            </w:pPr>
            <w:r>
              <w:rPr>
                <w:rFonts w:ascii="Times New Roman" w:hAnsi="Times New Roman" w:eastAsia="宋体" w:cs="Times New Roman"/>
                <w:sz w:val="24"/>
              </w:rPr>
              <w:t>项目不涉及河流的穿越工程。</w:t>
            </w:r>
          </w:p>
          <w:p>
            <w:pPr>
              <w:spacing w:line="360" w:lineRule="auto"/>
              <w:ind w:firstLine="480" w:firstLineChars="200"/>
              <w:rPr>
                <w:rFonts w:cs="Times New Roman"/>
                <w:b/>
                <w:bCs/>
                <w:sz w:val="24"/>
              </w:rPr>
            </w:pPr>
            <w:r>
              <w:rPr>
                <w:rFonts w:ascii="Times New Roman" w:hAnsi="Times New Roman" w:eastAsia="宋体" w:cs="Times New Roman"/>
                <w:b/>
                <w:bCs/>
                <w:sz w:val="24"/>
              </w:rPr>
              <w:t>二、营运期环境影响分析</w:t>
            </w:r>
          </w:p>
          <w:p>
            <w:pPr>
              <w:spacing w:line="360" w:lineRule="auto"/>
              <w:ind w:firstLine="480" w:firstLineChars="200"/>
              <w:rPr>
                <w:sz w:val="24"/>
              </w:rPr>
            </w:pPr>
            <w:r>
              <w:rPr>
                <w:rFonts w:hint="eastAsia"/>
                <w:sz w:val="24"/>
              </w:rPr>
              <w:t>本项目为饮水工程建设项目，项目蓄水池、滤池及利用原有水池改建的消毒池修建采用混凝土浇筑，然后采用3mm防水涂膜处理，通过以上措施，将不会对项目周边的地表水以及地下水产生影响。</w:t>
            </w:r>
          </w:p>
          <w:p>
            <w:pPr>
              <w:spacing w:line="360" w:lineRule="auto"/>
              <w:ind w:firstLine="480" w:firstLineChars="200"/>
              <w:rPr>
                <w:sz w:val="24"/>
              </w:rPr>
            </w:pPr>
            <w:r>
              <w:rPr>
                <w:rFonts w:hint="eastAsia"/>
                <w:sz w:val="24"/>
              </w:rPr>
              <w:t>本项目营运期仅沉砂池会产生少量底泥，底泥每三月派管理人员清掏一次。清掏的底泥用于填补至低洼地，或用于周边农田肥田，不会对周会环境造成影响。</w:t>
            </w:r>
          </w:p>
          <w:p>
            <w:pPr>
              <w:spacing w:line="360" w:lineRule="auto"/>
              <w:ind w:firstLine="480" w:firstLineChars="200"/>
              <w:rPr>
                <w:b/>
                <w:bCs/>
                <w:sz w:val="24"/>
              </w:rPr>
            </w:pPr>
            <w:r>
              <w:rPr>
                <w:rFonts w:hint="eastAsia"/>
                <w:b/>
                <w:bCs/>
                <w:sz w:val="24"/>
              </w:rPr>
              <w:t>三、环境效益分析</w:t>
            </w:r>
          </w:p>
          <w:p>
            <w:pPr>
              <w:spacing w:line="360" w:lineRule="auto"/>
              <w:ind w:firstLine="480" w:firstLineChars="200"/>
              <w:rPr>
                <w:sz w:val="24"/>
              </w:rPr>
            </w:pPr>
            <w:r>
              <w:rPr>
                <w:rFonts w:hint="eastAsia"/>
                <w:sz w:val="24"/>
              </w:rPr>
              <w:t>1、社会效益分析</w:t>
            </w:r>
          </w:p>
          <w:p>
            <w:pPr>
              <w:spacing w:line="360" w:lineRule="auto"/>
              <w:ind w:firstLine="480" w:firstLineChars="200"/>
              <w:rPr>
                <w:rFonts w:cs="Times New Roman"/>
                <w:bCs/>
                <w:sz w:val="24"/>
              </w:rPr>
            </w:pPr>
            <w:r>
              <w:rPr>
                <w:rFonts w:ascii="Times New Roman" w:hAnsi="Times New Roman" w:eastAsia="宋体" w:cs="Times New Roman"/>
                <w:bCs/>
                <w:sz w:val="24"/>
              </w:rPr>
              <w:t>本项目的经济、社会效益主要表现在以下几个方面：</w:t>
            </w:r>
          </w:p>
          <w:p>
            <w:pPr>
              <w:spacing w:line="360" w:lineRule="auto"/>
              <w:ind w:firstLine="480" w:firstLineChars="200"/>
              <w:rPr>
                <w:rFonts w:cs="Times New Roman"/>
                <w:sz w:val="24"/>
              </w:rPr>
            </w:pPr>
            <w:r>
              <w:rPr>
                <w:rFonts w:ascii="Times New Roman" w:hAnsi="Times New Roman" w:eastAsia="宋体" w:cs="Times New Roman"/>
                <w:sz w:val="24"/>
              </w:rPr>
              <w:t>1）提高农业基础产业地位，促进民族地区经济发展，解决人畜饮水问题。</w:t>
            </w:r>
          </w:p>
          <w:p>
            <w:pPr>
              <w:spacing w:line="360" w:lineRule="auto"/>
              <w:ind w:firstLine="480" w:firstLineChars="200"/>
              <w:rPr>
                <w:rFonts w:cs="Times New Roman"/>
                <w:sz w:val="24"/>
              </w:rPr>
            </w:pPr>
            <w:r>
              <w:rPr>
                <w:rFonts w:ascii="Times New Roman" w:hAnsi="Times New Roman" w:eastAsia="宋体" w:cs="Times New Roman"/>
                <w:sz w:val="24"/>
              </w:rPr>
              <w:t>2）加强水源建设，满足服务区的饮水安全需要。</w:t>
            </w:r>
          </w:p>
          <w:p>
            <w:pPr>
              <w:spacing w:line="360" w:lineRule="auto"/>
              <w:ind w:firstLine="480" w:firstLineChars="200"/>
              <w:rPr>
                <w:rFonts w:cs="Times New Roman"/>
                <w:sz w:val="24"/>
              </w:rPr>
            </w:pPr>
            <w:r>
              <w:rPr>
                <w:rFonts w:ascii="Times New Roman" w:hAnsi="Times New Roman" w:eastAsia="宋体" w:cs="Times New Roman"/>
                <w:sz w:val="24"/>
              </w:rPr>
              <w:t>3）改善生态环境，解决水土流失问题。</w:t>
            </w:r>
          </w:p>
          <w:p>
            <w:pPr>
              <w:spacing w:line="360" w:lineRule="auto"/>
              <w:ind w:firstLine="480" w:firstLineChars="200"/>
              <w:rPr>
                <w:sz w:val="24"/>
              </w:rPr>
            </w:pPr>
            <w:r>
              <w:rPr>
                <w:rFonts w:hint="eastAsia"/>
                <w:sz w:val="24"/>
              </w:rPr>
              <w:t>2、环境效益分析</w:t>
            </w:r>
          </w:p>
          <w:p>
            <w:pPr>
              <w:spacing w:line="360" w:lineRule="auto"/>
              <w:ind w:firstLine="480" w:firstLineChars="200"/>
              <w:rPr>
                <w:sz w:val="24"/>
              </w:rPr>
            </w:pPr>
            <w:r>
              <w:rPr>
                <w:rFonts w:hint="eastAsia"/>
                <w:sz w:val="24"/>
              </w:rPr>
              <w:t>本项目为饮水设施建设项目，本项目的建设能保障农村饮用水的安全，项目的运行将解决970人饮水问题，切实解决群众日常生活用水困难情况。具有显著的社会效益，为促进边远贫困少数民族地区经济的发展，为更好的建设群众安居乐业、社会政治稳定、人与自然和谐的家园奠定基础。从而改善区域群众的生活环境，对环境的不利影响较小。</w:t>
            </w:r>
          </w:p>
          <w:p>
            <w:pPr>
              <w:spacing w:line="360" w:lineRule="auto"/>
              <w:ind w:firstLine="480" w:firstLineChars="200"/>
              <w:rPr>
                <w:sz w:val="24"/>
              </w:rPr>
            </w:pPr>
            <w:r>
              <w:rPr>
                <w:rFonts w:hint="eastAsia"/>
                <w:sz w:val="24"/>
              </w:rPr>
              <w:t>3、饮用水安全保障</w:t>
            </w:r>
          </w:p>
          <w:p>
            <w:pPr>
              <w:spacing w:line="360" w:lineRule="auto"/>
              <w:ind w:firstLine="480" w:firstLineChars="200"/>
              <w:rPr>
                <w:sz w:val="24"/>
              </w:rPr>
            </w:pPr>
            <w:r>
              <w:rPr>
                <w:rFonts w:hint="eastAsia"/>
                <w:sz w:val="24"/>
              </w:rPr>
              <w:t>项目在运营期需各乡安排的管理人员认真履行职责，建立能良性运营的管理机制和管理制度，做好水源保护，在发现水源及管路出现问题后立即处理，将保证饮用水的安全及避免水土流失等问题。</w:t>
            </w:r>
          </w:p>
          <w:p>
            <w:pPr>
              <w:spacing w:line="360" w:lineRule="auto"/>
              <w:ind w:firstLine="480" w:firstLineChars="200"/>
              <w:rPr>
                <w:rFonts w:cs="Times New Roman"/>
                <w:sz w:val="24"/>
              </w:rPr>
            </w:pPr>
            <w:r>
              <w:rPr>
                <w:rFonts w:ascii="Times New Roman" w:hAnsi="Times New Roman" w:eastAsia="宋体" w:cs="Times New Roman"/>
                <w:sz w:val="24"/>
              </w:rPr>
              <w:t>本项目水源保护地应严格按照国家饮用水水源地保护办法进行水源保护区范围内的整治工作，确保水源地水质满足《生活饮用水水源水质标准》（CJ3020-1993）Ⅱ类水质要求。</w:t>
            </w:r>
          </w:p>
          <w:p>
            <w:pPr>
              <w:spacing w:line="360" w:lineRule="auto"/>
              <w:ind w:firstLine="480" w:firstLineChars="200"/>
              <w:rPr>
                <w:rFonts w:cs="Times New Roman"/>
                <w:sz w:val="24"/>
              </w:rPr>
            </w:pPr>
            <w:r>
              <w:rPr>
                <w:rFonts w:ascii="Times New Roman" w:hAnsi="Times New Roman" w:eastAsia="宋体" w:cs="Times New Roman"/>
                <w:sz w:val="24"/>
              </w:rPr>
              <w:t>（1）一级保护区：自取水口下游100m起至取水口上游1000m处的水域及其两岸纵深各200m的陆域为一级水源保护区。</w:t>
            </w:r>
          </w:p>
          <w:p>
            <w:pPr>
              <w:spacing w:line="360" w:lineRule="auto"/>
              <w:ind w:firstLine="480" w:firstLineChars="200"/>
              <w:rPr>
                <w:rFonts w:cs="Times New Roman"/>
                <w:sz w:val="24"/>
              </w:rPr>
            </w:pPr>
            <w:r>
              <w:rPr>
                <w:rFonts w:ascii="Times New Roman" w:hAnsi="Times New Roman" w:eastAsia="宋体" w:cs="Times New Roman"/>
                <w:sz w:val="24"/>
              </w:rPr>
              <w:t>（2）二级保护区：从一级保护区上界起上溯2500米的水域及一级保护区下游200m的水域其河岸两侧纵深各200米的陆域。</w:t>
            </w:r>
          </w:p>
          <w:p>
            <w:pPr>
              <w:pStyle w:val="19"/>
              <w:spacing w:before="0" w:line="360" w:lineRule="auto"/>
              <w:ind w:firstLine="480" w:firstLineChars="200"/>
              <w:rPr>
                <w:rFonts w:ascii="Times New Roman" w:hAnsi="Times New Roman" w:cs="Times New Roman"/>
              </w:rPr>
            </w:pPr>
            <w:r>
              <w:rPr>
                <w:rFonts w:ascii="Times New Roman" w:hAnsi="Times New Roman" w:cs="Times New Roman"/>
              </w:rPr>
              <w:t>（3）准保护区：自二级保护区上边界起上溯5000m的水域及其两岸纵深各200m的陆域为水源准保护区。</w:t>
            </w:r>
          </w:p>
          <w:p>
            <w:pPr>
              <w:spacing w:line="360" w:lineRule="auto"/>
              <w:ind w:firstLine="480" w:firstLineChars="200"/>
              <w:rPr>
                <w:rFonts w:cs="Times New Roman"/>
                <w:sz w:val="24"/>
              </w:rPr>
            </w:pPr>
            <w:r>
              <w:rPr>
                <w:rFonts w:ascii="Times New Roman" w:hAnsi="Times New Roman" w:eastAsia="宋体" w:cs="Times New Roman"/>
                <w:sz w:val="24"/>
              </w:rPr>
              <w:t>向保护区内居民加强《饮用水源保护区污染防治管理规定》的宣传教育工作，提高居民的水源地保护意识。</w:t>
            </w:r>
          </w:p>
          <w:p>
            <w:pPr>
              <w:spacing w:line="360" w:lineRule="auto"/>
              <w:ind w:firstLine="480" w:firstLineChars="200"/>
              <w:rPr>
                <w:rFonts w:cs="Times New Roman"/>
                <w:sz w:val="24"/>
              </w:rPr>
            </w:pPr>
            <w:r>
              <w:rPr>
                <w:rFonts w:ascii="Times New Roman" w:hAnsi="Times New Roman" w:eastAsia="宋体" w:cs="Times New Roman"/>
                <w:sz w:val="24"/>
              </w:rPr>
              <w:t>加强保护区内居民生活垃圾的收集与清运工作，加强保护区内附近农村耕地的管理工作，可退耕还林的耕地可实行退耕还林，不能退耕的要禁止使用剧毒和高残留农药，不得滥用化肥。</w:t>
            </w:r>
          </w:p>
          <w:p>
            <w:pPr>
              <w:spacing w:line="360" w:lineRule="auto"/>
              <w:ind w:firstLine="480" w:firstLineChars="200"/>
              <w:rPr>
                <w:rFonts w:cs="Times New Roman"/>
                <w:sz w:val="24"/>
              </w:rPr>
            </w:pPr>
            <w:r>
              <w:rPr>
                <w:rFonts w:ascii="Times New Roman" w:hAnsi="Times New Roman" w:eastAsia="宋体" w:cs="Times New Roman"/>
                <w:sz w:val="24"/>
              </w:rPr>
              <w:t>在饮用水保护区内，要坚决贯彻执行国家环保局、卫生局、建设部、水利部、地质矿产部颁发的《饮用水源保护区污染防治管理规定》和四川省的《四川省饮用水源区污染防治管理条例》。</w:t>
            </w:r>
          </w:p>
          <w:p>
            <w:pPr>
              <w:spacing w:line="360" w:lineRule="auto"/>
              <w:ind w:firstLine="480" w:firstLineChars="200"/>
              <w:rPr>
                <w:rFonts w:ascii="Times New Roman" w:hAnsi="Times New Roman" w:eastAsia="宋体" w:cs="Times New Roman"/>
                <w:b/>
                <w:sz w:val="24"/>
              </w:rPr>
            </w:pPr>
            <w:r>
              <w:rPr>
                <w:rFonts w:hint="eastAsia" w:ascii="Times New Roman" w:hAnsi="Times New Roman" w:eastAsia="宋体" w:cs="Times New Roman"/>
                <w:b/>
                <w:sz w:val="24"/>
              </w:rPr>
              <w:t>四、环境风险评价</w:t>
            </w:r>
          </w:p>
          <w:p>
            <w:pPr>
              <w:spacing w:line="360" w:lineRule="auto"/>
              <w:ind w:firstLine="480" w:firstLineChars="200"/>
              <w:rPr>
                <w:rFonts w:asciiTheme="minorEastAsia" w:hAnsiTheme="minorEastAsia" w:cstheme="minorEastAsia"/>
                <w:bCs/>
                <w:sz w:val="24"/>
              </w:rPr>
            </w:pPr>
            <w:r>
              <w:rPr>
                <w:rFonts w:hint="eastAsia" w:asciiTheme="minorEastAsia" w:hAnsiTheme="minorEastAsia" w:cstheme="minorEastAsia"/>
                <w:bCs/>
                <w:sz w:val="24"/>
              </w:rPr>
              <w:t>本环评事故风险评价不考虑工程外部事故风险因素（如地震、雷电、战争、人为蓄意破坏等），主要考虑可能对项目周围环境造成污染的危险事故，假想事故应当是可能对周围环境造成最大影响的可信事故。</w:t>
            </w:r>
          </w:p>
          <w:p>
            <w:pPr>
              <w:spacing w:line="360" w:lineRule="auto"/>
              <w:ind w:firstLine="480" w:firstLineChars="200"/>
              <w:rPr>
                <w:rFonts w:asciiTheme="minorEastAsia" w:hAnsiTheme="minorEastAsia" w:cstheme="minorEastAsia"/>
                <w:b/>
                <w:sz w:val="24"/>
              </w:rPr>
            </w:pPr>
            <w:r>
              <w:rPr>
                <w:rFonts w:hint="eastAsia" w:asciiTheme="minorEastAsia" w:hAnsiTheme="minorEastAsia" w:cstheme="minorEastAsia"/>
                <w:b/>
                <w:sz w:val="24"/>
              </w:rPr>
              <w:t>1、风险调查</w:t>
            </w:r>
          </w:p>
          <w:p>
            <w:pPr>
              <w:spacing w:line="360" w:lineRule="auto"/>
              <w:ind w:firstLine="480" w:firstLineChars="200"/>
              <w:rPr>
                <w:rFonts w:asciiTheme="minorEastAsia" w:hAnsiTheme="minorEastAsia" w:cstheme="minorEastAsia"/>
                <w:bCs/>
                <w:sz w:val="24"/>
              </w:rPr>
            </w:pPr>
            <w:r>
              <w:rPr>
                <w:rFonts w:hint="eastAsia" w:asciiTheme="minorEastAsia" w:hAnsiTheme="minorEastAsia" w:cstheme="minorEastAsia"/>
                <w:bCs/>
                <w:sz w:val="24"/>
              </w:rPr>
              <w:t>本项目原材料中使用的消毒剂为二氧化氯，二氧化氯直接用成品，不现场勾兑，因此二氧化氯不属于《危险化学品目录》（2015版）及《国家危险废物名录》（部令第39号）（2016年）。</w:t>
            </w:r>
          </w:p>
          <w:p>
            <w:pPr>
              <w:pStyle w:val="2"/>
              <w:spacing w:after="0" w:line="360" w:lineRule="auto"/>
              <w:ind w:left="0" w:leftChars="0" w:firstLine="480" w:firstLineChars="200"/>
              <w:rPr>
                <w:rFonts w:asciiTheme="minorEastAsia" w:hAnsiTheme="minorEastAsia" w:cstheme="minorEastAsia"/>
                <w:b/>
                <w:sz w:val="24"/>
              </w:rPr>
            </w:pPr>
            <w:r>
              <w:rPr>
                <w:rFonts w:hint="eastAsia" w:asciiTheme="minorEastAsia" w:hAnsiTheme="minorEastAsia" w:cstheme="minorEastAsia"/>
                <w:b/>
                <w:sz w:val="24"/>
              </w:rPr>
              <w:t>2、环境风险潜势初判及环境风险评价工作等级分析</w:t>
            </w:r>
          </w:p>
          <w:p>
            <w:pPr>
              <w:pStyle w:val="3"/>
              <w:spacing w:line="360" w:lineRule="auto"/>
              <w:ind w:firstLine="480" w:firstLineChars="200"/>
              <w:rPr>
                <w:rFonts w:asciiTheme="minorEastAsia" w:hAnsiTheme="minorEastAsia" w:eastAsiaTheme="minorEastAsia" w:cstheme="minorEastAsia"/>
                <w:bCs/>
                <w:lang w:eastAsia="zh-CN"/>
              </w:rPr>
            </w:pPr>
            <w:r>
              <w:rPr>
                <w:rFonts w:hint="eastAsia" w:asciiTheme="minorEastAsia" w:hAnsiTheme="minorEastAsia" w:eastAsiaTheme="minorEastAsia" w:cstheme="minorEastAsia"/>
                <w:bCs/>
                <w:lang w:eastAsia="zh-CN"/>
              </w:rPr>
              <w:t>本项目二氧化氯不储存，需要使用了现购。</w:t>
            </w:r>
          </w:p>
          <w:p>
            <w:pPr>
              <w:pStyle w:val="4"/>
              <w:ind w:firstLine="480"/>
              <w:rPr>
                <w:rFonts w:ascii="宋体" w:hAnsi="宋体" w:cs="宋体"/>
                <w:bCs/>
                <w:sz w:val="24"/>
                <w:szCs w:val="24"/>
              </w:rPr>
            </w:pPr>
            <w:r>
              <w:rPr>
                <w:rFonts w:hint="eastAsia" w:asciiTheme="minorEastAsia" w:hAnsiTheme="minorEastAsia" w:eastAsiaTheme="minorEastAsia" w:cstheme="minorEastAsia"/>
                <w:bCs/>
                <w:sz w:val="24"/>
                <w:szCs w:val="24"/>
              </w:rPr>
              <w:t>本项目危险物质不构成重大危险源，根据《建设项目环境风险评价技术导则》（HJ169-2018），环境风险潜势为</w:t>
            </w:r>
            <w:r>
              <w:rPr>
                <w:rFonts w:hint="eastAsia" w:ascii="宋体" w:hAnsi="宋体" w:cs="宋体"/>
                <w:bCs/>
                <w:sz w:val="24"/>
                <w:szCs w:val="24"/>
              </w:rPr>
              <w:t>Ⅰ，可仅开展简单环境风险分析。</w:t>
            </w:r>
          </w:p>
          <w:p>
            <w:pPr>
              <w:pStyle w:val="4"/>
              <w:ind w:firstLine="482"/>
              <w:rPr>
                <w:rFonts w:ascii="宋体" w:hAnsi="宋体" w:cs="宋体"/>
                <w:b/>
                <w:sz w:val="24"/>
                <w:szCs w:val="24"/>
              </w:rPr>
            </w:pPr>
            <w:r>
              <w:rPr>
                <w:rFonts w:hint="eastAsia" w:ascii="宋体" w:hAnsi="宋体" w:cs="宋体"/>
                <w:b/>
                <w:sz w:val="24"/>
                <w:szCs w:val="24"/>
              </w:rPr>
              <w:t>3、风险识别</w:t>
            </w:r>
          </w:p>
          <w:p>
            <w:pPr>
              <w:pStyle w:val="4"/>
              <w:ind w:firstLine="480"/>
              <w:rPr>
                <w:rFonts w:ascii="宋体" w:hAnsi="宋体" w:cs="宋体"/>
                <w:bCs/>
                <w:sz w:val="24"/>
                <w:szCs w:val="24"/>
              </w:rPr>
            </w:pPr>
            <w:r>
              <w:rPr>
                <w:rFonts w:hint="eastAsia" w:ascii="宋体" w:hAnsi="宋体" w:cs="宋体"/>
                <w:bCs/>
                <w:sz w:val="24"/>
                <w:szCs w:val="24"/>
              </w:rPr>
              <w:t>本项目仅使用二氧化氯过程产生过量风险，导致水质安全风险。此风险属于人为风险，非可控风险。</w:t>
            </w:r>
          </w:p>
          <w:p>
            <w:pPr>
              <w:pStyle w:val="4"/>
              <w:ind w:firstLine="482"/>
              <w:rPr>
                <w:rFonts w:ascii="宋体" w:hAnsi="宋体" w:cs="宋体"/>
                <w:b/>
                <w:sz w:val="24"/>
                <w:szCs w:val="24"/>
              </w:rPr>
            </w:pPr>
            <w:r>
              <w:rPr>
                <w:rFonts w:hint="eastAsia" w:ascii="宋体" w:hAnsi="宋体" w:cs="宋体"/>
                <w:b/>
                <w:sz w:val="24"/>
                <w:szCs w:val="24"/>
              </w:rPr>
              <w:t>4、环境风险防范措施</w:t>
            </w:r>
          </w:p>
          <w:p>
            <w:pPr>
              <w:pStyle w:val="4"/>
              <w:ind w:firstLine="480"/>
              <w:rPr>
                <w:rFonts w:ascii="宋体" w:hAnsi="宋体" w:cs="宋体"/>
                <w:bCs/>
                <w:sz w:val="24"/>
                <w:szCs w:val="24"/>
              </w:rPr>
            </w:pPr>
            <w:r>
              <w:rPr>
                <w:rFonts w:hint="eastAsia" w:ascii="宋体" w:hAnsi="宋体" w:cs="宋体"/>
                <w:bCs/>
                <w:sz w:val="24"/>
                <w:szCs w:val="24"/>
              </w:rPr>
              <w:t>本项目饮水工程指定专人维护，专人保养，包括定期清掏浮渣及淤泥，定期投放消毒剂等。并做好维护保养记录。一旦发现问题，应立即停止供水，待问题排查啊，确保安全后再进行正常供水。</w:t>
            </w:r>
          </w:p>
          <w:p>
            <w:pPr>
              <w:pStyle w:val="4"/>
              <w:ind w:firstLine="482"/>
              <w:rPr>
                <w:rFonts w:ascii="宋体" w:hAnsi="宋体" w:cs="宋体"/>
                <w:b/>
                <w:sz w:val="24"/>
                <w:szCs w:val="24"/>
              </w:rPr>
            </w:pPr>
            <w:r>
              <w:rPr>
                <w:rFonts w:hint="eastAsia" w:ascii="宋体" w:hAnsi="宋体" w:cs="宋体"/>
                <w:b/>
                <w:sz w:val="24"/>
                <w:szCs w:val="24"/>
              </w:rPr>
              <w:t>5、风险事故应急预案</w:t>
            </w:r>
          </w:p>
          <w:p>
            <w:pPr>
              <w:pStyle w:val="4"/>
              <w:ind w:firstLine="480"/>
              <w:rPr>
                <w:rFonts w:ascii="宋体" w:hAnsi="宋体" w:cs="宋体"/>
                <w:bCs/>
                <w:sz w:val="24"/>
                <w:szCs w:val="24"/>
              </w:rPr>
            </w:pPr>
            <w:r>
              <w:rPr>
                <w:rFonts w:hint="eastAsia" w:ascii="宋体" w:hAnsi="宋体" w:cs="宋体"/>
                <w:bCs/>
                <w:sz w:val="24"/>
                <w:szCs w:val="24"/>
              </w:rPr>
              <w:t>根据《国家安全生产事故灾难应急预案》、《企业事业单位突发环境事件应急预案备案管理办法（试行）（环发[2015]4号）》有关要求，对本项目履行安全环保生产责任主体责任制，建立安全环保生产及应急预案和应急机制。为了应对各类灾害时，采取紧急措施，避免或最大程度减少事故的影响。</w:t>
            </w:r>
          </w:p>
          <w:p>
            <w:pPr>
              <w:pStyle w:val="4"/>
              <w:ind w:firstLine="482"/>
              <w:rPr>
                <w:rFonts w:ascii="宋体" w:hAnsi="宋体" w:cs="宋体"/>
                <w:b/>
                <w:sz w:val="24"/>
                <w:szCs w:val="24"/>
              </w:rPr>
            </w:pPr>
            <w:r>
              <w:rPr>
                <w:rFonts w:hint="eastAsia" w:ascii="宋体" w:hAnsi="宋体" w:cs="宋体"/>
                <w:b/>
                <w:sz w:val="24"/>
                <w:szCs w:val="24"/>
              </w:rPr>
              <w:t>6、分析结论</w:t>
            </w:r>
          </w:p>
          <w:p>
            <w:pPr>
              <w:pStyle w:val="4"/>
              <w:ind w:firstLine="480"/>
              <w:rPr>
                <w:rFonts w:asciiTheme="minorEastAsia" w:hAnsiTheme="minorEastAsia" w:eastAsiaTheme="minorEastAsia" w:cstheme="minorEastAsia"/>
                <w:bCs/>
                <w:sz w:val="24"/>
                <w:szCs w:val="24"/>
              </w:rPr>
            </w:pPr>
            <w:r>
              <w:rPr>
                <w:rFonts w:hint="eastAsia" w:ascii="宋体" w:hAnsi="宋体" w:cs="宋体"/>
                <w:bCs/>
                <w:sz w:val="24"/>
                <w:szCs w:val="24"/>
              </w:rPr>
              <w:t>综上所述，只要加强管理，建立健全相应的防范应急措施，并在设计、管理及运行中得到认真落实，上述风险事故隐患可降至最低。采取以上防范措施后，项目采取的风险防范措施可行，从环境风险角度本项目的实施是可行的。</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
                <w:sz w:val="24"/>
              </w:rPr>
              <w:t>五、环境管理及监测</w:t>
            </w:r>
          </w:p>
          <w:p>
            <w:pPr>
              <w:spacing w:line="360" w:lineRule="auto"/>
              <w:ind w:firstLine="480" w:firstLineChars="200"/>
              <w:rPr>
                <w:rFonts w:cs="Times New Roman"/>
                <w:sz w:val="24"/>
              </w:rPr>
            </w:pPr>
            <w:r>
              <w:rPr>
                <w:rFonts w:ascii="Times New Roman" w:hAnsi="Times New Roman" w:eastAsia="宋体" w:cs="Times New Roman"/>
                <w:sz w:val="24"/>
              </w:rPr>
              <w:t>1、环境管理</w:t>
            </w:r>
          </w:p>
          <w:p>
            <w:pPr>
              <w:spacing w:line="360" w:lineRule="auto"/>
              <w:ind w:firstLine="480" w:firstLineChars="200"/>
              <w:rPr>
                <w:rFonts w:cs="Times New Roman"/>
                <w:sz w:val="24"/>
              </w:rPr>
            </w:pPr>
            <w:r>
              <w:rPr>
                <w:rFonts w:ascii="Times New Roman" w:hAnsi="Times New Roman" w:eastAsia="宋体" w:cs="Times New Roman"/>
                <w:sz w:val="24"/>
              </w:rPr>
              <w:t>根据工程特点及周围环境特征考虑，本工程实施及运行全过程环境管理制度尤为重要。因此，必须建立一个强有力的环境管理体系，对工程实施过程及运行后进行全过程监督及指导，以确保环境管理工作落到实处。本工程的环境管理由松潘县环保部门负责监督，可设置1-2个具有环保工作经验的专职工作人员，主要职责为：</w:t>
            </w:r>
          </w:p>
          <w:p>
            <w:pPr>
              <w:spacing w:line="360" w:lineRule="auto"/>
              <w:ind w:firstLine="480" w:firstLineChars="200"/>
              <w:rPr>
                <w:rFonts w:cs="Times New Roman"/>
                <w:sz w:val="24"/>
              </w:rPr>
            </w:pPr>
            <w:r>
              <w:rPr>
                <w:rFonts w:ascii="Times New Roman" w:hAnsi="Times New Roman" w:eastAsia="宋体" w:cs="Times New Roman"/>
                <w:sz w:val="24"/>
              </w:rPr>
              <w:t>（1）施工期主要职责</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①彻执行国家和地方颁布的环境保护法规、政策和环境保护标准，协助领导确定厂环境保护方针、目标。</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②制订环境保护管理规章、制度和实施办法，并经常监督检查各单位执行情况；组织制定环境保护规划并组织或监督实施。</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③配合环保监理工程师，提供施工中环保执行信息，协调环保监理工程师。</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④组织制订污染处置计划，并对事故进行调查处理。</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⑤负责接受影响公众的环保投诉。</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⑧积极配合、支持环保部门的工作，并接受其监督与检查。</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（2）运营期主要职责</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①彻执行国家和地方颁布的环境保护法规、政策和环境保护标准，协助领导确定厂环境保护方针、目标。</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②负责监督环境影响评价报告中提出的各项环保措施的落实情况。</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③领导和组织供水加压泵站的环境监测。</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④检查供水管网及供水加压泵站环境保护设施的运行情况。</w:t>
            </w:r>
          </w:p>
          <w:p>
            <w:pPr>
              <w:spacing w:line="360" w:lineRule="auto"/>
              <w:ind w:firstLine="480" w:firstLineChars="200"/>
              <w:rPr>
                <w:rFonts w:cs="Times New Roman"/>
                <w:sz w:val="24"/>
              </w:rPr>
            </w:pPr>
            <w:r>
              <w:rPr>
                <w:rFonts w:cs="Times New Roman" w:asciiTheme="minorEastAsia" w:hAnsiTheme="minorEastAsia"/>
                <w:sz w:val="24"/>
              </w:rPr>
              <w:t>⑤组织开展环境保护专</w:t>
            </w:r>
            <w:r>
              <w:rPr>
                <w:rFonts w:ascii="Times New Roman" w:hAnsi="Times New Roman" w:eastAsia="宋体" w:cs="Times New Roman"/>
                <w:sz w:val="24"/>
              </w:rPr>
              <w:t>业的技术培训，以提高环保人员的技术素质和业务水平。</w:t>
            </w:r>
          </w:p>
          <w:p>
            <w:pPr>
              <w:spacing w:line="360" w:lineRule="auto"/>
              <w:ind w:firstLine="480" w:firstLineChars="200"/>
              <w:rPr>
                <w:rFonts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w:t>
            </w:r>
            <w:r>
              <w:rPr>
                <w:rFonts w:ascii="Times New Roman" w:hAnsi="Times New Roman" w:eastAsia="宋体" w:cs="Times New Roman"/>
                <w:sz w:val="24"/>
              </w:rPr>
              <w:t>环境监测</w:t>
            </w:r>
          </w:p>
          <w:p>
            <w:pPr>
              <w:spacing w:line="360" w:lineRule="auto"/>
              <w:ind w:firstLine="480" w:firstLineChars="200"/>
              <w:rPr>
                <w:rFonts w:hint="eastAsia" w:eastAsia="宋体" w:cs="Times New Roman"/>
                <w:sz w:val="24"/>
                <w:lang w:val="en-US" w:eastAsia="zh-CN"/>
              </w:rPr>
            </w:pPr>
            <w:r>
              <w:rPr>
                <w:rFonts w:ascii="Times New Roman" w:hAnsi="Times New Roman" w:eastAsia="宋体" w:cs="Times New Roman"/>
                <w:sz w:val="24"/>
              </w:rPr>
              <w:t>本项目对周围环境影响较小，主要对水源地水质进行定期监测，监测计划见表7-</w:t>
            </w:r>
            <w:r>
              <w:rPr>
                <w:rFonts w:hint="eastAsia" w:ascii="Times New Roman" w:hAnsi="Times New Roman" w:eastAsia="宋体" w:cs="Times New Roman"/>
                <w:sz w:val="24"/>
              </w:rPr>
              <w:t>4</w:t>
            </w:r>
            <w:r>
              <w:rPr>
                <w:rFonts w:hint="eastAsia" w:ascii="Times New Roman" w:hAnsi="Times New Roman" w:eastAsia="宋体" w:cs="Times New Roman"/>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表7-4 运营期监测计划</w:t>
            </w:r>
          </w:p>
          <w:tbl>
            <w:tblPr>
              <w:tblStyle w:val="52"/>
              <w:tblW w:w="9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466"/>
              <w:gridCol w:w="1617"/>
              <w:gridCol w:w="2167"/>
              <w:gridCol w:w="30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tcBorders>
                    <w:tl2br w:val="nil"/>
                    <w:tr2bl w:val="nil"/>
                  </w:tcBorders>
                </w:tcPr>
                <w:p>
                  <w:pPr>
                    <w:jc w:val="center"/>
                    <w:rPr>
                      <w:rFonts w:cs="Times New Roman"/>
                      <w:szCs w:val="21"/>
                    </w:rPr>
                  </w:pPr>
                  <w:r>
                    <w:rPr>
                      <w:rFonts w:ascii="Times New Roman" w:hAnsi="Times New Roman" w:eastAsia="宋体" w:cs="Times New Roman"/>
                      <w:szCs w:val="21"/>
                    </w:rPr>
                    <w:t>时段</w:t>
                  </w:r>
                </w:p>
              </w:tc>
              <w:tc>
                <w:tcPr>
                  <w:tcW w:w="1466" w:type="dxa"/>
                  <w:tcBorders>
                    <w:tl2br w:val="nil"/>
                    <w:tr2bl w:val="nil"/>
                  </w:tcBorders>
                </w:tcPr>
                <w:p>
                  <w:pPr>
                    <w:jc w:val="center"/>
                    <w:rPr>
                      <w:rFonts w:cs="Times New Roman"/>
                      <w:szCs w:val="21"/>
                    </w:rPr>
                  </w:pPr>
                  <w:r>
                    <w:rPr>
                      <w:rFonts w:ascii="Times New Roman" w:hAnsi="Times New Roman" w:eastAsia="宋体" w:cs="Times New Roman"/>
                      <w:szCs w:val="21"/>
                    </w:rPr>
                    <w:t>监测项目</w:t>
                  </w:r>
                </w:p>
              </w:tc>
              <w:tc>
                <w:tcPr>
                  <w:tcW w:w="1617" w:type="dxa"/>
                  <w:tcBorders>
                    <w:tl2br w:val="nil"/>
                    <w:tr2bl w:val="nil"/>
                  </w:tcBorders>
                </w:tcPr>
                <w:p>
                  <w:pPr>
                    <w:jc w:val="center"/>
                    <w:rPr>
                      <w:rFonts w:cs="Times New Roman"/>
                      <w:szCs w:val="21"/>
                    </w:rPr>
                  </w:pPr>
                  <w:r>
                    <w:rPr>
                      <w:rFonts w:ascii="Times New Roman" w:hAnsi="Times New Roman" w:eastAsia="宋体" w:cs="Times New Roman"/>
                      <w:szCs w:val="21"/>
                    </w:rPr>
                    <w:t>监测点位</w:t>
                  </w:r>
                </w:p>
              </w:tc>
              <w:tc>
                <w:tcPr>
                  <w:tcW w:w="2167" w:type="dxa"/>
                  <w:tcBorders>
                    <w:tl2br w:val="nil"/>
                    <w:tr2bl w:val="nil"/>
                  </w:tcBorders>
                </w:tcPr>
                <w:p>
                  <w:pPr>
                    <w:jc w:val="center"/>
                    <w:rPr>
                      <w:rFonts w:cs="Times New Roman"/>
                      <w:szCs w:val="21"/>
                    </w:rPr>
                  </w:pPr>
                  <w:r>
                    <w:rPr>
                      <w:rFonts w:ascii="Times New Roman" w:hAnsi="Times New Roman" w:eastAsia="宋体" w:cs="Times New Roman"/>
                      <w:szCs w:val="21"/>
                    </w:rPr>
                    <w:t>监测时间与频率</w:t>
                  </w:r>
                </w:p>
              </w:tc>
              <w:tc>
                <w:tcPr>
                  <w:tcW w:w="3002" w:type="dxa"/>
                  <w:tcBorders>
                    <w:tl2br w:val="nil"/>
                    <w:tr2bl w:val="nil"/>
                  </w:tcBorders>
                </w:tcPr>
                <w:p>
                  <w:pPr>
                    <w:jc w:val="center"/>
                    <w:rPr>
                      <w:rFonts w:cs="Times New Roman"/>
                      <w:szCs w:val="21"/>
                    </w:rPr>
                  </w:pPr>
                  <w:r>
                    <w:rPr>
                      <w:rFonts w:ascii="Times New Roman" w:hAnsi="Times New Roman" w:eastAsia="宋体" w:cs="Times New Roman"/>
                      <w:szCs w:val="21"/>
                    </w:rPr>
                    <w:t>实时单位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tcBorders>
                    <w:tl2br w:val="nil"/>
                    <w:tr2bl w:val="nil"/>
                  </w:tcBorders>
                </w:tcPr>
                <w:p>
                  <w:pPr>
                    <w:jc w:val="center"/>
                    <w:rPr>
                      <w:rFonts w:cs="Times New Roman"/>
                      <w:szCs w:val="21"/>
                    </w:rPr>
                  </w:pPr>
                  <w:r>
                    <w:rPr>
                      <w:rFonts w:ascii="Times New Roman" w:hAnsi="Times New Roman" w:eastAsia="宋体" w:cs="Times New Roman"/>
                      <w:szCs w:val="21"/>
                    </w:rPr>
                    <w:t>运营期</w:t>
                  </w:r>
                </w:p>
              </w:tc>
              <w:tc>
                <w:tcPr>
                  <w:tcW w:w="1466" w:type="dxa"/>
                  <w:tcBorders>
                    <w:tl2br w:val="nil"/>
                    <w:tr2bl w:val="nil"/>
                  </w:tcBorders>
                </w:tcPr>
                <w:p>
                  <w:pPr>
                    <w:jc w:val="center"/>
                    <w:rPr>
                      <w:rFonts w:cs="Times New Roman"/>
                      <w:szCs w:val="21"/>
                    </w:rPr>
                  </w:pPr>
                  <w:r>
                    <w:rPr>
                      <w:rFonts w:ascii="Times New Roman" w:hAnsi="Times New Roman" w:eastAsia="宋体" w:cs="Times New Roman"/>
                      <w:szCs w:val="21"/>
                    </w:rPr>
                    <w:t>水源</w:t>
                  </w:r>
                </w:p>
              </w:tc>
              <w:tc>
                <w:tcPr>
                  <w:tcW w:w="1617" w:type="dxa"/>
                  <w:tcBorders>
                    <w:tl2br w:val="nil"/>
                    <w:tr2bl w:val="nil"/>
                  </w:tcBorders>
                </w:tcPr>
                <w:p>
                  <w:pPr>
                    <w:jc w:val="center"/>
                    <w:rPr>
                      <w:rFonts w:cs="Times New Roman"/>
                      <w:szCs w:val="21"/>
                    </w:rPr>
                  </w:pPr>
                  <w:r>
                    <w:rPr>
                      <w:rFonts w:ascii="Times New Roman" w:hAnsi="Times New Roman" w:eastAsia="宋体" w:cs="Times New Roman"/>
                      <w:szCs w:val="21"/>
                    </w:rPr>
                    <w:t>各水源源头</w:t>
                  </w:r>
                </w:p>
              </w:tc>
              <w:tc>
                <w:tcPr>
                  <w:tcW w:w="2167" w:type="dxa"/>
                  <w:tcBorders>
                    <w:tl2br w:val="nil"/>
                    <w:tr2bl w:val="nil"/>
                  </w:tcBorders>
                </w:tcPr>
                <w:p>
                  <w:pPr>
                    <w:jc w:val="center"/>
                    <w:rPr>
                      <w:rFonts w:cs="Times New Roman"/>
                      <w:szCs w:val="21"/>
                    </w:rPr>
                  </w:pPr>
                  <w:r>
                    <w:rPr>
                      <w:rFonts w:ascii="Times New Roman" w:hAnsi="Times New Roman" w:eastAsia="宋体" w:cs="Times New Roman"/>
                      <w:szCs w:val="21"/>
                    </w:rPr>
                    <w:t>1年一次</w:t>
                  </w:r>
                </w:p>
              </w:tc>
              <w:tc>
                <w:tcPr>
                  <w:tcW w:w="3002" w:type="dxa"/>
                  <w:tcBorders>
                    <w:tl2br w:val="nil"/>
                    <w:tr2bl w:val="nil"/>
                  </w:tcBorders>
                </w:tcPr>
                <w:p>
                  <w:pPr>
                    <w:jc w:val="center"/>
                    <w:rPr>
                      <w:rFonts w:cs="Times New Roman"/>
                      <w:szCs w:val="21"/>
                    </w:rPr>
                  </w:pPr>
                  <w:r>
                    <w:rPr>
                      <w:rFonts w:ascii="Times New Roman" w:hAnsi="Times New Roman" w:eastAsia="宋体" w:cs="Times New Roman"/>
                      <w:szCs w:val="21"/>
                    </w:rPr>
                    <w:t>委托有资质的监测单位</w:t>
                  </w:r>
                </w:p>
              </w:tc>
            </w:tr>
          </w:tbl>
          <w:p>
            <w:pPr>
              <w:ind w:left="420" w:leftChars="200"/>
              <w:rPr>
                <w:rFonts w:cs="Times New Roman"/>
              </w:rPr>
            </w:pPr>
          </w:p>
          <w:p>
            <w:pPr>
              <w:spacing w:line="360" w:lineRule="auto"/>
              <w:ind w:firstLine="480" w:firstLineChars="200"/>
              <w:rPr>
                <w:rFonts w:cs="Times New Roman" w:asciiTheme="minorEastAsia" w:hAnsiTheme="minorEastAsia"/>
                <w:b/>
                <w:sz w:val="24"/>
              </w:rPr>
            </w:pPr>
            <w:r>
              <w:rPr>
                <w:rFonts w:hint="eastAsia" w:cs="Times New Roman" w:asciiTheme="minorEastAsia" w:hAnsiTheme="minorEastAsia"/>
                <w:b/>
                <w:sz w:val="24"/>
              </w:rPr>
              <w:t>六</w:t>
            </w:r>
            <w:r>
              <w:rPr>
                <w:rFonts w:cs="Times New Roman" w:asciiTheme="minorEastAsia" w:hAnsiTheme="minorEastAsia"/>
                <w:b/>
                <w:sz w:val="24"/>
              </w:rPr>
              <w:t>、环保投资</w:t>
            </w:r>
          </w:p>
          <w:p>
            <w:pPr>
              <w:spacing w:line="360" w:lineRule="auto"/>
              <w:ind w:firstLine="480" w:firstLineChars="200"/>
              <w:rPr>
                <w:rFonts w:cs="Times New Roman" w:asciiTheme="minorEastAsia" w:hAnsiTheme="minorEastAsia"/>
                <w:sz w:val="24"/>
              </w:rPr>
            </w:pPr>
            <w:r>
              <w:rPr>
                <w:rFonts w:cs="Times New Roman" w:asciiTheme="minorEastAsia" w:hAnsiTheme="minorEastAsia"/>
                <w:sz w:val="24"/>
              </w:rPr>
              <w:t>本项目总投资为</w:t>
            </w:r>
            <w:r>
              <w:rPr>
                <w:rFonts w:hint="eastAsia" w:cs="Times New Roman" w:asciiTheme="minorEastAsia" w:hAnsiTheme="minorEastAsia"/>
                <w:sz w:val="24"/>
              </w:rPr>
              <w:t>117</w:t>
            </w:r>
            <w:r>
              <w:rPr>
                <w:rFonts w:cs="Times New Roman" w:asciiTheme="minorEastAsia" w:hAnsiTheme="minorEastAsia"/>
                <w:sz w:val="24"/>
              </w:rPr>
              <w:t>万元，环保投资为</w:t>
            </w:r>
            <w:r>
              <w:rPr>
                <w:rFonts w:hint="eastAsia" w:cs="Times New Roman" w:asciiTheme="minorEastAsia" w:hAnsiTheme="minorEastAsia"/>
                <w:sz w:val="24"/>
              </w:rPr>
              <w:t>20.7</w:t>
            </w:r>
            <w:r>
              <w:rPr>
                <w:rFonts w:cs="Times New Roman" w:asciiTheme="minorEastAsia" w:hAnsiTheme="minorEastAsia"/>
                <w:sz w:val="24"/>
              </w:rPr>
              <w:t>万元，占项目总投资的</w:t>
            </w:r>
            <w:r>
              <w:rPr>
                <w:rFonts w:hint="eastAsia" w:cs="Times New Roman" w:asciiTheme="minorEastAsia" w:hAnsiTheme="minorEastAsia"/>
                <w:sz w:val="24"/>
              </w:rPr>
              <w:t>17.7</w:t>
            </w:r>
            <w:r>
              <w:rPr>
                <w:rFonts w:cs="Times New Roman" w:asciiTheme="minorEastAsia" w:hAnsiTheme="minorEastAsia"/>
                <w:sz w:val="24"/>
              </w:rPr>
              <w:t>%，环保措施内容及投资见下表。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表7-5 环保投资一览表</w:t>
            </w:r>
          </w:p>
          <w:tbl>
            <w:tblPr>
              <w:tblStyle w:val="51"/>
              <w:tblW w:w="887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8"/>
              <w:gridCol w:w="1061"/>
              <w:gridCol w:w="6034"/>
              <w:gridCol w:w="13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1479" w:type="dxa"/>
                  <w:gridSpan w:val="2"/>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项目</w:t>
                  </w:r>
                </w:p>
              </w:tc>
              <w:tc>
                <w:tcPr>
                  <w:tcW w:w="6034"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治理措施</w:t>
                  </w:r>
                </w:p>
              </w:tc>
              <w:tc>
                <w:tcPr>
                  <w:tcW w:w="1359" w:type="dxa"/>
                  <w:tcBorders>
                    <w:tl2br w:val="nil"/>
                    <w:tr2bl w:val="nil"/>
                  </w:tcBorders>
                  <w:shd w:val="clear" w:color="auto" w:fill="auto"/>
                  <w:vAlign w:val="center"/>
                </w:tcPr>
                <w:p>
                  <w:pPr>
                    <w:rPr>
                      <w:rFonts w:cs="Times New Roman"/>
                      <w:szCs w:val="21"/>
                    </w:rPr>
                  </w:pPr>
                  <w:r>
                    <w:rPr>
                      <w:rFonts w:ascii="Times New Roman" w:hAnsi="Times New Roman" w:eastAsia="宋体" w:cs="Times New Roman"/>
                      <w:szCs w:val="21"/>
                    </w:rPr>
                    <w:t>投资(万元)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418" w:type="dxa"/>
                  <w:vMerge w:val="restart"/>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施工期</w:t>
                  </w:r>
                </w:p>
              </w:tc>
              <w:tc>
                <w:tcPr>
                  <w:tcW w:w="1061"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大气防治</w:t>
                  </w:r>
                </w:p>
              </w:tc>
              <w:tc>
                <w:tcPr>
                  <w:tcW w:w="6034"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施工现场围挡</w:t>
                  </w:r>
                  <w:r>
                    <w:rPr>
                      <w:rFonts w:hint="eastAsia" w:ascii="Times New Roman" w:hAnsi="Times New Roman" w:eastAsia="宋体" w:cs="Times New Roman"/>
                      <w:szCs w:val="21"/>
                    </w:rPr>
                    <w:t>，</w:t>
                  </w:r>
                  <w:r>
                    <w:rPr>
                      <w:rFonts w:ascii="Times New Roman" w:hAnsi="Times New Roman" w:eastAsia="宋体" w:cs="Times New Roman"/>
                      <w:szCs w:val="21"/>
                    </w:rPr>
                    <w:t>洒水降尘</w:t>
                  </w:r>
                  <w:r>
                    <w:rPr>
                      <w:rFonts w:hint="eastAsia" w:ascii="Times New Roman" w:hAnsi="Times New Roman" w:eastAsia="宋体" w:cs="Times New Roman"/>
                      <w:szCs w:val="21"/>
                    </w:rPr>
                    <w:t>，</w:t>
                  </w:r>
                  <w:r>
                    <w:rPr>
                      <w:rFonts w:hint="eastAsia"/>
                      <w:szCs w:val="21"/>
                    </w:rPr>
                    <w:t>主体施工时用密目安全网围护</w:t>
                  </w:r>
                </w:p>
              </w:tc>
              <w:tc>
                <w:tcPr>
                  <w:tcW w:w="1359" w:type="dxa"/>
                  <w:tcBorders>
                    <w:tl2br w:val="nil"/>
                    <w:tr2bl w:val="nil"/>
                  </w:tcBorders>
                  <w:shd w:val="clear" w:color="auto" w:fill="auto"/>
                  <w:vAlign w:val="center"/>
                </w:tcPr>
                <w:p>
                  <w:pPr>
                    <w:jc w:val="center"/>
                    <w:rPr>
                      <w:rFonts w:cs="Times New Roman"/>
                      <w:szCs w:val="21"/>
                    </w:rPr>
                  </w:pPr>
                  <w:r>
                    <w:rPr>
                      <w:rFonts w:hint="eastAsia" w:ascii="Times New Roman" w:hAnsi="Times New Roman" w:eastAsia="宋体"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施工人员生活污水</w:t>
                  </w:r>
                </w:p>
              </w:tc>
              <w:tc>
                <w:tcPr>
                  <w:tcW w:w="6034"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生活污水依托当地住户</w:t>
                  </w:r>
                  <w:r>
                    <w:rPr>
                      <w:rFonts w:hint="eastAsia" w:ascii="Times New Roman" w:hAnsi="Times New Roman" w:eastAsia="宋体" w:cs="Times New Roman"/>
                      <w:szCs w:val="21"/>
                      <w:lang w:val="en-US" w:eastAsia="zh-CN"/>
                    </w:rPr>
                    <w:t>生活污水预处理池</w:t>
                  </w:r>
                  <w:r>
                    <w:rPr>
                      <w:rFonts w:hint="eastAsia" w:ascii="Times New Roman" w:hAnsi="Times New Roman" w:eastAsia="宋体" w:cs="Times New Roman"/>
                      <w:szCs w:val="21"/>
                    </w:rPr>
                    <w:t>、</w:t>
                  </w:r>
                  <w:r>
                    <w:rPr>
                      <w:rFonts w:ascii="Times New Roman" w:hAnsi="Times New Roman" w:eastAsia="宋体" w:cs="Times New Roman"/>
                      <w:szCs w:val="21"/>
                    </w:rPr>
                    <w:t>清运费</w:t>
                  </w:r>
                </w:p>
              </w:tc>
              <w:tc>
                <w:tcPr>
                  <w:tcW w:w="1359"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管道冲洗、试压废水</w:t>
                  </w:r>
                </w:p>
              </w:tc>
              <w:tc>
                <w:tcPr>
                  <w:tcW w:w="6034"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用于蓄水池池子养护，清理后用于周边农田灌溉，不外排</w:t>
                  </w:r>
                </w:p>
              </w:tc>
              <w:tc>
                <w:tcPr>
                  <w:tcW w:w="1359"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计入主体工程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vMerge w:val="restart"/>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施工固废</w:t>
                  </w:r>
                </w:p>
              </w:tc>
              <w:tc>
                <w:tcPr>
                  <w:tcW w:w="6034"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弃土石部分回填，部分用于填补附近耕地、农田、荒地</w:t>
                  </w:r>
                </w:p>
              </w:tc>
              <w:tc>
                <w:tcPr>
                  <w:tcW w:w="1359" w:type="dxa"/>
                  <w:tcBorders>
                    <w:tl2br w:val="nil"/>
                    <w:tr2bl w:val="nil"/>
                  </w:tcBorders>
                  <w:shd w:val="clear" w:color="auto" w:fill="auto"/>
                  <w:vAlign w:val="center"/>
                </w:tcPr>
                <w:p>
                  <w:pPr>
                    <w:jc w:val="center"/>
                    <w:rPr>
                      <w:rFonts w:cs="Times New Roman"/>
                      <w:szCs w:val="21"/>
                    </w:rPr>
                  </w:pPr>
                  <w:r>
                    <w:rPr>
                      <w:rFonts w:hint="eastAsia" w:ascii="Times New Roman" w:hAnsi="Times New Roman" w:eastAsia="宋体" w:cs="Times New Roman"/>
                      <w:szCs w:val="21"/>
                    </w:rPr>
                    <w:t>计入主体工程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vMerge w:val="continue"/>
                  <w:tcBorders>
                    <w:tl2br w:val="nil"/>
                    <w:tr2bl w:val="nil"/>
                  </w:tcBorders>
                  <w:shd w:val="clear" w:color="auto" w:fill="auto"/>
                  <w:vAlign w:val="center"/>
                </w:tcPr>
                <w:p>
                  <w:pPr>
                    <w:jc w:val="center"/>
                    <w:rPr>
                      <w:rFonts w:cs="Times New Roman"/>
                      <w:szCs w:val="21"/>
                    </w:rPr>
                  </w:pPr>
                </w:p>
              </w:tc>
              <w:tc>
                <w:tcPr>
                  <w:tcW w:w="6034"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施工人员生活垃圾依托当地住户已有设施收集</w:t>
                  </w:r>
                </w:p>
              </w:tc>
              <w:tc>
                <w:tcPr>
                  <w:tcW w:w="1359" w:type="dxa"/>
                  <w:tcBorders>
                    <w:tl2br w:val="nil"/>
                    <w:tr2bl w:val="nil"/>
                  </w:tcBorders>
                  <w:shd w:val="clear" w:color="auto" w:fill="auto"/>
                  <w:vAlign w:val="center"/>
                </w:tcPr>
                <w:p>
                  <w:pPr>
                    <w:jc w:val="center"/>
                    <w:rPr>
                      <w:rFonts w:cs="Times New Roman"/>
                      <w:szCs w:val="21"/>
                    </w:rPr>
                  </w:pPr>
                  <w:r>
                    <w:rPr>
                      <w:rFonts w:hint="eastAsia" w:ascii="Times New Roman" w:hAnsi="Times New Roman" w:eastAsia="宋体" w:cs="Times New Roman"/>
                      <w:szCs w:val="21"/>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噪声</w:t>
                  </w:r>
                </w:p>
              </w:tc>
              <w:tc>
                <w:tcPr>
                  <w:tcW w:w="6034"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采用低噪声设备，设备隔声</w:t>
                  </w:r>
                  <w:r>
                    <w:rPr>
                      <w:rFonts w:hint="eastAsia" w:ascii="Times New Roman" w:hAnsi="Times New Roman" w:eastAsia="宋体" w:cs="Times New Roman"/>
                      <w:szCs w:val="21"/>
                    </w:rPr>
                    <w:t>、</w:t>
                  </w:r>
                  <w:r>
                    <w:rPr>
                      <w:rFonts w:ascii="Times New Roman" w:hAnsi="Times New Roman" w:eastAsia="宋体" w:cs="Times New Roman"/>
                      <w:szCs w:val="21"/>
                    </w:rPr>
                    <w:t>减震</w:t>
                  </w:r>
                  <w:r>
                    <w:rPr>
                      <w:rFonts w:hint="eastAsia" w:ascii="Times New Roman" w:hAnsi="Times New Roman" w:eastAsia="宋体" w:cs="Times New Roman"/>
                      <w:szCs w:val="21"/>
                    </w:rPr>
                    <w:t>、</w:t>
                  </w:r>
                  <w:r>
                    <w:rPr>
                      <w:rFonts w:ascii="Times New Roman" w:hAnsi="Times New Roman" w:eastAsia="宋体" w:cs="Times New Roman"/>
                      <w:szCs w:val="21"/>
                    </w:rPr>
                    <w:t>合理调整施工时间</w:t>
                  </w:r>
                </w:p>
              </w:tc>
              <w:tc>
                <w:tcPr>
                  <w:tcW w:w="1359" w:type="dxa"/>
                  <w:tcBorders>
                    <w:tl2br w:val="nil"/>
                    <w:tr2bl w:val="nil"/>
                  </w:tcBorders>
                  <w:shd w:val="clear" w:color="auto" w:fill="auto"/>
                  <w:vAlign w:val="center"/>
                </w:tcPr>
                <w:p>
                  <w:pPr>
                    <w:jc w:val="center"/>
                    <w:rPr>
                      <w:rFonts w:cs="Times New Roman"/>
                      <w:szCs w:val="21"/>
                    </w:rPr>
                  </w:pPr>
                  <w:r>
                    <w:rPr>
                      <w:rFonts w:hint="eastAsia" w:ascii="Times New Roman" w:hAnsi="Times New Roman" w:eastAsia="宋体" w:cs="Times New Roman"/>
                      <w:szCs w:val="21"/>
                    </w:rPr>
                    <w:t>计入主体工程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tcBorders>
                    <w:tl2br w:val="nil"/>
                    <w:tr2bl w:val="nil"/>
                  </w:tcBorders>
                  <w:shd w:val="clear" w:color="auto" w:fill="auto"/>
                  <w:vAlign w:val="center"/>
                </w:tcPr>
                <w:p>
                  <w:pPr>
                    <w:jc w:val="center"/>
                    <w:rPr>
                      <w:rFonts w:cs="Times New Roman"/>
                      <w:szCs w:val="21"/>
                    </w:rPr>
                  </w:pPr>
                  <w:r>
                    <w:rPr>
                      <w:rFonts w:ascii="Times New Roman" w:hAnsi="Times New Roman" w:eastAsia="宋体" w:cs="Times New Roman"/>
                      <w:szCs w:val="21"/>
                    </w:rPr>
                    <w:t>生态环境</w:t>
                  </w:r>
                </w:p>
              </w:tc>
              <w:tc>
                <w:tcPr>
                  <w:tcW w:w="6034" w:type="dxa"/>
                  <w:tcBorders>
                    <w:tl2br w:val="nil"/>
                    <w:tr2bl w:val="nil"/>
                  </w:tcBorders>
                  <w:shd w:val="clear" w:color="auto" w:fill="auto"/>
                  <w:vAlign w:val="center"/>
                </w:tcPr>
                <w:p>
                  <w:pPr>
                    <w:jc w:val="center"/>
                    <w:rPr>
                      <w:rFonts w:cs="Times New Roman"/>
                      <w:szCs w:val="21"/>
                    </w:rPr>
                  </w:pPr>
                  <w:r>
                    <w:rPr>
                      <w:rFonts w:ascii="Times New Roman" w:eastAsia="宋体"/>
                      <w:color w:val="000000"/>
                      <w:szCs w:val="21"/>
                    </w:rPr>
                    <w:t>生态宣教标牌等设施</w:t>
                  </w:r>
                  <w:r>
                    <w:rPr>
                      <w:rFonts w:hint="eastAsia" w:ascii="Times New Roman" w:eastAsia="宋体"/>
                      <w:color w:val="000000"/>
                      <w:szCs w:val="21"/>
                    </w:rPr>
                    <w:t>；</w:t>
                  </w:r>
                  <w:r>
                    <w:rPr>
                      <w:rFonts w:ascii="Times New Roman" w:eastAsia="宋体"/>
                      <w:color w:val="000000"/>
                      <w:szCs w:val="21"/>
                    </w:rPr>
                    <w:t>工程绿化、景观设施及生态恢复措施</w:t>
                  </w:r>
                  <w:r>
                    <w:rPr>
                      <w:rFonts w:hint="eastAsia" w:ascii="Times New Roman" w:eastAsia="宋体"/>
                      <w:color w:val="000000"/>
                      <w:szCs w:val="21"/>
                    </w:rPr>
                    <w:t>；</w:t>
                  </w:r>
                  <w:r>
                    <w:rPr>
                      <w:rFonts w:ascii="Times New Roman" w:hAnsi="Times New Roman" w:eastAsia="宋体" w:cs="Times New Roman"/>
                      <w:szCs w:val="21"/>
                    </w:rPr>
                    <w:t>施工临时占地平整、恢复原貌</w:t>
                  </w:r>
                  <w:r>
                    <w:rPr>
                      <w:rFonts w:hint="eastAsia" w:ascii="Times New Roman" w:hAnsi="Times New Roman" w:eastAsia="宋体" w:cs="Times New Roman"/>
                      <w:szCs w:val="21"/>
                    </w:rPr>
                    <w:t>；</w:t>
                  </w:r>
                  <w:r>
                    <w:rPr>
                      <w:rFonts w:ascii="Times New Roman" w:eastAsia="宋体"/>
                      <w:color w:val="000000"/>
                      <w:szCs w:val="21"/>
                    </w:rPr>
                    <w:t>水土保持措施(含临时措施)</w:t>
                  </w:r>
                </w:p>
              </w:tc>
              <w:tc>
                <w:tcPr>
                  <w:tcW w:w="1359" w:type="dxa"/>
                  <w:tcBorders>
                    <w:tl2br w:val="nil"/>
                    <w:tr2bl w:val="nil"/>
                  </w:tcBorders>
                  <w:shd w:val="clear" w:color="auto" w:fill="auto"/>
                  <w:vAlign w:val="center"/>
                </w:tcPr>
                <w:p>
                  <w:pPr>
                    <w:jc w:val="center"/>
                    <w:rPr>
                      <w:rFonts w:cs="Times New Roman"/>
                      <w:szCs w:val="21"/>
                    </w:rPr>
                  </w:pPr>
                  <w:r>
                    <w:rPr>
                      <w:rFonts w:hint="eastAsia" w:ascii="Times New Roman" w:hAnsi="Times New Roman" w:eastAsia="宋体" w:cs="Times New Roman"/>
                      <w:szCs w:val="21"/>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环境监理</w:t>
                  </w:r>
                </w:p>
              </w:tc>
              <w:tc>
                <w:tcPr>
                  <w:tcW w:w="6034"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施工环境监理费用</w:t>
                  </w:r>
                  <w:r>
                    <w:rPr>
                      <w:rFonts w:hint="eastAsia" w:ascii="Times New Roman" w:hAnsi="Times New Roman" w:eastAsia="宋体" w:cs="Times New Roman"/>
                      <w:szCs w:val="21"/>
                    </w:rPr>
                    <w:t>，</w:t>
                  </w:r>
                  <w:r>
                    <w:rPr>
                      <w:rFonts w:hint="eastAsia" w:ascii="Times New Roman" w:eastAsia="宋体"/>
                      <w:color w:val="000000"/>
                      <w:szCs w:val="21"/>
                    </w:rPr>
                    <w:t>编制环境监理报告</w:t>
                  </w:r>
                </w:p>
              </w:tc>
              <w:tc>
                <w:tcPr>
                  <w:tcW w:w="1359"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418" w:type="dxa"/>
                  <w:vMerge w:val="restart"/>
                  <w:tcBorders>
                    <w:tl2br w:val="nil"/>
                    <w:tr2bl w:val="nil"/>
                  </w:tcBorders>
                  <w:vAlign w:val="center"/>
                </w:tcPr>
                <w:p>
                  <w:pPr>
                    <w:jc w:val="center"/>
                    <w:rPr>
                      <w:rFonts w:cs="Times New Roman"/>
                      <w:szCs w:val="21"/>
                    </w:rPr>
                  </w:pPr>
                  <w:r>
                    <w:rPr>
                      <w:rFonts w:cs="Times New Roman"/>
                      <w:szCs w:val="21"/>
                    </w:rPr>
                    <w:t>运营期</w:t>
                  </w:r>
                </w:p>
              </w:tc>
              <w:tc>
                <w:tcPr>
                  <w:tcW w:w="1061"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运营环境管理费</w:t>
                  </w:r>
                </w:p>
              </w:tc>
              <w:tc>
                <w:tcPr>
                  <w:tcW w:w="6034"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建设环保管理费</w:t>
                  </w:r>
                  <w:r>
                    <w:rPr>
                      <w:rFonts w:hint="eastAsia" w:ascii="Times New Roman" w:hAnsi="Times New Roman" w:eastAsia="宋体" w:cs="Times New Roman"/>
                      <w:szCs w:val="21"/>
                    </w:rPr>
                    <w:t>用于指定专人管理，并定期对水池进行清掏底泥</w:t>
                  </w:r>
                </w:p>
              </w:tc>
              <w:tc>
                <w:tcPr>
                  <w:tcW w:w="1359" w:type="dxa"/>
                  <w:tcBorders>
                    <w:tl2br w:val="nil"/>
                    <w:tr2bl w:val="nil"/>
                  </w:tcBorders>
                  <w:shd w:val="clear" w:color="auto" w:fill="auto"/>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2.</w:t>
                  </w:r>
                  <w:r>
                    <w:rPr>
                      <w:rFonts w:hint="eastAsia" w:ascii="Times New Roman" w:hAnsi="Times New Roman" w:eastAsia="宋体" w:cs="Times New Roman"/>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418" w:type="dxa"/>
                  <w:vMerge w:val="continue"/>
                  <w:tcBorders>
                    <w:tl2br w:val="nil"/>
                    <w:tr2bl w:val="nil"/>
                  </w:tcBorders>
                  <w:vAlign w:val="center"/>
                </w:tcPr>
                <w:p>
                  <w:pPr>
                    <w:jc w:val="center"/>
                    <w:rPr>
                      <w:rFonts w:cs="Times New Roman"/>
                      <w:szCs w:val="21"/>
                    </w:rPr>
                  </w:pPr>
                </w:p>
              </w:tc>
              <w:tc>
                <w:tcPr>
                  <w:tcW w:w="1061"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环保验收</w:t>
                  </w:r>
                </w:p>
              </w:tc>
              <w:tc>
                <w:tcPr>
                  <w:tcW w:w="6034" w:type="dxa"/>
                  <w:tcBorders>
                    <w:tl2br w:val="nil"/>
                    <w:tr2bl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工程竣工环保验收监测费用</w:t>
                  </w:r>
                </w:p>
              </w:tc>
              <w:tc>
                <w:tcPr>
                  <w:tcW w:w="1359" w:type="dxa"/>
                  <w:tcBorders>
                    <w:tl2br w:val="nil"/>
                    <w:tr2bl w:val="nil"/>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513" w:type="dxa"/>
                  <w:gridSpan w:val="3"/>
                  <w:tcBorders>
                    <w:tl2br w:val="nil"/>
                    <w:tr2bl w:val="nil"/>
                  </w:tcBorders>
                  <w:vAlign w:val="center"/>
                </w:tcPr>
                <w:p>
                  <w:pPr>
                    <w:jc w:val="center"/>
                    <w:rPr>
                      <w:rFonts w:cs="Times New Roman"/>
                      <w:szCs w:val="21"/>
                    </w:rPr>
                  </w:pPr>
                  <w:r>
                    <w:rPr>
                      <w:rFonts w:ascii="Times New Roman" w:hAnsi="Times New Roman" w:eastAsia="宋体" w:cs="Times New Roman"/>
                      <w:szCs w:val="21"/>
                    </w:rPr>
                    <w:t>合计</w:t>
                  </w:r>
                </w:p>
              </w:tc>
              <w:tc>
                <w:tcPr>
                  <w:tcW w:w="1359" w:type="dxa"/>
                  <w:tcBorders>
                    <w:tl2br w:val="nil"/>
                    <w:tr2bl w:val="nil"/>
                  </w:tcBorders>
                  <w:shd w:val="clear" w:color="auto" w:fill="auto"/>
                  <w:vAlign w:val="center"/>
                </w:tcPr>
                <w:p>
                  <w:pPr>
                    <w:jc w:val="center"/>
                    <w:rPr>
                      <w:rFonts w:cs="Times New Roman"/>
                      <w:szCs w:val="21"/>
                    </w:rPr>
                  </w:pPr>
                  <w:r>
                    <w:rPr>
                      <w:rFonts w:hint="eastAsia" w:ascii="Times New Roman" w:hAnsi="Times New Roman" w:eastAsia="宋体" w:cs="Times New Roman"/>
                      <w:szCs w:val="21"/>
                    </w:rPr>
                    <w:t>20.7</w:t>
                  </w:r>
                </w:p>
              </w:tc>
            </w:tr>
          </w:tbl>
          <w:p>
            <w:pPr>
              <w:spacing w:line="360" w:lineRule="auto"/>
              <w:ind w:firstLine="480" w:firstLineChars="200"/>
              <w:rPr>
                <w:rFonts w:ascii="Times New Roman" w:hAnsi="Times New Roman" w:cs="Times New Roman"/>
                <w:b/>
                <w:color w:val="000000" w:themeColor="text1"/>
                <w:sz w:val="24"/>
              </w:rPr>
            </w:pPr>
            <w:r>
              <w:rPr>
                <w:rFonts w:hint="eastAsia" w:ascii="Times New Roman" w:hAnsi="Times New Roman" w:cs="Times New Roman"/>
                <w:b/>
                <w:color w:val="000000" w:themeColor="text1"/>
                <w:sz w:val="24"/>
              </w:rPr>
              <w:t>七、环保措施“三同时”验收</w:t>
            </w:r>
          </w:p>
          <w:p>
            <w:pPr>
              <w:autoSpaceDE w:val="0"/>
              <w:autoSpaceDN w:val="0"/>
              <w:adjustRightInd w:val="0"/>
              <w:spacing w:line="360" w:lineRule="auto"/>
              <w:ind w:firstLine="480" w:firstLineChars="200"/>
              <w:rPr>
                <w:rFonts w:ascii="宋体" w:eastAsia="宋体" w:cs="宋体"/>
                <w:color w:val="000000"/>
                <w:kern w:val="0"/>
                <w:sz w:val="24"/>
              </w:rPr>
            </w:pPr>
            <w:r>
              <w:rPr>
                <w:rFonts w:hint="eastAsia" w:ascii="宋体" w:eastAsia="宋体" w:cs="宋体"/>
                <w:color w:val="000000"/>
                <w:kern w:val="0"/>
                <w:sz w:val="24"/>
              </w:rPr>
              <w:t>拟建项目所有环保设施均应与主体工程同时设计、同时施工、同时投产。根据《建设项目环境保护管理条例》，在本工程具体验收内容见下表。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表7-3 环保措施“三同时”验收一览表</w:t>
            </w:r>
          </w:p>
          <w:tbl>
            <w:tblPr>
              <w:tblStyle w:val="51"/>
              <w:tblW w:w="910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634"/>
              <w:gridCol w:w="1250"/>
              <w:gridCol w:w="3419"/>
              <w:gridCol w:w="380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0" w:hRule="exact"/>
                <w:jc w:val="center"/>
              </w:trPr>
              <w:tc>
                <w:tcPr>
                  <w:tcW w:w="634"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序号</w:t>
                  </w:r>
                </w:p>
              </w:tc>
              <w:tc>
                <w:tcPr>
                  <w:tcW w:w="1250"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污染物类别</w:t>
                  </w:r>
                </w:p>
              </w:tc>
              <w:tc>
                <w:tcPr>
                  <w:tcW w:w="3419"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验收内容</w:t>
                  </w:r>
                </w:p>
              </w:tc>
              <w:tc>
                <w:tcPr>
                  <w:tcW w:w="3805"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b/>
                      <w:bCs/>
                      <w:sz w:val="21"/>
                      <w:szCs w:val="21"/>
                      <w:lang w:eastAsia="zh-CN"/>
                    </w:rPr>
                    <w:t>验收要求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28" w:hRule="exact"/>
                <w:jc w:val="center"/>
              </w:trPr>
              <w:tc>
                <w:tcPr>
                  <w:tcW w:w="634" w:type="dxa"/>
                  <w:tcBorders>
                    <w:tl2br w:val="nil"/>
                    <w:tr2bl w:val="nil"/>
                  </w:tcBorders>
                  <w:vAlign w:val="center"/>
                </w:tcPr>
                <w:p>
                  <w:pPr>
                    <w:pStyle w:val="311"/>
                    <w:jc w:val="center"/>
                    <w:rPr>
                      <w:rFonts w:ascii="宋体" w:hAnsi="宋体" w:eastAsia="宋体" w:cs="宋体"/>
                      <w:sz w:val="21"/>
                      <w:szCs w:val="21"/>
                      <w:lang w:eastAsia="zh-CN"/>
                    </w:rPr>
                  </w:pPr>
                  <w:r>
                    <w:rPr>
                      <w:rFonts w:ascii="宋体"/>
                      <w:sz w:val="21"/>
                      <w:lang w:eastAsia="zh-CN"/>
                    </w:rPr>
                    <w:t>1</w:t>
                  </w:r>
                </w:p>
              </w:tc>
              <w:tc>
                <w:tcPr>
                  <w:tcW w:w="1250" w:type="dxa"/>
                  <w:tcBorders>
                    <w:tl2br w:val="nil"/>
                    <w:tr2bl w:val="nil"/>
                  </w:tcBorders>
                  <w:vAlign w:val="center"/>
                </w:tcPr>
                <w:p>
                  <w:pPr>
                    <w:pStyle w:val="311"/>
                    <w:jc w:val="center"/>
                    <w:rPr>
                      <w:rFonts w:ascii="宋体" w:hAnsi="宋体" w:eastAsia="宋体" w:cs="宋体"/>
                      <w:sz w:val="21"/>
                      <w:szCs w:val="21"/>
                      <w:lang w:eastAsia="zh-CN"/>
                    </w:rPr>
                  </w:pPr>
                  <w:r>
                    <w:rPr>
                      <w:rFonts w:ascii="宋体" w:hAnsi="宋体" w:eastAsia="宋体" w:cs="宋体"/>
                      <w:sz w:val="21"/>
                      <w:szCs w:val="21"/>
                      <w:lang w:eastAsia="zh-CN"/>
                    </w:rPr>
                    <w:t>施工</w:t>
                  </w:r>
                  <w:r>
                    <w:rPr>
                      <w:rFonts w:hint="eastAsia" w:ascii="宋体" w:hAnsi="宋体" w:eastAsia="宋体" w:cs="宋体"/>
                      <w:sz w:val="21"/>
                      <w:szCs w:val="21"/>
                      <w:lang w:val="en-US" w:eastAsia="zh-CN"/>
                    </w:rPr>
                    <w:t>扬尘</w:t>
                  </w:r>
                </w:p>
              </w:tc>
              <w:tc>
                <w:tcPr>
                  <w:tcW w:w="3419"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szCs w:val="21"/>
                    </w:rPr>
                    <w:t>设置围挡</w:t>
                  </w:r>
                  <w:r>
                    <w:rPr>
                      <w:rFonts w:hint="eastAsia" w:ascii="Times New Roman" w:hAnsi="Times New Roman" w:eastAsia="宋体" w:cs="Times New Roman"/>
                      <w:color w:val="000000"/>
                      <w:szCs w:val="21"/>
                    </w:rPr>
                    <w:t>及洒水作业，</w:t>
                  </w:r>
                  <w:r>
                    <w:rPr>
                      <w:rFonts w:hint="eastAsia"/>
                      <w:szCs w:val="21"/>
                    </w:rPr>
                    <w:t>主体施工时用密目安全网围护</w:t>
                  </w:r>
                </w:p>
              </w:tc>
              <w:tc>
                <w:tcPr>
                  <w:tcW w:w="3805"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ascii="Times New Roman" w:eastAsia="宋体"/>
                      <w:color w:val="000000"/>
                      <w:szCs w:val="21"/>
                    </w:rPr>
                    <w:t>减少扬尘量</w:t>
                  </w:r>
                  <w:r>
                    <w:rPr>
                      <w:rFonts w:hint="eastAsia" w:ascii="Times New Roman" w:eastAsia="宋体"/>
                      <w:color w:val="000000"/>
                      <w:szCs w:val="21"/>
                    </w:rPr>
                    <w:t>，</w:t>
                  </w:r>
                  <w:r>
                    <w:rPr>
                      <w:rFonts w:hint="eastAsia" w:ascii="Times New Roman" w:eastAsia="宋体"/>
                      <w:color w:val="000000"/>
                      <w:szCs w:val="21"/>
                      <w:lang w:val="en-GB"/>
                    </w:rPr>
                    <w:t>环境敏感点大气环境质量符合《环境空气质量标准》（</w:t>
                  </w:r>
                  <w:r>
                    <w:rPr>
                      <w:rFonts w:ascii="Times New Roman" w:eastAsia="宋体"/>
                      <w:color w:val="000000"/>
                      <w:szCs w:val="21"/>
                      <w:lang w:val="en-GB"/>
                    </w:rPr>
                    <w:t>GB3095-</w:t>
                  </w:r>
                  <w:r>
                    <w:rPr>
                      <w:rFonts w:ascii="Times New Roman" w:eastAsia="宋体"/>
                      <w:color w:val="000000"/>
                      <w:szCs w:val="21"/>
                    </w:rPr>
                    <w:t>2012</w:t>
                  </w:r>
                  <w:r>
                    <w:rPr>
                      <w:rFonts w:hint="eastAsia" w:ascii="Times New Roman" w:eastAsia="宋体"/>
                      <w:color w:val="000000"/>
                      <w:szCs w:val="21"/>
                      <w:lang w:val="en-GB"/>
                    </w:rPr>
                    <w:t>）中二级标准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4" w:hRule="exact"/>
                <w:jc w:val="center"/>
              </w:trPr>
              <w:tc>
                <w:tcPr>
                  <w:tcW w:w="634" w:type="dxa"/>
                  <w:vMerge w:val="restart"/>
                  <w:tcBorders>
                    <w:tl2br w:val="nil"/>
                    <w:tr2bl w:val="nil"/>
                  </w:tcBorders>
                  <w:vAlign w:val="center"/>
                </w:tcPr>
                <w:p>
                  <w:pPr>
                    <w:pStyle w:val="311"/>
                    <w:jc w:val="center"/>
                    <w:rPr>
                      <w:rFonts w:ascii="宋体" w:hAnsi="宋体" w:eastAsia="宋体" w:cs="宋体"/>
                      <w:sz w:val="21"/>
                      <w:szCs w:val="21"/>
                    </w:rPr>
                  </w:pPr>
                  <w:r>
                    <w:rPr>
                      <w:rFonts w:ascii="宋体"/>
                      <w:sz w:val="21"/>
                    </w:rPr>
                    <w:t>2</w:t>
                  </w:r>
                </w:p>
              </w:tc>
              <w:tc>
                <w:tcPr>
                  <w:tcW w:w="1250" w:type="dxa"/>
                  <w:vMerge w:val="restart"/>
                  <w:tcBorders>
                    <w:tl2br w:val="nil"/>
                    <w:tr2bl w:val="nil"/>
                  </w:tcBorders>
                  <w:vAlign w:val="center"/>
                </w:tcPr>
                <w:p>
                  <w:pPr>
                    <w:pStyle w:val="311"/>
                    <w:jc w:val="center"/>
                    <w:rPr>
                      <w:rFonts w:ascii="宋体" w:hAnsi="宋体" w:eastAsia="宋体" w:cs="宋体"/>
                      <w:sz w:val="21"/>
                      <w:szCs w:val="21"/>
                    </w:rPr>
                  </w:pPr>
                  <w:r>
                    <w:rPr>
                      <w:rFonts w:ascii="宋体" w:hAnsi="宋体" w:eastAsia="宋体" w:cs="宋体"/>
                      <w:sz w:val="21"/>
                      <w:szCs w:val="21"/>
                    </w:rPr>
                    <w:t>施工</w:t>
                  </w:r>
                  <w:r>
                    <w:rPr>
                      <w:rFonts w:hint="eastAsia" w:ascii="宋体" w:hAnsi="宋体" w:eastAsia="宋体" w:cs="宋体"/>
                      <w:sz w:val="21"/>
                      <w:szCs w:val="21"/>
                      <w:lang w:val="en-US" w:eastAsia="zh-CN"/>
                    </w:rPr>
                    <w:t>期</w:t>
                  </w:r>
                  <w:r>
                    <w:rPr>
                      <w:rFonts w:ascii="宋体" w:hAnsi="宋体" w:eastAsia="宋体" w:cs="宋体"/>
                      <w:sz w:val="21"/>
                      <w:szCs w:val="21"/>
                    </w:rPr>
                    <w:t>废水</w:t>
                  </w:r>
                </w:p>
              </w:tc>
              <w:tc>
                <w:tcPr>
                  <w:tcW w:w="3419"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生活污水利用当地居民已建的污水处理设施</w:t>
                  </w:r>
                </w:p>
              </w:tc>
              <w:tc>
                <w:tcPr>
                  <w:tcW w:w="3805" w:type="dxa"/>
                  <w:tcBorders>
                    <w:tl2br w:val="nil"/>
                    <w:tr2bl w:val="nil"/>
                  </w:tcBorders>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废水不直接外排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38" w:hRule="exact"/>
                <w:jc w:val="center"/>
              </w:trPr>
              <w:tc>
                <w:tcPr>
                  <w:tcW w:w="634" w:type="dxa"/>
                  <w:vMerge w:val="continue"/>
                  <w:tcBorders>
                    <w:tl2br w:val="nil"/>
                    <w:tr2bl w:val="nil"/>
                  </w:tcBorders>
                  <w:vAlign w:val="center"/>
                </w:tcPr>
                <w:p>
                  <w:pPr>
                    <w:jc w:val="center"/>
                  </w:pPr>
                </w:p>
              </w:tc>
              <w:tc>
                <w:tcPr>
                  <w:tcW w:w="1250" w:type="dxa"/>
                  <w:vMerge w:val="continue"/>
                  <w:tcBorders>
                    <w:tl2br w:val="nil"/>
                    <w:tr2bl w:val="nil"/>
                  </w:tcBorders>
                  <w:vAlign w:val="center"/>
                </w:tcPr>
                <w:p>
                  <w:pPr>
                    <w:jc w:val="center"/>
                  </w:pPr>
                </w:p>
              </w:tc>
              <w:tc>
                <w:tcPr>
                  <w:tcW w:w="3419"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eastAsia="宋体"/>
                      <w:color w:val="000000"/>
                      <w:szCs w:val="21"/>
                    </w:rPr>
                    <w:t>管道冲洗废水</w:t>
                  </w:r>
                </w:p>
              </w:tc>
              <w:tc>
                <w:tcPr>
                  <w:tcW w:w="3805"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eastAsia="宋体"/>
                      <w:color w:val="000000"/>
                      <w:szCs w:val="21"/>
                    </w:rPr>
                    <w:t>废水回用不外排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8" w:hRule="exact"/>
                <w:jc w:val="center"/>
              </w:trPr>
              <w:tc>
                <w:tcPr>
                  <w:tcW w:w="634" w:type="dxa"/>
                  <w:tcBorders>
                    <w:tl2br w:val="nil"/>
                    <w:tr2bl w:val="nil"/>
                  </w:tcBorders>
                  <w:vAlign w:val="center"/>
                </w:tcPr>
                <w:p>
                  <w:pPr>
                    <w:jc w:val="center"/>
                  </w:pPr>
                  <w:r>
                    <w:rPr>
                      <w:rFonts w:hint="eastAsia"/>
                    </w:rPr>
                    <w:t>3</w:t>
                  </w:r>
                </w:p>
              </w:tc>
              <w:tc>
                <w:tcPr>
                  <w:tcW w:w="1250" w:type="dxa"/>
                  <w:tcBorders>
                    <w:tl2br w:val="nil"/>
                    <w:tr2bl w:val="nil"/>
                  </w:tcBorders>
                  <w:vAlign w:val="center"/>
                </w:tcPr>
                <w:p>
                  <w:pPr>
                    <w:kinsoku w:val="0"/>
                    <w:overflowPunct w:val="0"/>
                    <w:autoSpaceDE w:val="0"/>
                    <w:autoSpaceDN w:val="0"/>
                    <w:adjustRightInd w:val="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噪声</w:t>
                  </w:r>
                </w:p>
              </w:tc>
              <w:tc>
                <w:tcPr>
                  <w:tcW w:w="3419"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szCs w:val="21"/>
                    </w:rPr>
                    <w:t>设备隔声、减震</w:t>
                  </w:r>
                </w:p>
              </w:tc>
              <w:tc>
                <w:tcPr>
                  <w:tcW w:w="3805" w:type="dxa"/>
                  <w:tcBorders>
                    <w:tl2br w:val="nil"/>
                    <w:tr2bl w:val="nil"/>
                  </w:tcBorders>
                  <w:vAlign w:val="center"/>
                </w:tcPr>
                <w:p>
                  <w:pPr>
                    <w:autoSpaceDE w:val="0"/>
                    <w:autoSpaceDN w:val="0"/>
                    <w:adjustRightInd w:val="0"/>
                    <w:jc w:val="center"/>
                    <w:rPr>
                      <w:rFonts w:ascii="宋体" w:eastAsia="宋体" w:cs="宋体"/>
                      <w:color w:val="000000"/>
                      <w:kern w:val="0"/>
                      <w:szCs w:val="21"/>
                    </w:rPr>
                  </w:pPr>
                  <w:r>
                    <w:rPr>
                      <w:rFonts w:hint="eastAsia" w:ascii="Times New Roman" w:eastAsia="宋体"/>
                      <w:color w:val="000000"/>
                      <w:szCs w:val="21"/>
                    </w:rPr>
                    <w:t>敏感点声环境质量符合《声环境质量标准》（</w:t>
                  </w:r>
                  <w:r>
                    <w:rPr>
                      <w:rFonts w:ascii="Times New Roman" w:eastAsia="宋体"/>
                      <w:color w:val="000000"/>
                      <w:szCs w:val="21"/>
                    </w:rPr>
                    <w:t>GB3096-2008</w:t>
                  </w:r>
                  <w:r>
                    <w:rPr>
                      <w:rFonts w:hint="eastAsia" w:ascii="Times New Roman" w:eastAsia="宋体"/>
                      <w:color w:val="000000"/>
                      <w:szCs w:val="21"/>
                    </w:rPr>
                    <w:t>）</w:t>
                  </w:r>
                  <w:r>
                    <w:rPr>
                      <w:rFonts w:ascii="Times New Roman" w:eastAsia="宋体"/>
                      <w:color w:val="000000"/>
                      <w:szCs w:val="21"/>
                    </w:rPr>
                    <w:t>2</w:t>
                  </w:r>
                  <w:r>
                    <w:rPr>
                      <w:rFonts w:hint="eastAsia" w:ascii="Times New Roman" w:eastAsia="宋体"/>
                      <w:color w:val="000000"/>
                      <w:szCs w:val="21"/>
                    </w:rPr>
                    <w:t>类标准要求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39" w:hRule="exact"/>
                <w:jc w:val="center"/>
              </w:trPr>
              <w:tc>
                <w:tcPr>
                  <w:tcW w:w="634" w:type="dxa"/>
                  <w:vMerge w:val="restart"/>
                  <w:tcBorders>
                    <w:tl2br w:val="nil"/>
                    <w:tr2bl w:val="nil"/>
                  </w:tcBorders>
                  <w:vAlign w:val="center"/>
                </w:tcPr>
                <w:p>
                  <w:pPr>
                    <w:pStyle w:val="311"/>
                    <w:jc w:val="center"/>
                    <w:rPr>
                      <w:rFonts w:ascii="宋体" w:hAnsi="宋体" w:eastAsia="宋体" w:cs="宋体"/>
                      <w:sz w:val="21"/>
                      <w:szCs w:val="21"/>
                      <w:lang w:eastAsia="zh-CN"/>
                    </w:rPr>
                  </w:pPr>
                  <w:r>
                    <w:rPr>
                      <w:rFonts w:hint="eastAsia" w:ascii="宋体"/>
                      <w:sz w:val="21"/>
                      <w:lang w:eastAsia="zh-CN"/>
                    </w:rPr>
                    <w:t>4</w:t>
                  </w:r>
                </w:p>
              </w:tc>
              <w:tc>
                <w:tcPr>
                  <w:tcW w:w="1250" w:type="dxa"/>
                  <w:vMerge w:val="restart"/>
                  <w:tcBorders>
                    <w:tl2br w:val="nil"/>
                    <w:tr2bl w:val="nil"/>
                  </w:tcBorders>
                  <w:vAlign w:val="center"/>
                </w:tcPr>
                <w:p>
                  <w:pPr>
                    <w:pStyle w:val="311"/>
                    <w:jc w:val="center"/>
                    <w:rPr>
                      <w:rFonts w:ascii="宋体" w:hAnsi="宋体" w:eastAsia="宋体" w:cs="宋体"/>
                      <w:sz w:val="21"/>
                      <w:szCs w:val="21"/>
                    </w:rPr>
                  </w:pPr>
                  <w:r>
                    <w:rPr>
                      <w:rFonts w:ascii="宋体" w:hAnsi="宋体" w:eastAsia="宋体" w:cs="宋体"/>
                      <w:sz w:val="21"/>
                      <w:szCs w:val="21"/>
                    </w:rPr>
                    <w:t>施工固废</w:t>
                  </w:r>
                </w:p>
              </w:tc>
              <w:tc>
                <w:tcPr>
                  <w:tcW w:w="3419"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多余土方回填，</w:t>
                  </w:r>
                  <w:r>
                    <w:rPr>
                      <w:rFonts w:ascii="Times New Roman" w:hAnsi="Times New Roman" w:eastAsia="宋体" w:cs="Times New Roman"/>
                      <w:szCs w:val="21"/>
                    </w:rPr>
                    <w:t>部分用于填补附近耕地、农田、荒地</w:t>
                  </w:r>
                </w:p>
              </w:tc>
              <w:tc>
                <w:tcPr>
                  <w:tcW w:w="3805" w:type="dxa"/>
                  <w:vMerge w:val="restart"/>
                  <w:tcBorders>
                    <w:tl2br w:val="nil"/>
                    <w:tr2bl w:val="nil"/>
                  </w:tcBorders>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均得到合理处置，不外排</w:t>
                  </w:r>
                </w:p>
                <w:p>
                  <w:pPr>
                    <w:pStyle w:val="311"/>
                    <w:jc w:val="center"/>
                    <w:rPr>
                      <w:rFonts w:ascii="宋体" w:hAnsi="宋体" w:eastAsia="宋体" w:cs="宋体"/>
                      <w:sz w:val="21"/>
                      <w:szCs w:val="21"/>
                    </w:rPr>
                  </w:pPr>
                  <w:r>
                    <w:rPr>
                      <w:rFonts w:hint="eastAsia" w:ascii="宋体" w:eastAsia="宋体" w:cs="宋体"/>
                      <w:color w:val="000000"/>
                      <w:sz w:val="21"/>
                      <w:szCs w:val="21"/>
                    </w:rPr>
                    <w:t>不产生二次污染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50" w:hRule="exact"/>
                <w:jc w:val="center"/>
              </w:trPr>
              <w:tc>
                <w:tcPr>
                  <w:tcW w:w="634" w:type="dxa"/>
                  <w:vMerge w:val="continue"/>
                  <w:tcBorders>
                    <w:tl2br w:val="nil"/>
                    <w:tr2bl w:val="nil"/>
                  </w:tcBorders>
                  <w:vAlign w:val="center"/>
                </w:tcPr>
                <w:p>
                  <w:pPr>
                    <w:jc w:val="center"/>
                  </w:pPr>
                </w:p>
              </w:tc>
              <w:tc>
                <w:tcPr>
                  <w:tcW w:w="1250" w:type="dxa"/>
                  <w:vMerge w:val="continue"/>
                  <w:tcBorders>
                    <w:tl2br w:val="nil"/>
                    <w:tr2bl w:val="nil"/>
                  </w:tcBorders>
                  <w:vAlign w:val="center"/>
                </w:tcPr>
                <w:p>
                  <w:pPr>
                    <w:jc w:val="center"/>
                  </w:pPr>
                </w:p>
              </w:tc>
              <w:tc>
                <w:tcPr>
                  <w:tcW w:w="3419"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生活垃圾交由环卫部门统一处理</w:t>
                  </w:r>
                </w:p>
              </w:tc>
              <w:tc>
                <w:tcPr>
                  <w:tcW w:w="3805" w:type="dxa"/>
                  <w:vMerge w:val="continue"/>
                  <w:tcBorders>
                    <w:tl2br w:val="nil"/>
                    <w:tr2bl w:val="nil"/>
                  </w:tcBorders>
                  <w:vAlign w:val="center"/>
                </w:tcPr>
                <w:p>
                  <w:pPr>
                    <w:jc w:val="cente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6" w:hRule="exact"/>
                <w:jc w:val="center"/>
              </w:trPr>
              <w:tc>
                <w:tcPr>
                  <w:tcW w:w="634" w:type="dxa"/>
                  <w:vMerge w:val="restart"/>
                  <w:tcBorders>
                    <w:tl2br w:val="nil"/>
                    <w:tr2bl w:val="nil"/>
                  </w:tcBorders>
                  <w:vAlign w:val="center"/>
                </w:tcPr>
                <w:p>
                  <w:pPr>
                    <w:pStyle w:val="311"/>
                    <w:spacing w:before="144"/>
                    <w:jc w:val="center"/>
                    <w:rPr>
                      <w:rFonts w:ascii="宋体" w:hAnsi="宋体" w:eastAsia="宋体" w:cs="宋体"/>
                      <w:sz w:val="21"/>
                      <w:szCs w:val="21"/>
                      <w:lang w:eastAsia="zh-CN"/>
                    </w:rPr>
                  </w:pPr>
                  <w:r>
                    <w:rPr>
                      <w:rFonts w:hint="eastAsia" w:ascii="宋体"/>
                      <w:sz w:val="21"/>
                      <w:lang w:eastAsia="zh-CN"/>
                    </w:rPr>
                    <w:t>5</w:t>
                  </w:r>
                </w:p>
              </w:tc>
              <w:tc>
                <w:tcPr>
                  <w:tcW w:w="1250" w:type="dxa"/>
                  <w:vMerge w:val="restart"/>
                  <w:tcBorders>
                    <w:tl2br w:val="nil"/>
                    <w:tr2bl w:val="nil"/>
                  </w:tcBorders>
                  <w:vAlign w:val="center"/>
                </w:tcPr>
                <w:p>
                  <w:pPr>
                    <w:kinsoku w:val="0"/>
                    <w:overflowPunct w:val="0"/>
                    <w:autoSpaceDE w:val="0"/>
                    <w:autoSpaceDN w:val="0"/>
                    <w:adjustRightInd w:val="0"/>
                    <w:jc w:val="center"/>
                    <w:rPr>
                      <w:rFonts w:ascii="Times New Roman" w:eastAsia="宋体"/>
                      <w:color w:val="000000"/>
                      <w:szCs w:val="21"/>
                    </w:rPr>
                  </w:pPr>
                  <w:r>
                    <w:rPr>
                      <w:rFonts w:hint="eastAsia" w:ascii="Times New Roman" w:eastAsia="宋体"/>
                      <w:color w:val="000000"/>
                      <w:szCs w:val="21"/>
                    </w:rPr>
                    <w:t>生态</w:t>
                  </w:r>
                </w:p>
                <w:p>
                  <w:pPr>
                    <w:kinsoku w:val="0"/>
                    <w:overflowPunct w:val="0"/>
                    <w:autoSpaceDE w:val="0"/>
                    <w:autoSpaceDN w:val="0"/>
                    <w:adjustRightInd w:val="0"/>
                    <w:jc w:val="center"/>
                    <w:rPr>
                      <w:rFonts w:hint="eastAsia" w:ascii="Times New Roman" w:hAnsi="Times New Roman" w:eastAsia="宋体" w:cs="Times New Roman"/>
                      <w:color w:val="000000"/>
                      <w:szCs w:val="21"/>
                      <w:lang w:eastAsia="zh-CN"/>
                    </w:rPr>
                  </w:pPr>
                  <w:r>
                    <w:rPr>
                      <w:rFonts w:hint="eastAsia" w:ascii="Times New Roman" w:eastAsia="宋体"/>
                      <w:color w:val="000000"/>
                      <w:szCs w:val="21"/>
                      <w:lang w:val="en-US" w:eastAsia="zh-CN"/>
                    </w:rPr>
                    <w:t>影响</w:t>
                  </w:r>
                </w:p>
              </w:tc>
              <w:tc>
                <w:tcPr>
                  <w:tcW w:w="3419" w:type="dxa"/>
                  <w:tcBorders>
                    <w:tl2br w:val="nil"/>
                    <w:tr2bl w:val="nil"/>
                  </w:tcBorders>
                  <w:vAlign w:val="center"/>
                </w:tcPr>
                <w:p>
                  <w:pPr>
                    <w:pStyle w:val="25"/>
                    <w:ind w:left="0" w:leftChars="0"/>
                    <w:jc w:val="center"/>
                    <w:rPr>
                      <w:rFonts w:ascii="Times New Roman" w:eastAsia="宋体"/>
                      <w:color w:val="000000"/>
                      <w:szCs w:val="21"/>
                      <w:lang w:eastAsia="en-US"/>
                    </w:rPr>
                  </w:pPr>
                  <w:r>
                    <w:rPr>
                      <w:rFonts w:ascii="Times New Roman" w:eastAsia="宋体"/>
                      <w:color w:val="000000"/>
                      <w:szCs w:val="21"/>
                      <w:lang w:eastAsia="en-US"/>
                    </w:rPr>
                    <w:t>生态宣教标牌等设施</w:t>
                  </w:r>
                </w:p>
              </w:tc>
              <w:tc>
                <w:tcPr>
                  <w:tcW w:w="3805" w:type="dxa"/>
                  <w:vMerge w:val="restart"/>
                  <w:tcBorders>
                    <w:tl2br w:val="nil"/>
                    <w:tr2bl w:val="nil"/>
                  </w:tcBorders>
                  <w:vAlign w:val="center"/>
                </w:tcPr>
                <w:p>
                  <w:pPr>
                    <w:pStyle w:val="311"/>
                    <w:spacing w:before="134"/>
                    <w:jc w:val="center"/>
                    <w:rPr>
                      <w:rFonts w:ascii="宋体" w:hAnsi="宋体" w:eastAsia="宋体" w:cs="宋体"/>
                      <w:sz w:val="21"/>
                      <w:szCs w:val="21"/>
                      <w:lang w:eastAsia="zh-CN"/>
                    </w:rPr>
                  </w:pPr>
                  <w:r>
                    <w:rPr>
                      <w:rFonts w:ascii="Times New Roman" w:eastAsia="宋体"/>
                      <w:color w:val="000000"/>
                      <w:sz w:val="21"/>
                      <w:szCs w:val="21"/>
                      <w:lang w:eastAsia="zh-CN"/>
                    </w:rPr>
                    <w:t>保护植被及动植物</w:t>
                  </w:r>
                  <w:r>
                    <w:rPr>
                      <w:rFonts w:hint="eastAsia" w:ascii="Times New Roman" w:eastAsia="宋体"/>
                      <w:color w:val="000000"/>
                      <w:sz w:val="21"/>
                      <w:szCs w:val="21"/>
                      <w:lang w:eastAsia="zh-CN"/>
                    </w:rPr>
                    <w:t>，</w:t>
                  </w:r>
                  <w:r>
                    <w:rPr>
                      <w:rFonts w:ascii="Times New Roman" w:eastAsia="宋体"/>
                      <w:color w:val="000000"/>
                      <w:sz w:val="21"/>
                      <w:szCs w:val="21"/>
                      <w:lang w:eastAsia="zh-CN"/>
                    </w:rPr>
                    <w:t>滞尘减噪、绿化、美观及临时工程生态恢复</w:t>
                  </w:r>
                  <w:r>
                    <w:rPr>
                      <w:rFonts w:hint="eastAsia" w:ascii="Times New Roman" w:eastAsia="宋体"/>
                      <w:color w:val="000000"/>
                      <w:sz w:val="21"/>
                      <w:szCs w:val="21"/>
                      <w:lang w:eastAsia="zh-CN"/>
                    </w:rPr>
                    <w:t>，</w:t>
                  </w:r>
                  <w:r>
                    <w:rPr>
                      <w:rFonts w:ascii="Times New Roman" w:eastAsia="宋体"/>
                      <w:color w:val="000000"/>
                      <w:sz w:val="21"/>
                      <w:szCs w:val="21"/>
                      <w:lang w:eastAsia="zh-CN"/>
                    </w:rPr>
                    <w:t>防止水土流失</w:t>
                  </w:r>
                  <w:r>
                    <w:rPr>
                      <w:rFonts w:hint="eastAsia" w:ascii="Times New Roman" w:eastAsia="宋体"/>
                      <w:color w:val="000000"/>
                      <w:sz w:val="21"/>
                      <w:szCs w:val="21"/>
                      <w:lang w:eastAsia="zh-CN"/>
                    </w:rPr>
                    <w:t>，减少施工对生态环境的影响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995" w:hRule="exact"/>
                <w:jc w:val="center"/>
              </w:trPr>
              <w:tc>
                <w:tcPr>
                  <w:tcW w:w="634" w:type="dxa"/>
                  <w:vMerge w:val="continue"/>
                  <w:tcBorders>
                    <w:tl2br w:val="nil"/>
                    <w:tr2bl w:val="nil"/>
                  </w:tcBorders>
                  <w:vAlign w:val="center"/>
                </w:tcPr>
                <w:p>
                  <w:pPr>
                    <w:pStyle w:val="311"/>
                    <w:spacing w:before="144"/>
                    <w:jc w:val="center"/>
                    <w:rPr>
                      <w:rFonts w:ascii="宋体"/>
                      <w:sz w:val="21"/>
                      <w:lang w:eastAsia="zh-CN"/>
                    </w:rPr>
                  </w:pPr>
                </w:p>
              </w:tc>
              <w:tc>
                <w:tcPr>
                  <w:tcW w:w="1250" w:type="dxa"/>
                  <w:vMerge w:val="continue"/>
                  <w:tcBorders>
                    <w:tl2br w:val="nil"/>
                    <w:tr2bl w:val="nil"/>
                  </w:tcBorders>
                  <w:vAlign w:val="center"/>
                </w:tcPr>
                <w:p>
                  <w:pPr>
                    <w:pStyle w:val="311"/>
                    <w:spacing w:before="144"/>
                    <w:jc w:val="center"/>
                    <w:rPr>
                      <w:rFonts w:ascii="宋体" w:hAnsi="宋体" w:eastAsia="宋体" w:cs="宋体"/>
                      <w:sz w:val="21"/>
                      <w:szCs w:val="21"/>
                      <w:lang w:eastAsia="zh-CN"/>
                    </w:rPr>
                  </w:pPr>
                </w:p>
              </w:tc>
              <w:tc>
                <w:tcPr>
                  <w:tcW w:w="3419" w:type="dxa"/>
                  <w:tcBorders>
                    <w:tl2br w:val="nil"/>
                    <w:tr2bl w:val="nil"/>
                  </w:tcBorders>
                  <w:vAlign w:val="center"/>
                </w:tcPr>
                <w:p>
                  <w:pPr>
                    <w:pStyle w:val="311"/>
                    <w:spacing w:before="20"/>
                    <w:jc w:val="center"/>
                    <w:rPr>
                      <w:rFonts w:ascii="宋体" w:hAnsi="宋体" w:eastAsia="宋体" w:cs="宋体"/>
                      <w:sz w:val="21"/>
                      <w:szCs w:val="21"/>
                      <w:lang w:eastAsia="zh-CN"/>
                    </w:rPr>
                  </w:pPr>
                  <w:r>
                    <w:rPr>
                      <w:rFonts w:ascii="Times New Roman" w:eastAsia="宋体"/>
                      <w:color w:val="000000"/>
                      <w:sz w:val="21"/>
                      <w:szCs w:val="21"/>
                      <w:lang w:eastAsia="zh-CN"/>
                    </w:rPr>
                    <w:t>工程绿化、景观设施及生态恢复措施</w:t>
                  </w:r>
                </w:p>
              </w:tc>
              <w:tc>
                <w:tcPr>
                  <w:tcW w:w="3805" w:type="dxa"/>
                  <w:vMerge w:val="continue"/>
                  <w:tcBorders>
                    <w:tl2br w:val="nil"/>
                    <w:tr2bl w:val="nil"/>
                  </w:tcBorders>
                  <w:vAlign w:val="center"/>
                </w:tcPr>
                <w:p>
                  <w:pPr>
                    <w:pStyle w:val="311"/>
                    <w:spacing w:before="134"/>
                    <w:jc w:val="center"/>
                    <w:rPr>
                      <w:rFonts w:ascii="宋体" w:hAnsi="宋体" w:eastAsia="宋体" w:cs="宋体"/>
                      <w:spacing w:val="-8"/>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81" w:hRule="exact"/>
                <w:jc w:val="center"/>
              </w:trPr>
              <w:tc>
                <w:tcPr>
                  <w:tcW w:w="634" w:type="dxa"/>
                  <w:vMerge w:val="continue"/>
                  <w:tcBorders>
                    <w:tl2br w:val="nil"/>
                    <w:tr2bl w:val="nil"/>
                  </w:tcBorders>
                  <w:vAlign w:val="center"/>
                </w:tcPr>
                <w:p>
                  <w:pPr>
                    <w:jc w:val="center"/>
                  </w:pPr>
                </w:p>
              </w:tc>
              <w:tc>
                <w:tcPr>
                  <w:tcW w:w="1250" w:type="dxa"/>
                  <w:vMerge w:val="continue"/>
                  <w:tcBorders>
                    <w:tl2br w:val="nil"/>
                    <w:tr2bl w:val="nil"/>
                  </w:tcBorders>
                  <w:vAlign w:val="center"/>
                </w:tcPr>
                <w:p>
                  <w:pPr>
                    <w:jc w:val="center"/>
                  </w:pPr>
                </w:p>
              </w:tc>
              <w:tc>
                <w:tcPr>
                  <w:tcW w:w="3419" w:type="dxa"/>
                  <w:tcBorders>
                    <w:tl2br w:val="nil"/>
                    <w:tr2bl w:val="nil"/>
                  </w:tcBorders>
                  <w:vAlign w:val="center"/>
                </w:tcPr>
                <w:p>
                  <w:pPr>
                    <w:pStyle w:val="311"/>
                    <w:jc w:val="center"/>
                    <w:rPr>
                      <w:rFonts w:ascii="宋体" w:hAnsi="宋体" w:eastAsia="宋体" w:cs="宋体"/>
                      <w:sz w:val="21"/>
                      <w:szCs w:val="21"/>
                      <w:lang w:eastAsia="zh-CN"/>
                    </w:rPr>
                  </w:pPr>
                  <w:r>
                    <w:rPr>
                      <w:rFonts w:ascii="Times New Roman" w:eastAsia="宋体"/>
                      <w:color w:val="000000"/>
                      <w:sz w:val="21"/>
                      <w:szCs w:val="21"/>
                      <w:lang w:eastAsia="zh-CN"/>
                    </w:rPr>
                    <w:t>水土保持措施(含临时措施)</w:t>
                  </w:r>
                </w:p>
              </w:tc>
              <w:tc>
                <w:tcPr>
                  <w:tcW w:w="3805" w:type="dxa"/>
                  <w:vMerge w:val="continue"/>
                  <w:tcBorders>
                    <w:tl2br w:val="nil"/>
                    <w:tr2bl w:val="nil"/>
                  </w:tcBorders>
                  <w:vAlign w:val="center"/>
                </w:tcPr>
                <w:p>
                  <w:pPr>
                    <w:jc w:val="cente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08" w:hRule="exact"/>
                <w:jc w:val="center"/>
              </w:trPr>
              <w:tc>
                <w:tcPr>
                  <w:tcW w:w="634" w:type="dxa"/>
                  <w:vMerge w:val="restart"/>
                  <w:tcBorders>
                    <w:tl2br w:val="nil"/>
                    <w:tr2bl w:val="nil"/>
                  </w:tcBorders>
                  <w:vAlign w:val="center"/>
                </w:tcPr>
                <w:p>
                  <w:pPr>
                    <w:jc w:val="center"/>
                  </w:pPr>
                  <w:r>
                    <w:rPr>
                      <w:rFonts w:hint="eastAsia"/>
                    </w:rPr>
                    <w:t>6</w:t>
                  </w:r>
                </w:p>
              </w:tc>
              <w:tc>
                <w:tcPr>
                  <w:tcW w:w="1250"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施工期环境管理</w:t>
                  </w:r>
                </w:p>
              </w:tc>
              <w:tc>
                <w:tcPr>
                  <w:tcW w:w="3419"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eastAsia="宋体"/>
                      <w:color w:val="000000"/>
                      <w:szCs w:val="21"/>
                    </w:rPr>
                    <w:t>编制环境监理报告，有环境监理报告</w:t>
                  </w:r>
                </w:p>
              </w:tc>
              <w:tc>
                <w:tcPr>
                  <w:tcW w:w="3805" w:type="dxa"/>
                  <w:tcBorders>
                    <w:tl2br w:val="nil"/>
                    <w:tr2bl w:val="nil"/>
                  </w:tcBorders>
                  <w:vAlign w:val="center"/>
                </w:tcPr>
                <w:p>
                  <w:pPr>
                    <w:jc w:val="center"/>
                  </w:pPr>
                  <w:r>
                    <w:t>环境监理报告</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08" w:hRule="exact"/>
                <w:jc w:val="center"/>
              </w:trPr>
              <w:tc>
                <w:tcPr>
                  <w:tcW w:w="634" w:type="dxa"/>
                  <w:vMerge w:val="continue"/>
                  <w:tcBorders>
                    <w:tl2br w:val="nil"/>
                    <w:tr2bl w:val="nil"/>
                  </w:tcBorders>
                  <w:vAlign w:val="center"/>
                </w:tcPr>
                <w:p>
                  <w:pPr>
                    <w:jc w:val="center"/>
                  </w:pPr>
                </w:p>
              </w:tc>
              <w:tc>
                <w:tcPr>
                  <w:tcW w:w="1250" w:type="dxa"/>
                  <w:tcBorders>
                    <w:tl2br w:val="nil"/>
                    <w:tr2bl w:val="nil"/>
                  </w:tcBorders>
                  <w:vAlign w:val="center"/>
                </w:tcPr>
                <w:p>
                  <w:pPr>
                    <w:kinsoku w:val="0"/>
                    <w:overflowPunct w:val="0"/>
                    <w:autoSpaceDE w:val="0"/>
                    <w:autoSpaceDN w:val="0"/>
                    <w:adjustRightIn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运营期环境管理</w:t>
                  </w:r>
                </w:p>
              </w:tc>
              <w:tc>
                <w:tcPr>
                  <w:tcW w:w="3419" w:type="dxa"/>
                  <w:tcBorders>
                    <w:tl2br w:val="nil"/>
                    <w:tr2bl w:val="nil"/>
                  </w:tcBorders>
                  <w:vAlign w:val="center"/>
                </w:tcPr>
                <w:p>
                  <w:pPr>
                    <w:kinsoku w:val="0"/>
                    <w:overflowPunct w:val="0"/>
                    <w:autoSpaceDE w:val="0"/>
                    <w:autoSpaceDN w:val="0"/>
                    <w:adjustRightInd w:val="0"/>
                    <w:jc w:val="center"/>
                    <w:rPr>
                      <w:rFonts w:ascii="Times New Roman" w:eastAsia="宋体"/>
                      <w:color w:val="000000"/>
                      <w:szCs w:val="21"/>
                    </w:rPr>
                  </w:pPr>
                  <w:r>
                    <w:rPr>
                      <w:rFonts w:hint="eastAsia" w:ascii="Times New Roman" w:hAnsi="Times New Roman" w:eastAsia="宋体" w:cs="Times New Roman"/>
                      <w:color w:val="000000"/>
                      <w:szCs w:val="21"/>
                    </w:rPr>
                    <w:t>通过环境保护验收工作，有验收报告</w:t>
                  </w:r>
                </w:p>
              </w:tc>
              <w:tc>
                <w:tcPr>
                  <w:tcW w:w="3805" w:type="dxa"/>
                  <w:tcBorders>
                    <w:tl2br w:val="nil"/>
                    <w:tr2bl w:val="nil"/>
                  </w:tcBorders>
                  <w:vAlign w:val="center"/>
                </w:tcPr>
                <w:p>
                  <w:pPr>
                    <w:jc w:val="center"/>
                  </w:pPr>
                  <w:r>
                    <w:t>环境保护验收报告</w:t>
                  </w:r>
                </w:p>
              </w:tc>
            </w:tr>
          </w:tbl>
          <w:p>
            <w:pPr>
              <w:spacing w:line="360" w:lineRule="auto"/>
              <w:ind w:firstLine="480" w:firstLineChars="200"/>
              <w:rPr>
                <w:rFonts w:ascii="t" w:hAnsi="t"/>
                <w:snapToGrid w:val="0"/>
                <w:color w:val="FF0000"/>
                <w:kern w:val="0"/>
                <w:sz w:val="24"/>
              </w:rPr>
            </w:pPr>
          </w:p>
          <w:p>
            <w:pPr>
              <w:pStyle w:val="24"/>
              <w:adjustRightInd w:val="0"/>
              <w:snapToGrid w:val="0"/>
              <w:spacing w:after="0" w:line="360" w:lineRule="auto"/>
              <w:ind w:firstLine="480" w:firstLineChars="200"/>
              <w:jc w:val="left"/>
              <w:rPr>
                <w:rFonts w:ascii="Times New Roman" w:hAnsi="Times New Roman" w:cs="Times New Roman"/>
                <w:color w:val="000000" w:themeColor="text1"/>
                <w:sz w:val="24"/>
              </w:rPr>
            </w:pPr>
          </w:p>
          <w:p>
            <w:pPr>
              <w:pStyle w:val="24"/>
              <w:adjustRightInd w:val="0"/>
              <w:snapToGrid w:val="0"/>
              <w:spacing w:after="0" w:line="360" w:lineRule="auto"/>
              <w:jc w:val="center"/>
              <w:rPr>
                <w:rFonts w:ascii="Times New Roman" w:hAnsi="Times New Roman" w:cs="Times New Roman"/>
                <w:color w:val="000000" w:themeColor="text1"/>
                <w:sz w:val="24"/>
              </w:rPr>
            </w:pPr>
          </w:p>
          <w:p>
            <w:pPr>
              <w:pStyle w:val="24"/>
              <w:adjustRightInd w:val="0"/>
              <w:snapToGrid w:val="0"/>
              <w:spacing w:after="0" w:line="360" w:lineRule="auto"/>
              <w:jc w:val="center"/>
              <w:rPr>
                <w:rFonts w:ascii="Times New Roman" w:hAnsi="Times New Roman" w:cs="Times New Roman"/>
                <w:color w:val="000000" w:themeColor="text1"/>
                <w:sz w:val="24"/>
              </w:rPr>
            </w:pPr>
          </w:p>
        </w:tc>
      </w:tr>
    </w:tbl>
    <w:p>
      <w:pPr>
        <w:tabs>
          <w:tab w:val="left" w:pos="5760"/>
        </w:tabs>
        <w:adjustRightInd w:val="0"/>
        <w:snapToGrid w:val="0"/>
        <w:spacing w:before="156" w:beforeLines="50" w:after="156" w:afterLines="50"/>
        <w:outlineLvl w:val="0"/>
        <w:rPr>
          <w:rFonts w:ascii="Times New Roman" w:hAnsi="Times New Roman" w:cs="Times New Roman"/>
          <w:b/>
          <w:color w:val="000000" w:themeColor="text1"/>
          <w:sz w:val="30"/>
          <w:szCs w:val="3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outlineLvl w:val="0"/>
        <w:rPr>
          <w:rFonts w:ascii="Times New Roman" w:hAnsi="Times New Roman" w:cs="Times New Roman"/>
          <w:b/>
          <w:color w:val="000000" w:themeColor="text1"/>
          <w:sz w:val="30"/>
          <w:szCs w:val="30"/>
        </w:rPr>
      </w:pPr>
      <w:r>
        <w:rPr>
          <w:rFonts w:hint="eastAsia" w:ascii="Times New Roman" w:hAnsi="Times New Roman" w:cs="Times New Roman"/>
          <w:b/>
          <w:color w:val="000000" w:themeColor="text1"/>
          <w:sz w:val="30"/>
          <w:szCs w:val="30"/>
        </w:rPr>
        <w:t>建设项目拟采取的防治措施及预期治理                  （</w:t>
      </w:r>
      <w:r>
        <w:rPr>
          <w:rFonts w:hint="eastAsia" w:ascii="Times New Roman" w:hAnsi="Times New Roman" w:cs="Times New Roman"/>
          <w:b/>
          <w:snapToGrid w:val="0"/>
          <w:color w:val="000000" w:themeColor="text1"/>
          <w:kern w:val="0"/>
          <w:sz w:val="30"/>
          <w:szCs w:val="30"/>
        </w:rPr>
        <w:t>表八）</w:t>
      </w:r>
    </w:p>
    <w:tbl>
      <w:tblPr>
        <w:tblStyle w:val="51"/>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2"/>
        <w:gridCol w:w="931"/>
        <w:gridCol w:w="1417"/>
        <w:gridCol w:w="3261"/>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12" w:type="dxa"/>
            <w:tcBorders>
              <w:tl2br w:val="single" w:color="auto" w:sz="4" w:space="0"/>
            </w:tcBorders>
            <w:vAlign w:val="center"/>
          </w:tcPr>
          <w:p>
            <w:pPr>
              <w:jc w:val="center"/>
              <w:rPr>
                <w:rFonts w:ascii="t" w:hAnsi="t"/>
                <w:b/>
                <w:color w:val="000000" w:themeColor="text1"/>
                <w:szCs w:val="21"/>
              </w:rPr>
            </w:pPr>
            <w:r>
              <w:rPr>
                <w:rFonts w:ascii="t" w:hAnsi="t"/>
                <w:b/>
                <w:color w:val="000000" w:themeColor="text1"/>
                <w:szCs w:val="21"/>
              </w:rPr>
              <w:t>内容</w:t>
            </w:r>
          </w:p>
          <w:p>
            <w:pPr>
              <w:rPr>
                <w:rFonts w:ascii="t" w:hAnsi="t"/>
                <w:b/>
                <w:color w:val="000000" w:themeColor="text1"/>
                <w:szCs w:val="21"/>
              </w:rPr>
            </w:pPr>
            <w:r>
              <w:rPr>
                <w:rFonts w:ascii="t" w:hAnsi="t"/>
                <w:b/>
                <w:color w:val="000000" w:themeColor="text1"/>
                <w:szCs w:val="21"/>
              </w:rPr>
              <w:t>类型</w:t>
            </w:r>
          </w:p>
        </w:tc>
        <w:tc>
          <w:tcPr>
            <w:tcW w:w="931" w:type="dxa"/>
            <w:vAlign w:val="center"/>
          </w:tcPr>
          <w:p>
            <w:pPr>
              <w:jc w:val="center"/>
              <w:rPr>
                <w:rFonts w:ascii="t" w:hAnsi="t"/>
                <w:b/>
                <w:color w:val="000000" w:themeColor="text1"/>
                <w:szCs w:val="21"/>
              </w:rPr>
            </w:pPr>
            <w:r>
              <w:rPr>
                <w:rFonts w:ascii="t" w:hAnsi="t"/>
                <w:b/>
                <w:color w:val="000000" w:themeColor="text1"/>
                <w:szCs w:val="21"/>
              </w:rPr>
              <w:t>排放源</w:t>
            </w:r>
          </w:p>
          <w:p>
            <w:pPr>
              <w:jc w:val="center"/>
              <w:rPr>
                <w:rFonts w:ascii="t" w:hAnsi="t"/>
                <w:b/>
                <w:color w:val="000000" w:themeColor="text1"/>
                <w:szCs w:val="21"/>
              </w:rPr>
            </w:pPr>
            <w:r>
              <w:rPr>
                <w:rFonts w:ascii="t" w:hAnsi="t"/>
                <w:b/>
                <w:color w:val="000000" w:themeColor="text1"/>
                <w:szCs w:val="21"/>
              </w:rPr>
              <w:t>(编号)</w:t>
            </w:r>
          </w:p>
        </w:tc>
        <w:tc>
          <w:tcPr>
            <w:tcW w:w="1417" w:type="dxa"/>
            <w:vAlign w:val="center"/>
          </w:tcPr>
          <w:p>
            <w:pPr>
              <w:jc w:val="center"/>
              <w:rPr>
                <w:rFonts w:ascii="t" w:hAnsi="t"/>
                <w:b/>
                <w:color w:val="000000" w:themeColor="text1"/>
                <w:szCs w:val="21"/>
              </w:rPr>
            </w:pPr>
            <w:r>
              <w:rPr>
                <w:rFonts w:ascii="t" w:hAnsi="t"/>
                <w:b/>
                <w:color w:val="000000" w:themeColor="text1"/>
                <w:szCs w:val="21"/>
              </w:rPr>
              <w:t>污染物</w:t>
            </w:r>
          </w:p>
          <w:p>
            <w:pPr>
              <w:jc w:val="center"/>
              <w:rPr>
                <w:rFonts w:ascii="t" w:hAnsi="t"/>
                <w:b/>
                <w:color w:val="000000" w:themeColor="text1"/>
                <w:szCs w:val="21"/>
              </w:rPr>
            </w:pPr>
            <w:r>
              <w:rPr>
                <w:rFonts w:ascii="t" w:hAnsi="t"/>
                <w:b/>
                <w:color w:val="000000" w:themeColor="text1"/>
                <w:szCs w:val="21"/>
              </w:rPr>
              <w:t>名称</w:t>
            </w:r>
          </w:p>
        </w:tc>
        <w:tc>
          <w:tcPr>
            <w:tcW w:w="3261" w:type="dxa"/>
            <w:vAlign w:val="center"/>
          </w:tcPr>
          <w:p>
            <w:pPr>
              <w:jc w:val="center"/>
              <w:rPr>
                <w:rFonts w:ascii="t" w:hAnsi="t"/>
                <w:b/>
                <w:color w:val="000000" w:themeColor="text1"/>
                <w:szCs w:val="21"/>
              </w:rPr>
            </w:pPr>
            <w:r>
              <w:rPr>
                <w:rFonts w:hint="eastAsia" w:ascii="t" w:hAnsi="t"/>
                <w:b/>
                <w:color w:val="000000" w:themeColor="text1"/>
                <w:szCs w:val="21"/>
              </w:rPr>
              <w:t>防治</w:t>
            </w:r>
            <w:r>
              <w:rPr>
                <w:rFonts w:ascii="t" w:hAnsi="t"/>
                <w:b/>
                <w:color w:val="000000" w:themeColor="text1"/>
                <w:szCs w:val="21"/>
              </w:rPr>
              <w:t>措施</w:t>
            </w:r>
          </w:p>
        </w:tc>
        <w:tc>
          <w:tcPr>
            <w:tcW w:w="2265" w:type="dxa"/>
            <w:vAlign w:val="center"/>
          </w:tcPr>
          <w:p>
            <w:pPr>
              <w:jc w:val="center"/>
              <w:rPr>
                <w:rFonts w:ascii="t" w:hAnsi="t"/>
                <w:b/>
                <w:color w:val="000000" w:themeColor="text1"/>
                <w:szCs w:val="21"/>
              </w:rPr>
            </w:pPr>
            <w:r>
              <w:rPr>
                <w:rFonts w:ascii="t" w:hAnsi="t"/>
                <w:b/>
                <w:color w:val="000000" w:themeColor="text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2" w:type="dxa"/>
            <w:vMerge w:val="restart"/>
            <w:vAlign w:val="center"/>
          </w:tcPr>
          <w:p>
            <w:pPr>
              <w:jc w:val="center"/>
              <w:rPr>
                <w:rFonts w:ascii="t" w:hAnsi="t"/>
                <w:b/>
                <w:color w:val="000000" w:themeColor="text1"/>
                <w:szCs w:val="21"/>
              </w:rPr>
            </w:pPr>
            <w:r>
              <w:rPr>
                <w:rFonts w:ascii="t" w:hAnsi="t"/>
                <w:b/>
                <w:color w:val="000000" w:themeColor="text1"/>
                <w:szCs w:val="21"/>
              </w:rPr>
              <w:t>大气</w:t>
            </w:r>
          </w:p>
          <w:p>
            <w:pPr>
              <w:jc w:val="center"/>
              <w:rPr>
                <w:rFonts w:ascii="t" w:hAnsi="t"/>
                <w:b/>
                <w:color w:val="000000" w:themeColor="text1"/>
                <w:szCs w:val="21"/>
              </w:rPr>
            </w:pPr>
            <w:r>
              <w:rPr>
                <w:rFonts w:ascii="t" w:hAnsi="t"/>
                <w:b/>
                <w:color w:val="000000" w:themeColor="text1"/>
                <w:szCs w:val="21"/>
              </w:rPr>
              <w:t>污染物</w:t>
            </w:r>
          </w:p>
        </w:tc>
        <w:tc>
          <w:tcPr>
            <w:tcW w:w="931" w:type="dxa"/>
            <w:vMerge w:val="restart"/>
            <w:vAlign w:val="center"/>
          </w:tcPr>
          <w:p>
            <w:pPr>
              <w:jc w:val="center"/>
              <w:rPr>
                <w:rFonts w:cs="Times New Roman"/>
              </w:rPr>
            </w:pPr>
            <w:r>
              <w:rPr>
                <w:rFonts w:ascii="Times New Roman" w:hAnsi="Times New Roman" w:eastAsia="宋体" w:cs="Times New Roman"/>
              </w:rPr>
              <w:t>施工期</w:t>
            </w:r>
          </w:p>
        </w:tc>
        <w:tc>
          <w:tcPr>
            <w:tcW w:w="1417" w:type="dxa"/>
            <w:vAlign w:val="center"/>
          </w:tcPr>
          <w:p>
            <w:pPr>
              <w:jc w:val="center"/>
              <w:rPr>
                <w:rFonts w:cs="Times New Roman"/>
              </w:rPr>
            </w:pPr>
            <w:r>
              <w:rPr>
                <w:rFonts w:ascii="Times New Roman" w:hAnsi="Times New Roman" w:eastAsia="宋体" w:cs="Times New Roman"/>
              </w:rPr>
              <w:t>扬尘</w:t>
            </w:r>
          </w:p>
        </w:tc>
        <w:tc>
          <w:tcPr>
            <w:tcW w:w="3261" w:type="dxa"/>
            <w:vAlign w:val="center"/>
          </w:tcPr>
          <w:p>
            <w:pPr>
              <w:jc w:val="center"/>
              <w:rPr>
                <w:rFonts w:cs="Times New Roman"/>
              </w:rPr>
            </w:pPr>
            <w:r>
              <w:rPr>
                <w:rFonts w:ascii="Times New Roman" w:hAnsi="Times New Roman" w:eastAsia="宋体" w:cs="Times New Roman"/>
              </w:rPr>
              <w:t>施工现场定时洒水降尘，运输车辆加盖篷布</w:t>
            </w:r>
          </w:p>
        </w:tc>
        <w:tc>
          <w:tcPr>
            <w:tcW w:w="2265" w:type="dxa"/>
            <w:vAlign w:val="center"/>
          </w:tcPr>
          <w:p>
            <w:pPr>
              <w:jc w:val="center"/>
              <w:rPr>
                <w:rFonts w:cs="Times New Roman"/>
              </w:rPr>
            </w:pPr>
            <w:r>
              <w:rPr>
                <w:rFonts w:ascii="Times New Roman" w:hAnsi="Times New Roman" w:eastAsia="宋体" w:cs="Times New Roman"/>
              </w:rPr>
              <w:t>降低对环境影响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2" w:type="dxa"/>
            <w:vMerge w:val="continue"/>
            <w:vAlign w:val="center"/>
          </w:tcPr>
          <w:p>
            <w:pPr>
              <w:jc w:val="center"/>
              <w:rPr>
                <w:rFonts w:ascii="t" w:hAnsi="t"/>
                <w:b/>
                <w:color w:val="000000" w:themeColor="text1"/>
                <w:szCs w:val="21"/>
              </w:rPr>
            </w:pPr>
          </w:p>
        </w:tc>
        <w:tc>
          <w:tcPr>
            <w:tcW w:w="931" w:type="dxa"/>
            <w:vMerge w:val="continue"/>
            <w:vAlign w:val="center"/>
          </w:tcPr>
          <w:p>
            <w:pPr>
              <w:jc w:val="center"/>
              <w:rPr>
                <w:rFonts w:ascii="Times New Roman" w:hAnsi="Times New Roman" w:eastAsia="宋体" w:cs="Times New Roman"/>
              </w:rPr>
            </w:pPr>
          </w:p>
        </w:tc>
        <w:tc>
          <w:tcPr>
            <w:tcW w:w="1417" w:type="dxa"/>
            <w:vAlign w:val="center"/>
          </w:tcPr>
          <w:p>
            <w:pPr>
              <w:jc w:val="center"/>
              <w:rPr>
                <w:rFonts w:ascii="Times New Roman" w:hAnsi="Times New Roman" w:eastAsia="宋体" w:cs="Times New Roman"/>
              </w:rPr>
            </w:pPr>
            <w:r>
              <w:rPr>
                <w:rFonts w:hint="eastAsia" w:ascii="Times New Roman" w:hAnsi="Times New Roman" w:eastAsia="宋体" w:cs="Times New Roman"/>
              </w:rPr>
              <w:t>施工机械燃油废气</w:t>
            </w:r>
          </w:p>
        </w:tc>
        <w:tc>
          <w:tcPr>
            <w:tcW w:w="3261" w:type="dxa"/>
            <w:vAlign w:val="center"/>
          </w:tcPr>
          <w:p>
            <w:pPr>
              <w:jc w:val="center"/>
              <w:rPr>
                <w:rFonts w:ascii="Times New Roman" w:hAnsi="Times New Roman" w:eastAsia="宋体" w:cs="Times New Roman"/>
              </w:rPr>
            </w:pPr>
            <w:r>
              <w:rPr>
                <w:rFonts w:hint="eastAsia" w:ascii="Times New Roman" w:hAnsi="Times New Roman" w:eastAsia="宋体" w:cs="Times New Roman"/>
              </w:rPr>
              <w:t>定期对机械设备进行保养</w:t>
            </w:r>
          </w:p>
        </w:tc>
        <w:tc>
          <w:tcPr>
            <w:tcW w:w="2265" w:type="dxa"/>
            <w:vAlign w:val="center"/>
          </w:tcPr>
          <w:p>
            <w:pPr>
              <w:jc w:val="center"/>
              <w:rPr>
                <w:rFonts w:ascii="Times New Roman" w:hAnsi="Times New Roman" w:eastAsia="宋体" w:cs="Times New Roman"/>
              </w:rPr>
            </w:pPr>
            <w:r>
              <w:rPr>
                <w:rFonts w:hint="eastAsia" w:ascii="Times New Roman" w:hAnsi="Times New Roman" w:eastAsia="宋体" w:cs="Times New Roman"/>
              </w:rPr>
              <w:t>产生量少，无组织排放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2" w:type="dxa"/>
            <w:vMerge w:val="restart"/>
          </w:tcPr>
          <w:p>
            <w:pPr>
              <w:pStyle w:val="311"/>
              <w:spacing w:before="45"/>
              <w:jc w:val="center"/>
              <w:rPr>
                <w:rFonts w:ascii="t" w:hAnsi="t"/>
                <w:b/>
                <w:color w:val="000000" w:themeColor="text1"/>
                <w:szCs w:val="21"/>
              </w:rPr>
            </w:pPr>
            <w:r>
              <w:rPr>
                <w:rFonts w:ascii="宋体" w:hAnsi="宋体" w:eastAsia="宋体" w:cs="宋体"/>
                <w:b/>
                <w:sz w:val="21"/>
                <w:szCs w:val="21"/>
              </w:rPr>
              <w:t>水污染物</w:t>
            </w:r>
          </w:p>
        </w:tc>
        <w:tc>
          <w:tcPr>
            <w:tcW w:w="931" w:type="dxa"/>
            <w:vMerge w:val="restart"/>
            <w:vAlign w:val="center"/>
          </w:tcPr>
          <w:p>
            <w:pPr>
              <w:jc w:val="center"/>
              <w:rPr>
                <w:rFonts w:cs="Times New Roman"/>
              </w:rPr>
            </w:pPr>
            <w:r>
              <w:rPr>
                <w:rFonts w:ascii="Times New Roman" w:hAnsi="Times New Roman" w:eastAsia="宋体" w:cs="Times New Roman"/>
              </w:rPr>
              <w:t>施工期</w:t>
            </w:r>
          </w:p>
        </w:tc>
        <w:tc>
          <w:tcPr>
            <w:tcW w:w="1417" w:type="dxa"/>
            <w:vAlign w:val="center"/>
          </w:tcPr>
          <w:p>
            <w:pPr>
              <w:jc w:val="center"/>
              <w:rPr>
                <w:rFonts w:cs="Times New Roman"/>
              </w:rPr>
            </w:pPr>
            <w:r>
              <w:rPr>
                <w:rFonts w:ascii="Times New Roman" w:hAnsi="Times New Roman" w:eastAsia="宋体" w:cs="Times New Roman"/>
              </w:rPr>
              <w:t>生活污水</w:t>
            </w:r>
          </w:p>
        </w:tc>
        <w:tc>
          <w:tcPr>
            <w:tcW w:w="3261" w:type="dxa"/>
            <w:vAlign w:val="center"/>
          </w:tcPr>
          <w:p>
            <w:pPr>
              <w:jc w:val="center"/>
              <w:rPr>
                <w:rFonts w:hint="default" w:eastAsia="宋体" w:cs="Times New Roman"/>
                <w:lang w:val="en-US" w:eastAsia="zh-CN"/>
              </w:rPr>
            </w:pPr>
            <w:r>
              <w:rPr>
                <w:rFonts w:ascii="Times New Roman" w:hAnsi="Times New Roman" w:eastAsia="宋体" w:cs="Times New Roman"/>
              </w:rPr>
              <w:t>利用就近住户已建</w:t>
            </w:r>
            <w:r>
              <w:rPr>
                <w:rFonts w:hint="eastAsia" w:ascii="Times New Roman" w:hAnsi="Times New Roman" w:eastAsia="宋体" w:cs="Times New Roman"/>
                <w:lang w:val="en-US" w:eastAsia="zh-CN"/>
              </w:rPr>
              <w:t>污水预处理池</w:t>
            </w:r>
          </w:p>
        </w:tc>
        <w:tc>
          <w:tcPr>
            <w:tcW w:w="2265" w:type="dxa"/>
            <w:vAlign w:val="center"/>
          </w:tcPr>
          <w:p>
            <w:pPr>
              <w:jc w:val="center"/>
              <w:rPr>
                <w:rFonts w:cs="Times New Roman"/>
              </w:rPr>
            </w:pPr>
            <w:r>
              <w:rPr>
                <w:rFonts w:ascii="Times New Roman" w:hAnsi="Times New Roman" w:eastAsia="宋体" w:cs="Times New Roman"/>
              </w:rPr>
              <w:t>对当地地表水产生影响较小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2" w:type="dxa"/>
            <w:vMerge w:val="continue"/>
          </w:tcPr>
          <w:p>
            <w:pPr>
              <w:pStyle w:val="311"/>
              <w:spacing w:before="45"/>
              <w:jc w:val="center"/>
              <w:rPr>
                <w:rFonts w:ascii="宋体" w:hAnsi="宋体" w:eastAsia="宋体" w:cs="宋体"/>
                <w:b/>
                <w:sz w:val="21"/>
                <w:szCs w:val="21"/>
              </w:rPr>
            </w:pPr>
          </w:p>
        </w:tc>
        <w:tc>
          <w:tcPr>
            <w:tcW w:w="931" w:type="dxa"/>
            <w:vMerge w:val="continue"/>
            <w:vAlign w:val="center"/>
          </w:tcPr>
          <w:p>
            <w:pPr>
              <w:jc w:val="center"/>
              <w:rPr>
                <w:rFonts w:ascii="Times New Roman" w:hAnsi="Times New Roman" w:eastAsia="宋体" w:cs="Times New Roman"/>
              </w:rPr>
            </w:pPr>
          </w:p>
        </w:tc>
        <w:tc>
          <w:tcPr>
            <w:tcW w:w="1417" w:type="dxa"/>
            <w:vAlign w:val="center"/>
          </w:tcPr>
          <w:p>
            <w:pPr>
              <w:jc w:val="center"/>
              <w:rPr>
                <w:rFonts w:ascii="Times New Roman" w:hAnsi="Times New Roman" w:eastAsia="宋体" w:cs="Times New Roman"/>
              </w:rPr>
            </w:pPr>
            <w:r>
              <w:rPr>
                <w:rFonts w:hint="eastAsia"/>
                <w:lang w:eastAsia="zh-CN"/>
              </w:rPr>
              <w:t>设备冲洗废水</w:t>
            </w:r>
          </w:p>
        </w:tc>
        <w:tc>
          <w:tcPr>
            <w:tcW w:w="3261" w:type="dxa"/>
            <w:vAlign w:val="center"/>
          </w:tcPr>
          <w:p>
            <w:pPr>
              <w:jc w:val="center"/>
              <w:rPr>
                <w:rFonts w:ascii="Times New Roman" w:hAnsi="Times New Roman" w:eastAsia="宋体" w:cs="Times New Roman"/>
              </w:rPr>
            </w:pPr>
            <w:r>
              <w:rPr>
                <w:rFonts w:hint="eastAsia" w:ascii="Times New Roman" w:hAnsi="Times New Roman" w:eastAsia="宋体" w:cs="Times New Roman"/>
              </w:rPr>
              <w:t>收集回用，用于混凝土保养</w:t>
            </w:r>
          </w:p>
        </w:tc>
        <w:tc>
          <w:tcPr>
            <w:tcW w:w="2265"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不外排，对环境无影响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2" w:type="dxa"/>
            <w:vMerge w:val="continue"/>
          </w:tcPr>
          <w:p>
            <w:pPr>
              <w:pStyle w:val="311"/>
              <w:spacing w:before="45"/>
              <w:jc w:val="center"/>
              <w:rPr>
                <w:rFonts w:ascii="宋体" w:hAnsi="宋体" w:eastAsia="宋体" w:cs="宋体"/>
                <w:b/>
                <w:sz w:val="21"/>
                <w:szCs w:val="21"/>
                <w:lang w:eastAsia="zh-CN"/>
              </w:rPr>
            </w:pPr>
          </w:p>
        </w:tc>
        <w:tc>
          <w:tcPr>
            <w:tcW w:w="931" w:type="dxa"/>
            <w:vMerge w:val="continue"/>
            <w:vAlign w:val="center"/>
          </w:tcPr>
          <w:p>
            <w:pPr>
              <w:jc w:val="center"/>
              <w:rPr>
                <w:rFonts w:ascii="Times New Roman" w:hAnsi="Times New Roman" w:eastAsia="宋体" w:cs="Times New Roman"/>
              </w:rPr>
            </w:pPr>
          </w:p>
        </w:tc>
        <w:tc>
          <w:tcPr>
            <w:tcW w:w="1417" w:type="dxa"/>
            <w:vAlign w:val="center"/>
          </w:tcPr>
          <w:p>
            <w:pPr>
              <w:jc w:val="center"/>
              <w:rPr>
                <w:rFonts w:ascii="Times New Roman" w:hAnsi="Times New Roman" w:eastAsia="宋体" w:cs="Times New Roman"/>
              </w:rPr>
            </w:pPr>
            <w:r>
              <w:rPr>
                <w:rFonts w:hint="eastAsia" w:ascii="Times New Roman" w:hAnsi="Times New Roman" w:eastAsia="宋体" w:cs="Times New Roman"/>
              </w:rPr>
              <w:t>管道冲洗、试压废水</w:t>
            </w:r>
          </w:p>
        </w:tc>
        <w:tc>
          <w:tcPr>
            <w:tcW w:w="3261" w:type="dxa"/>
            <w:vAlign w:val="center"/>
          </w:tcPr>
          <w:p>
            <w:pPr>
              <w:jc w:val="center"/>
              <w:rPr>
                <w:rFonts w:ascii="Times New Roman" w:hAnsi="Times New Roman" w:eastAsia="宋体" w:cs="Times New Roman"/>
              </w:rPr>
            </w:pPr>
            <w:r>
              <w:rPr>
                <w:rFonts w:hint="eastAsia" w:ascii="Times New Roman" w:hAnsi="Times New Roman" w:eastAsia="宋体" w:cs="Times New Roman"/>
              </w:rPr>
              <w:t>收集回用，用于混凝土保养</w:t>
            </w:r>
          </w:p>
        </w:tc>
        <w:tc>
          <w:tcPr>
            <w:tcW w:w="2265" w:type="dxa"/>
            <w:vMerge w:val="continue"/>
            <w:tcBorders/>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 w:hRule="atLeast"/>
          <w:jc w:val="center"/>
        </w:trPr>
        <w:tc>
          <w:tcPr>
            <w:tcW w:w="912" w:type="dxa"/>
            <w:vMerge w:val="restart"/>
            <w:vAlign w:val="center"/>
          </w:tcPr>
          <w:p>
            <w:pPr>
              <w:jc w:val="center"/>
              <w:rPr>
                <w:rFonts w:ascii="t" w:hAnsi="t"/>
                <w:b/>
                <w:color w:val="000000" w:themeColor="text1"/>
                <w:szCs w:val="21"/>
              </w:rPr>
            </w:pPr>
            <w:r>
              <w:rPr>
                <w:rFonts w:ascii="t" w:hAnsi="t"/>
                <w:b/>
                <w:color w:val="000000" w:themeColor="text1"/>
                <w:szCs w:val="21"/>
              </w:rPr>
              <w:t>固体</w:t>
            </w:r>
          </w:p>
          <w:p>
            <w:pPr>
              <w:jc w:val="center"/>
              <w:rPr>
                <w:rFonts w:ascii="t" w:hAnsi="t"/>
                <w:b/>
                <w:color w:val="000000" w:themeColor="text1"/>
                <w:szCs w:val="21"/>
              </w:rPr>
            </w:pPr>
            <w:r>
              <w:rPr>
                <w:rFonts w:ascii="t" w:hAnsi="t"/>
                <w:b/>
                <w:color w:val="000000" w:themeColor="text1"/>
                <w:szCs w:val="21"/>
              </w:rPr>
              <w:t>废物</w:t>
            </w:r>
          </w:p>
        </w:tc>
        <w:tc>
          <w:tcPr>
            <w:tcW w:w="931" w:type="dxa"/>
            <w:vMerge w:val="restart"/>
            <w:vAlign w:val="center"/>
          </w:tcPr>
          <w:p>
            <w:pPr>
              <w:jc w:val="center"/>
              <w:rPr>
                <w:rFonts w:cs="Times New Roman"/>
              </w:rPr>
            </w:pPr>
            <w:r>
              <w:rPr>
                <w:rFonts w:ascii="Times New Roman" w:hAnsi="Times New Roman" w:eastAsia="宋体" w:cs="Times New Roman"/>
              </w:rPr>
              <w:t>施工期</w:t>
            </w:r>
          </w:p>
        </w:tc>
        <w:tc>
          <w:tcPr>
            <w:tcW w:w="1417" w:type="dxa"/>
            <w:vAlign w:val="center"/>
          </w:tcPr>
          <w:p>
            <w:pPr>
              <w:jc w:val="center"/>
              <w:rPr>
                <w:rFonts w:eastAsia="宋体" w:cs="Times New Roman"/>
              </w:rPr>
            </w:pPr>
            <w:r>
              <w:rPr>
                <w:rFonts w:hint="eastAsia" w:ascii="Times New Roman" w:hAnsi="Times New Roman" w:eastAsia="宋体" w:cs="Times New Roman"/>
              </w:rPr>
              <w:t>开挖</w:t>
            </w:r>
            <w:r>
              <w:rPr>
                <w:rFonts w:ascii="Times New Roman" w:hAnsi="Times New Roman" w:eastAsia="宋体" w:cs="Times New Roman"/>
              </w:rPr>
              <w:t>弃</w:t>
            </w:r>
            <w:r>
              <w:rPr>
                <w:rFonts w:hint="eastAsia" w:ascii="Times New Roman" w:hAnsi="Times New Roman" w:eastAsia="宋体" w:cs="Times New Roman"/>
              </w:rPr>
              <w:t>渣</w:t>
            </w:r>
          </w:p>
        </w:tc>
        <w:tc>
          <w:tcPr>
            <w:tcW w:w="3261" w:type="dxa"/>
            <w:vAlign w:val="center"/>
          </w:tcPr>
          <w:p>
            <w:pPr>
              <w:jc w:val="center"/>
              <w:rPr>
                <w:rFonts w:cs="Times New Roman"/>
              </w:rPr>
            </w:pPr>
            <w:r>
              <w:rPr>
                <w:rFonts w:ascii="Times New Roman" w:hAnsi="Times New Roman" w:eastAsia="宋体" w:cs="Times New Roman"/>
              </w:rPr>
              <w:t>用于填补周边耕地、农田及荒地</w:t>
            </w:r>
          </w:p>
        </w:tc>
        <w:tc>
          <w:tcPr>
            <w:tcW w:w="2265" w:type="dxa"/>
            <w:vMerge w:val="restart"/>
            <w:vAlign w:val="center"/>
          </w:tcPr>
          <w:p>
            <w:pPr>
              <w:snapToGrid w:val="0"/>
              <w:jc w:val="center"/>
              <w:rPr>
                <w:szCs w:val="21"/>
              </w:rPr>
            </w:pPr>
            <w:r>
              <w:rPr>
                <w:rFonts w:ascii="Times New Roman" w:hAnsi="Times New Roman" w:eastAsia="宋体" w:cs="Times New Roman"/>
              </w:rPr>
              <w:t>有效处置后，不会形成二次污染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912" w:type="dxa"/>
            <w:vMerge w:val="continue"/>
            <w:vAlign w:val="center"/>
          </w:tcPr>
          <w:p>
            <w:pPr>
              <w:jc w:val="center"/>
              <w:rPr>
                <w:rFonts w:ascii="t" w:hAnsi="t"/>
                <w:b/>
                <w:color w:val="000000" w:themeColor="text1"/>
                <w:szCs w:val="21"/>
              </w:rPr>
            </w:pPr>
          </w:p>
        </w:tc>
        <w:tc>
          <w:tcPr>
            <w:tcW w:w="931" w:type="dxa"/>
            <w:vMerge w:val="continue"/>
            <w:vAlign w:val="center"/>
          </w:tcPr>
          <w:p>
            <w:pPr>
              <w:jc w:val="center"/>
              <w:rPr>
                <w:rFonts w:ascii="t" w:hAnsi="t"/>
                <w:color w:val="000000" w:themeColor="text1"/>
                <w:szCs w:val="21"/>
              </w:rPr>
            </w:pPr>
          </w:p>
        </w:tc>
        <w:tc>
          <w:tcPr>
            <w:tcW w:w="1417" w:type="dxa"/>
            <w:vAlign w:val="center"/>
          </w:tcPr>
          <w:p>
            <w:pPr>
              <w:jc w:val="center"/>
              <w:rPr>
                <w:rFonts w:ascii="t" w:hAnsi="t"/>
                <w:color w:val="000000" w:themeColor="text1"/>
                <w:szCs w:val="21"/>
              </w:rPr>
            </w:pPr>
            <w:r>
              <w:rPr>
                <w:rFonts w:ascii="Times New Roman" w:hAnsi="Times New Roman" w:eastAsia="宋体" w:cs="Times New Roman"/>
              </w:rPr>
              <w:t>生活垃圾</w:t>
            </w:r>
          </w:p>
        </w:tc>
        <w:tc>
          <w:tcPr>
            <w:tcW w:w="3261" w:type="dxa"/>
            <w:vAlign w:val="center"/>
          </w:tcPr>
          <w:p>
            <w:pPr>
              <w:pStyle w:val="311"/>
              <w:spacing w:before="45"/>
              <w:jc w:val="center"/>
              <w:rPr>
                <w:rFonts w:ascii="t" w:hAnsi="t"/>
                <w:color w:val="000000" w:themeColor="text1"/>
                <w:szCs w:val="21"/>
                <w:lang w:eastAsia="zh-CN"/>
              </w:rPr>
            </w:pPr>
            <w:r>
              <w:rPr>
                <w:rFonts w:ascii="Times New Roman" w:hAnsi="Times New Roman" w:eastAsia="宋体" w:cs="Times New Roman"/>
                <w:kern w:val="2"/>
                <w:szCs w:val="24"/>
                <w:lang w:eastAsia="zh-CN"/>
              </w:rPr>
              <w:t>利用当地住户已有设施收集</w:t>
            </w:r>
          </w:p>
        </w:tc>
        <w:tc>
          <w:tcPr>
            <w:tcW w:w="2265" w:type="dxa"/>
            <w:vMerge w:val="continue"/>
            <w:vAlign w:val="center"/>
          </w:tcPr>
          <w:p>
            <w:pPr>
              <w:jc w:val="center"/>
              <w:rPr>
                <w:rFonts w:ascii="t" w:hAnsi="t"/>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912" w:type="dxa"/>
            <w:vMerge w:val="continue"/>
            <w:vAlign w:val="center"/>
          </w:tcPr>
          <w:p>
            <w:pPr>
              <w:jc w:val="center"/>
              <w:rPr>
                <w:rFonts w:ascii="t" w:hAnsi="t"/>
                <w:b/>
                <w:color w:val="000000" w:themeColor="text1"/>
                <w:szCs w:val="21"/>
              </w:rPr>
            </w:pPr>
          </w:p>
        </w:tc>
        <w:tc>
          <w:tcPr>
            <w:tcW w:w="931" w:type="dxa"/>
            <w:vAlign w:val="center"/>
          </w:tcPr>
          <w:p>
            <w:pPr>
              <w:jc w:val="center"/>
              <w:rPr>
                <w:rFonts w:cs="Times New Roman"/>
              </w:rPr>
            </w:pPr>
            <w:r>
              <w:rPr>
                <w:rFonts w:ascii="Times New Roman" w:hAnsi="Times New Roman" w:eastAsia="宋体" w:cs="Times New Roman"/>
              </w:rPr>
              <w:t>营运期</w:t>
            </w:r>
          </w:p>
        </w:tc>
        <w:tc>
          <w:tcPr>
            <w:tcW w:w="1417" w:type="dxa"/>
            <w:vAlign w:val="center"/>
          </w:tcPr>
          <w:p>
            <w:pPr>
              <w:jc w:val="center"/>
              <w:rPr>
                <w:rFonts w:eastAsia="宋体" w:cs="Times New Roman"/>
              </w:rPr>
            </w:pPr>
            <w:r>
              <w:rPr>
                <w:rFonts w:hint="eastAsia" w:ascii="Times New Roman" w:hAnsi="Times New Roman" w:eastAsia="宋体" w:cs="Times New Roman"/>
              </w:rPr>
              <w:t>沉淀池浮渣及</w:t>
            </w:r>
            <w:r>
              <w:rPr>
                <w:rFonts w:ascii="Times New Roman" w:hAnsi="Times New Roman" w:eastAsia="宋体" w:cs="Times New Roman"/>
              </w:rPr>
              <w:t>底泥</w:t>
            </w:r>
          </w:p>
        </w:tc>
        <w:tc>
          <w:tcPr>
            <w:tcW w:w="3261" w:type="dxa"/>
            <w:vAlign w:val="center"/>
          </w:tcPr>
          <w:p>
            <w:pPr>
              <w:jc w:val="center"/>
              <w:rPr>
                <w:rFonts w:cs="Times New Roman"/>
              </w:rPr>
            </w:pPr>
            <w:r>
              <w:rPr>
                <w:rFonts w:ascii="Times New Roman" w:hAnsi="Times New Roman" w:eastAsia="宋体" w:cs="Times New Roman"/>
              </w:rPr>
              <w:t>定期清掏，填补至低洼地</w:t>
            </w:r>
          </w:p>
        </w:tc>
        <w:tc>
          <w:tcPr>
            <w:tcW w:w="2265" w:type="dxa"/>
            <w:vMerge w:val="continue"/>
            <w:vAlign w:val="center"/>
          </w:tcPr>
          <w:p>
            <w:pPr>
              <w:jc w:val="center"/>
              <w:rPr>
                <w:rFonts w:ascii="t" w:hAnsi="t"/>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912" w:type="dxa"/>
            <w:vAlign w:val="center"/>
          </w:tcPr>
          <w:p>
            <w:pPr>
              <w:jc w:val="center"/>
              <w:rPr>
                <w:rFonts w:ascii="t" w:hAnsi="t"/>
                <w:b/>
                <w:color w:val="000000" w:themeColor="text1"/>
                <w:szCs w:val="21"/>
              </w:rPr>
            </w:pPr>
            <w:r>
              <w:rPr>
                <w:rFonts w:ascii="t" w:hAnsi="t"/>
                <w:b/>
                <w:color w:val="000000" w:themeColor="text1"/>
                <w:szCs w:val="21"/>
              </w:rPr>
              <w:t>噪声</w:t>
            </w:r>
          </w:p>
        </w:tc>
        <w:tc>
          <w:tcPr>
            <w:tcW w:w="931" w:type="dxa"/>
            <w:vAlign w:val="center"/>
          </w:tcPr>
          <w:p>
            <w:pPr>
              <w:jc w:val="center"/>
              <w:rPr>
                <w:rFonts w:cs="Times New Roman"/>
              </w:rPr>
            </w:pPr>
            <w:r>
              <w:rPr>
                <w:rFonts w:ascii="Times New Roman" w:hAnsi="Times New Roman" w:eastAsia="宋体" w:cs="Times New Roman"/>
              </w:rPr>
              <w:t>施工期</w:t>
            </w:r>
          </w:p>
        </w:tc>
        <w:tc>
          <w:tcPr>
            <w:tcW w:w="1417" w:type="dxa"/>
            <w:vAlign w:val="center"/>
          </w:tcPr>
          <w:p>
            <w:pPr>
              <w:jc w:val="center"/>
              <w:rPr>
                <w:rFonts w:cs="Times New Roman"/>
              </w:rPr>
            </w:pPr>
            <w:r>
              <w:rPr>
                <w:rFonts w:hint="eastAsia" w:ascii="Times New Roman" w:hAnsi="Times New Roman" w:eastAsia="宋体" w:cs="Times New Roman"/>
              </w:rPr>
              <w:t>施工</w:t>
            </w:r>
            <w:r>
              <w:rPr>
                <w:rFonts w:ascii="Times New Roman" w:hAnsi="Times New Roman" w:eastAsia="宋体" w:cs="Times New Roman"/>
              </w:rPr>
              <w:t>机械</w:t>
            </w:r>
            <w:r>
              <w:rPr>
                <w:rFonts w:hint="eastAsia" w:ascii="Times New Roman" w:hAnsi="Times New Roman" w:eastAsia="宋体" w:cs="Times New Roman"/>
              </w:rPr>
              <w:t>及运输车辆</w:t>
            </w:r>
            <w:r>
              <w:rPr>
                <w:rFonts w:ascii="Times New Roman" w:hAnsi="Times New Roman" w:eastAsia="宋体" w:cs="Times New Roman"/>
              </w:rPr>
              <w:t>噪声</w:t>
            </w:r>
          </w:p>
        </w:tc>
        <w:tc>
          <w:tcPr>
            <w:tcW w:w="3261" w:type="dxa"/>
            <w:vAlign w:val="center"/>
          </w:tcPr>
          <w:p>
            <w:pPr>
              <w:jc w:val="center"/>
              <w:rPr>
                <w:rFonts w:cs="Times New Roman"/>
              </w:rPr>
            </w:pPr>
            <w:r>
              <w:rPr>
                <w:rFonts w:ascii="Times New Roman" w:hAnsi="Times New Roman" w:eastAsia="宋体" w:cs="Times New Roman"/>
              </w:rPr>
              <w:t>施工机械噪声具有时效性，施工期完成后机械噪声不存在，不会对周围环境造成影响，合理安排施工作业时间，夜间禁止施工</w:t>
            </w:r>
          </w:p>
        </w:tc>
        <w:tc>
          <w:tcPr>
            <w:tcW w:w="2265" w:type="dxa"/>
            <w:vAlign w:val="center"/>
          </w:tcPr>
          <w:p>
            <w:pPr>
              <w:jc w:val="center"/>
              <w:rPr>
                <w:rFonts w:cs="Times New Roman"/>
              </w:rPr>
            </w:pPr>
            <w:r>
              <w:rPr>
                <w:rFonts w:hint="eastAsia" w:ascii="Times New Roman" w:hAnsi="Times New Roman" w:eastAsia="宋体" w:cs="Times New Roman"/>
              </w:rPr>
              <w:t>不会造成</w:t>
            </w:r>
            <w:r>
              <w:rPr>
                <w:rFonts w:ascii="Times New Roman" w:hAnsi="Times New Roman" w:eastAsia="宋体" w:cs="Times New Roman"/>
              </w:rPr>
              <w:t>噪声污染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6" w:hRule="atLeast"/>
          <w:jc w:val="center"/>
        </w:trPr>
        <w:tc>
          <w:tcPr>
            <w:tcW w:w="8786" w:type="dxa"/>
            <w:gridSpan w:val="5"/>
            <w:vAlign w:val="center"/>
          </w:tcPr>
          <w:p>
            <w:pPr>
              <w:snapToGrid w:val="0"/>
              <w:spacing w:before="156" w:beforeLines="50" w:line="360" w:lineRule="auto"/>
              <w:rPr>
                <w:rFonts w:ascii="t" w:hAnsi="t"/>
                <w:color w:val="000000" w:themeColor="text1"/>
                <w:sz w:val="24"/>
              </w:rPr>
            </w:pPr>
            <w:r>
              <w:rPr>
                <w:rFonts w:ascii="t" w:hAnsi="t"/>
                <w:b/>
                <w:color w:val="000000" w:themeColor="text1"/>
                <w:sz w:val="24"/>
              </w:rPr>
              <w:t>生态保护措施及预期效果</w:t>
            </w:r>
            <w:r>
              <w:rPr>
                <w:rFonts w:ascii="t" w:hAnsi="t"/>
                <w:color w:val="000000" w:themeColor="text1"/>
                <w:sz w:val="24"/>
              </w:rPr>
              <w:t>：</w:t>
            </w:r>
          </w:p>
          <w:p>
            <w:pPr>
              <w:spacing w:line="460" w:lineRule="exact"/>
              <w:ind w:firstLine="480" w:firstLineChars="200"/>
              <w:rPr>
                <w:rFonts w:ascii="t" w:hAnsi="t"/>
                <w:color w:val="000000" w:themeColor="text1"/>
                <w:sz w:val="24"/>
              </w:rPr>
            </w:pPr>
            <w:r>
              <w:rPr>
                <w:rFonts w:hint="eastAsia" w:ascii="t" w:hAnsi="t"/>
                <w:color w:val="000000" w:themeColor="text1"/>
                <w:sz w:val="24"/>
              </w:rPr>
              <w:t>管线铺设后及时对道路两旁实施种植绿化，可减少一定量的水土流失。</w:t>
            </w:r>
          </w:p>
          <w:p>
            <w:pPr>
              <w:spacing w:line="460" w:lineRule="exact"/>
              <w:ind w:firstLine="480" w:firstLineChars="200"/>
              <w:rPr>
                <w:rFonts w:ascii="t" w:hAnsi="t"/>
                <w:color w:val="000000" w:themeColor="text1"/>
                <w:sz w:val="24"/>
              </w:rPr>
            </w:pPr>
            <w:r>
              <w:rPr>
                <w:rFonts w:hint="eastAsia" w:ascii="t" w:hAnsi="t"/>
                <w:color w:val="000000" w:themeColor="text1"/>
                <w:sz w:val="24"/>
              </w:rPr>
              <w:t>施工中须有步骤分段进行，妥善保护好沿线的生态景观环境，施工应注意如下几点：</w:t>
            </w:r>
          </w:p>
          <w:p>
            <w:pPr>
              <w:spacing w:line="460" w:lineRule="exact"/>
              <w:ind w:firstLine="480" w:firstLineChars="200"/>
              <w:rPr>
                <w:rFonts w:ascii="t" w:hAnsi="t"/>
                <w:color w:val="000000" w:themeColor="text1"/>
                <w:sz w:val="24"/>
              </w:rPr>
            </w:pPr>
            <w:r>
              <w:rPr>
                <w:rFonts w:hint="eastAsia" w:ascii="t" w:hAnsi="t"/>
                <w:color w:val="000000" w:themeColor="text1"/>
                <w:sz w:val="24"/>
              </w:rPr>
              <w:t>（1）做好挖填方的合理调配工作，弃土应及时回填，剩余未回填的应采取防护措施，避免在降雨期间挖填方，以防雨水冲刷造成水土流失、污染水体、堵塞排水渠道。</w:t>
            </w:r>
          </w:p>
          <w:p>
            <w:pPr>
              <w:spacing w:line="460" w:lineRule="exact"/>
              <w:ind w:firstLine="480" w:firstLineChars="200"/>
              <w:rPr>
                <w:rFonts w:ascii="t" w:hAnsi="t"/>
                <w:color w:val="000000" w:themeColor="text1"/>
                <w:sz w:val="24"/>
              </w:rPr>
            </w:pPr>
            <w:r>
              <w:rPr>
                <w:rFonts w:hint="eastAsia" w:ascii="t" w:hAnsi="t"/>
                <w:color w:val="000000" w:themeColor="text1"/>
                <w:sz w:val="24"/>
              </w:rPr>
              <w:t>（2）在满足工程施工要求的前提下，尽量节省占用土地，合理安排施工进度，工程结束后及时清理施工现场，撤出占用场地，恢复原有地貌。</w:t>
            </w:r>
          </w:p>
          <w:p>
            <w:pPr>
              <w:spacing w:line="460" w:lineRule="exact"/>
              <w:ind w:firstLine="480" w:firstLineChars="200"/>
              <w:rPr>
                <w:rFonts w:ascii="t" w:hAnsi="t"/>
                <w:color w:val="000000" w:themeColor="text1"/>
                <w:sz w:val="24"/>
              </w:rPr>
            </w:pPr>
            <w:r>
              <w:rPr>
                <w:rFonts w:hint="eastAsia" w:ascii="t" w:hAnsi="t"/>
                <w:color w:val="000000" w:themeColor="text1"/>
                <w:sz w:val="24"/>
              </w:rPr>
              <w:t>（3）施工过程应加强管理，注意保护相邻地带的树木绿地等植被，对路面及时回填，控制扬尘，减轻局部水土流失。</w:t>
            </w:r>
          </w:p>
          <w:p>
            <w:pPr>
              <w:spacing w:line="460" w:lineRule="exact"/>
              <w:ind w:firstLine="480" w:firstLineChars="200"/>
              <w:rPr>
                <w:rFonts w:ascii="t" w:hAnsi="t"/>
                <w:color w:val="000000" w:themeColor="text1"/>
                <w:sz w:val="24"/>
              </w:rPr>
            </w:pPr>
          </w:p>
          <w:p>
            <w:pPr>
              <w:spacing w:line="460" w:lineRule="exact"/>
              <w:ind w:firstLine="480" w:firstLineChars="200"/>
              <w:rPr>
                <w:rFonts w:ascii="t" w:hAnsi="t"/>
                <w:color w:val="000000" w:themeColor="text1"/>
                <w:sz w:val="24"/>
              </w:rPr>
            </w:pPr>
          </w:p>
          <w:p>
            <w:pPr>
              <w:spacing w:line="460" w:lineRule="exact"/>
              <w:rPr>
                <w:rFonts w:ascii="t" w:hAnsi="t"/>
                <w:color w:val="000000" w:themeColor="text1"/>
                <w:szCs w:val="21"/>
              </w:rPr>
            </w:pPr>
          </w:p>
        </w:tc>
      </w:tr>
    </w:tbl>
    <w:p>
      <w:pPr>
        <w:rPr>
          <w:rFonts w:ascii="Times New Roman" w:hAnsi="Times New Roman" w:cs="Times New Roman"/>
          <w:color w:val="000000" w:themeColor="text1"/>
          <w:sz w:val="30"/>
          <w:szCs w:val="30"/>
        </w:rPr>
      </w:pPr>
    </w:p>
    <w:p>
      <w:pPr>
        <w:rPr>
          <w:rFonts w:ascii="Times New Roman" w:hAnsi="Times New Roman" w:cs="Times New Roman"/>
          <w:color w:val="000000" w:themeColor="text1"/>
          <w:sz w:val="30"/>
          <w:szCs w:val="3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outlineLvl w:val="0"/>
        <w:rPr>
          <w:rFonts w:ascii="Times New Roman" w:hAnsi="Times New Roman" w:cs="Times New Roman"/>
          <w:b/>
          <w:color w:val="000000" w:themeColor="text1"/>
          <w:sz w:val="30"/>
          <w:szCs w:val="30"/>
        </w:rPr>
      </w:pPr>
      <w:r>
        <w:rPr>
          <w:rFonts w:hint="eastAsia" w:ascii="Times New Roman" w:hAnsi="Times New Roman" w:cs="Times New Roman"/>
          <w:b/>
          <w:color w:val="000000" w:themeColor="text1"/>
          <w:sz w:val="30"/>
          <w:szCs w:val="30"/>
        </w:rPr>
        <w:t>结论及建议                                      （</w:t>
      </w:r>
      <w:r>
        <w:rPr>
          <w:rFonts w:hint="eastAsia" w:ascii="Times New Roman" w:hAnsi="Times New Roman" w:cs="Times New Roman"/>
          <w:b/>
          <w:snapToGrid w:val="0"/>
          <w:color w:val="000000" w:themeColor="text1"/>
          <w:kern w:val="0"/>
          <w:sz w:val="30"/>
          <w:szCs w:val="30"/>
        </w:rPr>
        <w:t>表九</w:t>
      </w:r>
      <w:r>
        <w:rPr>
          <w:rFonts w:hint="eastAsia" w:ascii="Times New Roman" w:hAnsi="Times New Roman" w:cs="Times New Roman"/>
          <w:b/>
          <w:color w:val="000000" w:themeColor="text1"/>
          <w:sz w:val="30"/>
          <w:szCs w:val="30"/>
        </w:rPr>
        <w:t>）</w:t>
      </w:r>
    </w:p>
    <w:tbl>
      <w:tblPr>
        <w:tblStyle w:val="5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4" w:hRule="atLeast"/>
          <w:jc w:val="center"/>
        </w:trPr>
        <w:tc>
          <w:tcPr>
            <w:tcW w:w="8522" w:type="dxa"/>
          </w:tcPr>
          <w:p>
            <w:pPr>
              <w:adjustRightInd w:val="0"/>
              <w:snapToGrid w:val="0"/>
              <w:spacing w:line="360" w:lineRule="auto"/>
              <w:rPr>
                <w:rFonts w:ascii="t" w:hAnsi="t"/>
                <w:b/>
                <w:color w:val="000000" w:themeColor="text1"/>
                <w:sz w:val="28"/>
                <w:szCs w:val="28"/>
              </w:rPr>
            </w:pPr>
            <w:r>
              <w:rPr>
                <w:rFonts w:ascii="t" w:hAnsi="t"/>
                <w:b/>
                <w:color w:val="000000" w:themeColor="text1"/>
                <w:sz w:val="28"/>
                <w:szCs w:val="28"/>
              </w:rPr>
              <w:t>一、结论</w:t>
            </w:r>
          </w:p>
          <w:p>
            <w:pPr>
              <w:keepNext/>
              <w:keepLines/>
              <w:spacing w:line="360" w:lineRule="auto"/>
              <w:jc w:val="left"/>
              <w:rPr>
                <w:rFonts w:ascii="Times New Roman" w:hAnsi="Times New Roman" w:cs="Times New Roman"/>
                <w:b/>
                <w:bCs/>
                <w:color w:val="000000" w:themeColor="text1"/>
                <w:sz w:val="24"/>
                <w:szCs w:val="32"/>
              </w:rPr>
            </w:pPr>
            <w:r>
              <w:rPr>
                <w:rFonts w:ascii="Times New Roman" w:hAnsi="Times New Roman" w:cs="Times New Roman"/>
                <w:b/>
                <w:bCs/>
                <w:color w:val="000000" w:themeColor="text1"/>
                <w:sz w:val="24"/>
                <w:szCs w:val="32"/>
              </w:rPr>
              <w:t>1</w:t>
            </w:r>
            <w:r>
              <w:rPr>
                <w:rFonts w:hint="eastAsia" w:ascii="Times New Roman" w:hAnsi="Times New Roman" w:cs="Times New Roman"/>
                <w:b/>
                <w:bCs/>
                <w:color w:val="000000" w:themeColor="text1"/>
                <w:sz w:val="24"/>
                <w:szCs w:val="32"/>
              </w:rPr>
              <w:t>、项目概况</w:t>
            </w:r>
          </w:p>
          <w:p>
            <w:pPr>
              <w:spacing w:line="360" w:lineRule="auto"/>
              <w:ind w:firstLine="480" w:firstLineChars="200"/>
              <w:jc w:val="left"/>
              <w:rPr>
                <w:rFonts w:cs="Times New Roman"/>
                <w:sz w:val="24"/>
              </w:rPr>
            </w:pPr>
            <w:r>
              <w:rPr>
                <w:rFonts w:hint="eastAsia" w:cs="Times New Roman"/>
                <w:sz w:val="24"/>
              </w:rPr>
              <w:t>松潘县安宏乡肖包寺村、西宁关村等安全饮水工程建设项目位于阿坝州松潘县安宏乡，涉及松潘县安宏乡肖包寺村、西宁关村、安宏村、烟囱村等4个村，共5个项目点。本工程拟解决松潘县安宏乡共计970人的饮水安全问题，根据《村镇供水工程设计规范》，本工程各项目点供水规模为均小于200m</w:t>
            </w:r>
            <w:r>
              <w:rPr>
                <w:rFonts w:hint="eastAsia" w:cs="Times New Roman"/>
                <w:sz w:val="24"/>
                <w:vertAlign w:val="superscript"/>
              </w:rPr>
              <w:t>3</w:t>
            </w:r>
            <w:r>
              <w:rPr>
                <w:rFonts w:hint="eastAsia" w:cs="Times New Roman"/>
                <w:sz w:val="24"/>
              </w:rPr>
              <w:t>/d，工程类型为Ⅴ型。</w:t>
            </w:r>
            <w:r>
              <w:rPr>
                <w:rFonts w:hint="eastAsia"/>
                <w:sz w:val="24"/>
              </w:rPr>
              <w:t>此次工程建设内容内：肖包寺村安全饮水项目：新建管道长5000米，蓄水池1个（100立方米），沉淀池1个；肖包寺村饮水工程建设项目：新建引泉池1个，沉淀池1个，消毒池1个，蓄水池1个（100立方米），饮水管道4公里；西宁关村老村安全饮水项目：新建引泉池1个，蓄水池1个（100立方米），沉淀池1个，饮水管线长3公里及安装管道；烟囱村饮水项目：给水管道全长850m，蓄水池2个（3*3*2米）、阀门井2个；安宏村饮水工程：给水管道全长1500m，蓄水池（20立方米）、阀门井2个。工程总投资为117万元，其中环保投资20.7万元。资金来源为2020年中央和省级财政专项扶贫资金（扶贫发展）。</w:t>
            </w:r>
          </w:p>
          <w:p>
            <w:pPr>
              <w:widowControl/>
              <w:spacing w:line="36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2</w:t>
            </w:r>
            <w:r>
              <w:rPr>
                <w:rFonts w:hint="eastAsia" w:ascii="Times New Roman" w:hAnsi="Times New Roman" w:cs="Times New Roman"/>
                <w:b/>
                <w:color w:val="000000" w:themeColor="text1"/>
                <w:sz w:val="24"/>
              </w:rPr>
              <w:t>、项目产业政策符合性分析</w:t>
            </w:r>
          </w:p>
          <w:p>
            <w:pPr>
              <w:spacing w:line="360" w:lineRule="auto"/>
              <w:ind w:firstLine="480" w:firstLineChars="200"/>
              <w:rPr>
                <w:rFonts w:ascii="Times New Roman" w:hAnsi="Times New Roman" w:cs="Times New Roman"/>
                <w:sz w:val="24"/>
              </w:rPr>
            </w:pPr>
            <w:bookmarkStart w:id="5" w:name="_Hlk43759173"/>
            <w:r>
              <w:rPr>
                <w:rFonts w:hint="eastAsia" w:ascii="Times New Roman" w:hAnsi="Times New Roman" w:eastAsia="宋体" w:cs="Times New Roman"/>
                <w:color w:val="000000"/>
                <w:sz w:val="24"/>
              </w:rPr>
              <w:t>本项目为饮水工程项目，根据国家发展和改革委员会国家发改委令第29号令修正版《产业结构调整指导目录》（2019年本），本项目属于“第一类 鼓励类” 中“二、水利”中的“4、农村饮水安全工程”，属于鼓励类</w:t>
            </w:r>
            <w:r>
              <w:rPr>
                <w:rFonts w:ascii="Times New Roman" w:hAnsi="Times New Roman" w:eastAsia="宋体" w:cs="Times New Roman"/>
                <w:color w:val="000000"/>
                <w:sz w:val="24"/>
              </w:rPr>
              <w:t>，符合相关法律法规和政策规定，据此，松潘县发展和改革局以松发改[20</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1</w:t>
            </w:r>
            <w:r>
              <w:rPr>
                <w:rFonts w:hint="eastAsia" w:eastAsia="宋体" w:cs="Times New Roman"/>
                <w:color w:val="000000"/>
                <w:sz w:val="24"/>
              </w:rPr>
              <w:t>06</w:t>
            </w:r>
            <w:r>
              <w:rPr>
                <w:rFonts w:ascii="Times New Roman" w:hAnsi="Times New Roman" w:eastAsia="宋体" w:cs="Times New Roman"/>
                <w:color w:val="000000"/>
                <w:sz w:val="24"/>
              </w:rPr>
              <w:t>号</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[20</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1</w:t>
            </w:r>
            <w:r>
              <w:rPr>
                <w:rFonts w:hint="eastAsia" w:eastAsia="宋体" w:cs="Times New Roman"/>
                <w:color w:val="000000"/>
                <w:sz w:val="24"/>
              </w:rPr>
              <w:t>07</w:t>
            </w:r>
            <w:r>
              <w:rPr>
                <w:rFonts w:ascii="Times New Roman" w:hAnsi="Times New Roman" w:eastAsia="宋体" w:cs="Times New Roman"/>
                <w:color w:val="000000"/>
                <w:sz w:val="24"/>
              </w:rPr>
              <w:t>号</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[20</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111</w:t>
            </w:r>
            <w:r>
              <w:rPr>
                <w:rFonts w:ascii="Times New Roman" w:hAnsi="Times New Roman" w:eastAsia="宋体" w:cs="Times New Roman"/>
                <w:color w:val="000000"/>
                <w:sz w:val="24"/>
              </w:rPr>
              <w:t>号下达了关于</w:t>
            </w:r>
            <w:r>
              <w:rPr>
                <w:rFonts w:hint="eastAsia" w:eastAsia="宋体" w:cs="Times New Roman"/>
                <w:color w:val="000000"/>
                <w:sz w:val="24"/>
              </w:rPr>
              <w:t>安宏乡肖包寺村饮水工程建设项目建议书的批复、关于安宏乡肖包寺村安全饮水项目建议书的批复、关于安宏乡西宁关村老村安全饮水项目建议书的批复，</w:t>
            </w:r>
            <w:r>
              <w:rPr>
                <w:rFonts w:ascii="Times New Roman" w:hAnsi="Times New Roman" w:eastAsia="宋体" w:cs="Times New Roman"/>
                <w:color w:val="000000"/>
                <w:sz w:val="24"/>
              </w:rPr>
              <w:t>同意</w:t>
            </w:r>
            <w:r>
              <w:rPr>
                <w:rFonts w:hint="eastAsia" w:ascii="Times New Roman" w:hAnsi="Times New Roman" w:eastAsia="宋体" w:cs="Times New Roman"/>
                <w:color w:val="000000"/>
                <w:sz w:val="24"/>
              </w:rPr>
              <w:t>本</w:t>
            </w:r>
            <w:r>
              <w:rPr>
                <w:rFonts w:ascii="Times New Roman" w:hAnsi="Times New Roman" w:eastAsia="宋体" w:cs="Times New Roman"/>
                <w:color w:val="000000"/>
                <w:sz w:val="24"/>
              </w:rPr>
              <w:t>项目实施。</w:t>
            </w:r>
          </w:p>
          <w:p>
            <w:pPr>
              <w:spacing w:line="360" w:lineRule="auto"/>
              <w:ind w:firstLine="480" w:firstLineChars="200"/>
              <w:rPr>
                <w:sz w:val="24"/>
              </w:rPr>
            </w:pPr>
            <w:r>
              <w:rPr>
                <w:rFonts w:ascii="Times New Roman" w:hAnsi="Times New Roman" w:eastAsia="宋体" w:cs="Times New Roman"/>
                <w:color w:val="000000"/>
                <w:sz w:val="24"/>
              </w:rPr>
              <w:t>因此，符合国家现行产业政策。</w:t>
            </w:r>
            <w:bookmarkEnd w:id="5"/>
          </w:p>
          <w:p>
            <w:pPr>
              <w:widowControl/>
              <w:spacing w:line="36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3</w:t>
            </w:r>
            <w:r>
              <w:rPr>
                <w:rFonts w:hint="eastAsia" w:ascii="Times New Roman" w:hAnsi="Times New Roman" w:cs="Times New Roman"/>
                <w:b/>
                <w:color w:val="000000" w:themeColor="text1"/>
                <w:sz w:val="24"/>
              </w:rPr>
              <w:t>、规划符合性</w:t>
            </w:r>
          </w:p>
          <w:p>
            <w:pPr>
              <w:spacing w:line="360" w:lineRule="auto"/>
              <w:ind w:firstLine="480" w:firstLineChars="200"/>
              <w:rPr>
                <w:rFonts w:ascii="Times New Roman" w:hAnsi="Times New Roman" w:cs="Times New Roman"/>
                <w:sz w:val="24"/>
              </w:rPr>
            </w:pPr>
            <w:bookmarkStart w:id="6" w:name="_Hlk43759188"/>
            <w:r>
              <w:rPr>
                <w:rFonts w:hint="eastAsia" w:ascii="Times New Roman" w:hAnsi="Times New Roman" w:cs="Times New Roman"/>
                <w:sz w:val="24"/>
              </w:rPr>
              <w:t>本项目选址于松潘县安宏乡肖包寺村、西宁关村、安宏村、烟囱村等</w:t>
            </w:r>
            <w:r>
              <w:rPr>
                <w:rFonts w:hint="eastAsia" w:cs="Times New Roman"/>
                <w:sz w:val="24"/>
              </w:rPr>
              <w:t>，共5个项目点。</w:t>
            </w:r>
            <w:r>
              <w:rPr>
                <w:rFonts w:hint="eastAsia" w:ascii="Times New Roman" w:hAnsi="Times New Roman" w:cs="Times New Roman"/>
                <w:sz w:val="24"/>
              </w:rPr>
              <w:t>根据松潘县自然资源局对本项目的选址复函（松自然资函［2020］171号、松自然资函［2020］172号、松自然资函［2020］173号文），项目建设项目均采用地埋式，不改变土地用途，不予预审。</w:t>
            </w:r>
          </w:p>
          <w:p>
            <w:pPr>
              <w:widowControl/>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因此，项目建设符合相关规划。</w:t>
            </w:r>
          </w:p>
          <w:bookmarkEnd w:id="6"/>
          <w:p>
            <w:pPr>
              <w:widowControl/>
              <w:spacing w:line="360" w:lineRule="auto"/>
              <w:rPr>
                <w:rFonts w:ascii="Times New Roman" w:hAnsi="Times New Roman" w:cs="Times New Roman"/>
                <w:b/>
                <w:color w:val="000000" w:themeColor="text1"/>
                <w:sz w:val="24"/>
              </w:rPr>
            </w:pPr>
            <w:r>
              <w:rPr>
                <w:rFonts w:hint="eastAsia" w:ascii="Times New Roman" w:hAnsi="Times New Roman" w:cs="Times New Roman"/>
                <w:b/>
                <w:color w:val="000000" w:themeColor="text1"/>
                <w:sz w:val="24"/>
              </w:rPr>
              <w:t>4、外环境相容性</w:t>
            </w:r>
          </w:p>
          <w:p>
            <w:pPr>
              <w:adjustRightInd w:val="0"/>
              <w:snapToGrid w:val="0"/>
              <w:spacing w:line="360" w:lineRule="auto"/>
              <w:ind w:firstLine="480" w:firstLineChars="200"/>
              <w:rPr>
                <w:sz w:val="24"/>
              </w:rPr>
            </w:pPr>
            <w:r>
              <w:rPr>
                <w:rFonts w:hint="eastAsia"/>
                <w:sz w:val="24"/>
              </w:rPr>
              <w:t>本项目主要建设内容为铺设水管，修建蓄水池及沉淀池等，建设内容不包括入户支管。运营期主要为当地村民供水，无对外环境产生严重污染的生产工艺；本项目施工期的影响是暂时的，在施工结束后，影响区域的各环境要素基本都可以得到恢复，项目施工期加强管理，采取有效的环保措施后，对附近居民影响较小。运营期在落实各项污染防治措施的情况下，项目周围外环境无明显的环境制约因素。因此，项目建设与周边外环境相容较好。</w:t>
            </w:r>
          </w:p>
          <w:p>
            <w:pPr>
              <w:keepNext/>
              <w:spacing w:line="360" w:lineRule="auto"/>
              <w:rPr>
                <w:rFonts w:ascii="t" w:hAnsi="t"/>
                <w:b/>
                <w:bCs/>
                <w:snapToGrid w:val="0"/>
                <w:color w:val="000000" w:themeColor="text1"/>
                <w:sz w:val="24"/>
              </w:rPr>
            </w:pPr>
            <w:r>
              <w:rPr>
                <w:rFonts w:hint="eastAsia" w:ascii="Times New Roman" w:hAnsi="Times New Roman" w:cs="Times New Roman"/>
                <w:b/>
                <w:color w:val="000000" w:themeColor="text1"/>
                <w:sz w:val="24"/>
              </w:rPr>
              <w:t>5、</w:t>
            </w:r>
            <w:r>
              <w:rPr>
                <w:rFonts w:ascii="t" w:hAnsi="t"/>
                <w:b/>
                <w:bCs/>
                <w:snapToGrid w:val="0"/>
                <w:color w:val="000000" w:themeColor="text1"/>
                <w:sz w:val="24"/>
              </w:rPr>
              <w:t>环境质量现状评价结论</w:t>
            </w:r>
          </w:p>
          <w:p>
            <w:pPr>
              <w:numPr>
                <w:ilvl w:val="0"/>
                <w:numId w:val="8"/>
              </w:numPr>
              <w:adjustRightInd w:val="0"/>
              <w:spacing w:line="360" w:lineRule="auto"/>
              <w:ind w:left="0" w:firstLine="482" w:firstLineChars="200"/>
              <w:rPr>
                <w:rFonts w:ascii="宋体" w:hAnsi="宋体"/>
                <w:b/>
                <w:color w:val="000000" w:themeColor="text1"/>
                <w:sz w:val="24"/>
              </w:rPr>
            </w:pPr>
            <w:r>
              <w:rPr>
                <w:rFonts w:ascii="宋体" w:hAnsi="宋体"/>
                <w:b/>
                <w:color w:val="000000" w:themeColor="text1"/>
                <w:sz w:val="24"/>
              </w:rPr>
              <w:t>环境空气</w:t>
            </w:r>
          </w:p>
          <w:p>
            <w:pPr>
              <w:spacing w:line="360" w:lineRule="auto"/>
              <w:ind w:firstLine="480" w:firstLineChars="200"/>
              <w:rPr>
                <w:rFonts w:ascii="t" w:hAnsi="t"/>
                <w:color w:val="000000" w:themeColor="text1"/>
                <w:sz w:val="24"/>
              </w:rPr>
            </w:pPr>
            <w:r>
              <w:rPr>
                <w:rFonts w:hint="eastAsia" w:ascii="t" w:hAnsi="t"/>
                <w:color w:val="000000" w:themeColor="text1"/>
                <w:sz w:val="24"/>
              </w:rPr>
              <w:t>项目所在地属于空气达标区域，项目所在地区域环境空气质量良好。</w:t>
            </w:r>
          </w:p>
          <w:p>
            <w:pPr>
              <w:numPr>
                <w:ilvl w:val="0"/>
                <w:numId w:val="8"/>
              </w:numPr>
              <w:adjustRightInd w:val="0"/>
              <w:spacing w:line="360" w:lineRule="auto"/>
              <w:ind w:left="0" w:firstLine="482" w:firstLineChars="200"/>
              <w:rPr>
                <w:rFonts w:ascii="宋体" w:hAnsi="宋体"/>
                <w:b/>
                <w:color w:val="000000" w:themeColor="text1"/>
                <w:sz w:val="24"/>
              </w:rPr>
            </w:pPr>
            <w:r>
              <w:rPr>
                <w:rFonts w:ascii="宋体" w:hAnsi="宋体"/>
                <w:b/>
                <w:color w:val="000000" w:themeColor="text1"/>
                <w:sz w:val="24"/>
              </w:rPr>
              <w:t>地表水</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安宏乡安宏乡肖包寺村、安宏乡西宁关村、安宏村、烟囱村岷江段地表水水质执行《地表水环境质量标准》（GB3838-2002）中Ⅱ类水域标准，监测区域内地表水水质较好。</w:t>
            </w:r>
          </w:p>
          <w:p>
            <w:pPr>
              <w:numPr>
                <w:ilvl w:val="0"/>
                <w:numId w:val="8"/>
              </w:numPr>
              <w:adjustRightInd w:val="0"/>
              <w:spacing w:line="360" w:lineRule="auto"/>
              <w:ind w:left="0" w:firstLine="482" w:firstLineChars="200"/>
              <w:rPr>
                <w:rFonts w:ascii="宋体" w:hAnsi="宋体"/>
                <w:b/>
                <w:color w:val="000000" w:themeColor="text1"/>
                <w:sz w:val="24"/>
              </w:rPr>
            </w:pPr>
            <w:r>
              <w:rPr>
                <w:rFonts w:ascii="宋体" w:hAnsi="宋体"/>
                <w:b/>
                <w:color w:val="000000" w:themeColor="text1"/>
                <w:sz w:val="24"/>
              </w:rPr>
              <w:t>声环境</w:t>
            </w:r>
          </w:p>
          <w:p>
            <w:pPr>
              <w:spacing w:line="360" w:lineRule="auto"/>
              <w:ind w:firstLine="480" w:firstLineChars="200"/>
              <w:rPr>
                <w:rFonts w:ascii="Times New Roman" w:hAnsi="Times New Roman" w:cs="Times New Roman"/>
                <w:color w:val="000000" w:themeColor="text1"/>
                <w:spacing w:val="-8"/>
                <w:sz w:val="24"/>
                <w:szCs w:val="20"/>
              </w:rPr>
            </w:pPr>
            <w:r>
              <w:rPr>
                <w:rFonts w:hint="eastAsia"/>
                <w:bCs/>
                <w:color w:val="000000" w:themeColor="text1"/>
                <w:sz w:val="24"/>
              </w:rPr>
              <w:t>项目区域声环境质量良好，满足</w:t>
            </w:r>
            <w:r>
              <w:rPr>
                <w:rFonts w:hint="eastAsia" w:ascii="Times New Roman" w:cs="Times New Roman"/>
                <w:color w:val="000000" w:themeColor="text1"/>
                <w:spacing w:val="-8"/>
                <w:sz w:val="24"/>
                <w:szCs w:val="20"/>
              </w:rPr>
              <w:t>《声环境质量标准》</w:t>
            </w:r>
            <w:r>
              <w:rPr>
                <w:rFonts w:ascii="Times New Roman" w:hAnsi="Times New Roman" w:cs="Times New Roman"/>
                <w:color w:val="000000" w:themeColor="text1"/>
                <w:spacing w:val="-8"/>
                <w:sz w:val="24"/>
                <w:szCs w:val="20"/>
              </w:rPr>
              <w:t>(GB3096-2008)2</w:t>
            </w:r>
            <w:r>
              <w:rPr>
                <w:rFonts w:hint="eastAsia" w:ascii="Times New Roman" w:hAnsi="Times New Roman" w:cs="Times New Roman"/>
                <w:color w:val="000000" w:themeColor="text1"/>
                <w:spacing w:val="-8"/>
                <w:sz w:val="24"/>
                <w:szCs w:val="20"/>
              </w:rPr>
              <w:t>类标准限值。</w:t>
            </w:r>
          </w:p>
          <w:p>
            <w:pPr>
              <w:spacing w:line="360" w:lineRule="auto"/>
              <w:ind w:firstLine="482" w:firstLineChars="200"/>
              <w:rPr>
                <w:b/>
                <w:bCs/>
                <w:color w:val="000000" w:themeColor="text1"/>
                <w:sz w:val="24"/>
              </w:rPr>
            </w:pPr>
            <w:r>
              <w:rPr>
                <w:rFonts w:hint="eastAsia"/>
                <w:b/>
                <w:bCs/>
                <w:color w:val="000000" w:themeColor="text1"/>
                <w:sz w:val="24"/>
              </w:rPr>
              <w:t>④生态环境</w:t>
            </w:r>
          </w:p>
          <w:p>
            <w:pPr>
              <w:spacing w:line="360" w:lineRule="auto"/>
              <w:ind w:firstLine="480" w:firstLineChars="200"/>
              <w:rPr>
                <w:bCs/>
                <w:color w:val="000000" w:themeColor="text1"/>
                <w:sz w:val="24"/>
              </w:rPr>
            </w:pPr>
            <w:r>
              <w:rPr>
                <w:rFonts w:hint="eastAsia"/>
                <w:bCs/>
                <w:color w:val="000000" w:themeColor="text1"/>
                <w:sz w:val="24"/>
              </w:rPr>
              <w:t>项目区域受人类活动的影响，区域植被稀少，不涉及天然植被及林木，无珍稀野生动植物分布。</w:t>
            </w:r>
          </w:p>
          <w:p>
            <w:pPr>
              <w:spacing w:line="360" w:lineRule="auto"/>
              <w:rPr>
                <w:rFonts w:ascii="t" w:hAnsi="t"/>
                <w:b/>
                <w:color w:val="000000" w:themeColor="text1"/>
                <w:sz w:val="24"/>
              </w:rPr>
            </w:pPr>
            <w:r>
              <w:rPr>
                <w:rFonts w:hint="eastAsia" w:ascii="t" w:hAnsi="t"/>
                <w:b/>
                <w:color w:val="000000" w:themeColor="text1"/>
                <w:sz w:val="24"/>
              </w:rPr>
              <w:t>6</w:t>
            </w:r>
            <w:r>
              <w:rPr>
                <w:rFonts w:ascii="t" w:hAnsi="t"/>
                <w:b/>
                <w:color w:val="000000" w:themeColor="text1"/>
                <w:sz w:val="24"/>
              </w:rPr>
              <w:t>、</w:t>
            </w:r>
            <w:r>
              <w:rPr>
                <w:rFonts w:hint="eastAsia" w:ascii="t" w:hAnsi="t"/>
                <w:b/>
                <w:color w:val="000000" w:themeColor="text1"/>
                <w:sz w:val="24"/>
              </w:rPr>
              <w:t>环境影响分析结论</w:t>
            </w:r>
          </w:p>
          <w:p>
            <w:pPr>
              <w:pStyle w:val="317"/>
              <w:snapToGrid/>
              <w:ind w:firstLine="480" w:firstLineChars="200"/>
              <w:rPr>
                <w:rFonts w:eastAsia="宋体"/>
                <w:sz w:val="24"/>
                <w:szCs w:val="24"/>
              </w:rPr>
            </w:pPr>
            <w:r>
              <w:rPr>
                <w:rFonts w:hint="eastAsia"/>
                <w:bCs/>
                <w:sz w:val="24"/>
                <w:szCs w:val="24"/>
              </w:rPr>
              <w:t>（1）</w:t>
            </w:r>
            <w:r>
              <w:rPr>
                <w:rFonts w:hint="eastAsia" w:eastAsia="宋体"/>
                <w:sz w:val="24"/>
                <w:szCs w:val="24"/>
              </w:rPr>
              <w:t>施工期环境影响分析</w:t>
            </w:r>
          </w:p>
          <w:p>
            <w:pPr>
              <w:spacing w:line="360" w:lineRule="auto"/>
              <w:ind w:firstLine="480" w:firstLineChars="200"/>
              <w:rPr>
                <w:bCs/>
                <w:sz w:val="24"/>
              </w:rPr>
            </w:pPr>
            <w:r>
              <w:rPr>
                <w:rFonts w:hint="eastAsia"/>
                <w:bCs/>
                <w:sz w:val="24"/>
              </w:rPr>
              <w:t>①大气环境影响分析</w:t>
            </w:r>
          </w:p>
          <w:p>
            <w:pPr>
              <w:spacing w:line="360" w:lineRule="auto"/>
              <w:ind w:firstLine="480" w:firstLineChars="200"/>
              <w:rPr>
                <w:bCs/>
                <w:sz w:val="24"/>
              </w:rPr>
            </w:pPr>
            <w:r>
              <w:rPr>
                <w:rFonts w:hint="eastAsia"/>
                <w:bCs/>
                <w:sz w:val="24"/>
              </w:rPr>
              <w:t>施工期间，大气污染物主要是施工过程中产生的扬尘、施工机械和运输车辆产生的扬尘等。施工放严格控制，文明施工，加强管理后扬尘对环境空气质量影响较小。</w:t>
            </w:r>
          </w:p>
          <w:p>
            <w:pPr>
              <w:spacing w:line="360" w:lineRule="auto"/>
              <w:ind w:firstLine="480" w:firstLineChars="200"/>
              <w:rPr>
                <w:bCs/>
                <w:sz w:val="24"/>
              </w:rPr>
            </w:pPr>
            <w:r>
              <w:rPr>
                <w:rFonts w:hint="eastAsia"/>
                <w:bCs/>
                <w:sz w:val="24"/>
              </w:rPr>
              <w:t>评价认为：工程选址地势开阔，周围住户较少。施工废气排放有一定的扩散条件，在施工方严格按照以上提出的废气控制措施施工的条件下，能有效减缓项目建设对大气环境的影响，施工废气对项目所在地的影响较小。</w:t>
            </w:r>
          </w:p>
          <w:p>
            <w:pPr>
              <w:spacing w:line="360" w:lineRule="auto"/>
              <w:ind w:firstLine="480" w:firstLineChars="200"/>
              <w:rPr>
                <w:bCs/>
                <w:sz w:val="24"/>
              </w:rPr>
            </w:pPr>
            <w:r>
              <w:rPr>
                <w:rFonts w:hint="eastAsia"/>
                <w:bCs/>
                <w:sz w:val="24"/>
              </w:rPr>
              <w:t>②地表水环境影响分析</w:t>
            </w:r>
          </w:p>
          <w:p>
            <w:pPr>
              <w:spacing w:line="360" w:lineRule="auto"/>
              <w:ind w:firstLine="480" w:firstLineChars="200"/>
              <w:rPr>
                <w:bCs/>
                <w:sz w:val="24"/>
              </w:rPr>
            </w:pPr>
            <w:r>
              <w:rPr>
                <w:rFonts w:hint="eastAsia"/>
                <w:bCs/>
                <w:sz w:val="24"/>
              </w:rPr>
              <w:t>施工期废水主要为施工人员生活污水</w:t>
            </w:r>
            <w:r>
              <w:rPr>
                <w:rStyle w:val="61"/>
                <w:rFonts w:hint="eastAsia"/>
                <w:sz w:val="24"/>
                <w:szCs w:val="24"/>
              </w:rPr>
              <w:t>和管道冲洗、试压废水</w:t>
            </w:r>
            <w:r>
              <w:rPr>
                <w:rFonts w:hint="eastAsia"/>
                <w:bCs/>
                <w:sz w:val="24"/>
              </w:rPr>
              <w:t>。</w:t>
            </w:r>
          </w:p>
          <w:p>
            <w:pPr>
              <w:spacing w:line="360" w:lineRule="auto"/>
              <w:ind w:firstLine="480" w:firstLineChars="200"/>
              <w:rPr>
                <w:bCs/>
                <w:sz w:val="24"/>
              </w:rPr>
            </w:pPr>
            <w:r>
              <w:rPr>
                <w:rFonts w:hint="eastAsia"/>
                <w:bCs/>
                <w:sz w:val="24"/>
              </w:rPr>
              <w:t>生活污水利用就近住户的旱厕收集，对地表水环境质量不会产生明显影响。</w:t>
            </w:r>
          </w:p>
          <w:p>
            <w:pPr>
              <w:spacing w:line="360" w:lineRule="auto"/>
              <w:ind w:firstLine="480" w:firstLineChars="200"/>
              <w:rPr>
                <w:bCs/>
                <w:sz w:val="24"/>
              </w:rPr>
            </w:pPr>
            <w:r>
              <w:rPr>
                <w:rStyle w:val="61"/>
                <w:rFonts w:hint="eastAsia"/>
                <w:sz w:val="24"/>
                <w:szCs w:val="24"/>
              </w:rPr>
              <w:t>管道冲洗、试压废水</w:t>
            </w:r>
            <w:r>
              <w:rPr>
                <w:rFonts w:hint="eastAsia"/>
                <w:bCs/>
                <w:sz w:val="24"/>
              </w:rPr>
              <w:t>用于蓄水池池子养护，最后清理用于浇灌周边农田，不直接外排入河流。</w:t>
            </w:r>
          </w:p>
          <w:p>
            <w:pPr>
              <w:spacing w:line="360" w:lineRule="auto"/>
              <w:ind w:firstLine="480" w:firstLineChars="200"/>
              <w:rPr>
                <w:bCs/>
                <w:sz w:val="24"/>
              </w:rPr>
            </w:pPr>
            <w:r>
              <w:rPr>
                <w:rFonts w:hint="eastAsia"/>
                <w:bCs/>
                <w:sz w:val="24"/>
              </w:rPr>
              <w:t>③声学环境影响分析</w:t>
            </w:r>
          </w:p>
          <w:p>
            <w:pPr>
              <w:spacing w:line="360" w:lineRule="auto"/>
              <w:ind w:firstLine="480" w:firstLineChars="200"/>
              <w:rPr>
                <w:bCs/>
                <w:sz w:val="24"/>
              </w:rPr>
            </w:pPr>
            <w:r>
              <w:rPr>
                <w:rFonts w:hint="eastAsia"/>
                <w:bCs/>
                <w:sz w:val="24"/>
              </w:rPr>
              <w:t>本项目主要施工方式为人为施工，噪声产生量较小，对环境影响小。</w:t>
            </w:r>
          </w:p>
          <w:p>
            <w:pPr>
              <w:spacing w:line="360" w:lineRule="auto"/>
              <w:ind w:firstLine="480" w:firstLineChars="200"/>
              <w:rPr>
                <w:bCs/>
                <w:sz w:val="24"/>
              </w:rPr>
            </w:pPr>
            <w:r>
              <w:rPr>
                <w:rFonts w:hint="eastAsia"/>
                <w:bCs/>
                <w:sz w:val="24"/>
              </w:rPr>
              <w:t>④固体废弃物影响分析</w:t>
            </w:r>
          </w:p>
          <w:p>
            <w:pPr>
              <w:spacing w:line="360" w:lineRule="auto"/>
              <w:ind w:firstLine="480" w:firstLineChars="200"/>
              <w:rPr>
                <w:bCs/>
                <w:sz w:val="24"/>
              </w:rPr>
            </w:pPr>
            <w:r>
              <w:rPr>
                <w:rFonts w:hint="eastAsia"/>
                <w:bCs/>
                <w:sz w:val="24"/>
              </w:rPr>
              <w:t>本项目施工产生的固体废物可得到妥善处置，不会造成二次污染。</w:t>
            </w:r>
          </w:p>
          <w:p>
            <w:pPr>
              <w:spacing w:line="360" w:lineRule="auto"/>
              <w:ind w:firstLine="480" w:firstLineChars="200"/>
              <w:rPr>
                <w:bCs/>
                <w:sz w:val="24"/>
              </w:rPr>
            </w:pPr>
            <w:r>
              <w:rPr>
                <w:rFonts w:hint="eastAsia"/>
                <w:bCs/>
                <w:sz w:val="24"/>
              </w:rPr>
              <w:t>⑤生态环境影响分析</w:t>
            </w:r>
          </w:p>
          <w:p>
            <w:pPr>
              <w:spacing w:line="360" w:lineRule="auto"/>
              <w:ind w:firstLine="480" w:firstLineChars="200"/>
              <w:rPr>
                <w:bCs/>
                <w:sz w:val="24"/>
              </w:rPr>
            </w:pPr>
            <w:r>
              <w:rPr>
                <w:rFonts w:hint="eastAsia"/>
                <w:bCs/>
                <w:sz w:val="24"/>
              </w:rPr>
              <w:t>项目施工期不会对居民的生活环境造成较大影响，原有的农村生态系统不会发生明显变化。</w:t>
            </w:r>
          </w:p>
          <w:p>
            <w:pPr>
              <w:spacing w:line="360" w:lineRule="auto"/>
              <w:ind w:firstLine="480" w:firstLineChars="200"/>
              <w:rPr>
                <w:bCs/>
                <w:sz w:val="24"/>
              </w:rPr>
            </w:pPr>
            <w:r>
              <w:rPr>
                <w:rFonts w:hint="eastAsia"/>
                <w:bCs/>
                <w:sz w:val="24"/>
              </w:rPr>
              <w:t>⑥土壤环境影响分析</w:t>
            </w:r>
          </w:p>
          <w:p>
            <w:pPr>
              <w:spacing w:line="360" w:lineRule="auto"/>
              <w:ind w:firstLine="480" w:firstLineChars="200"/>
              <w:rPr>
                <w:bCs/>
                <w:sz w:val="24"/>
              </w:rPr>
            </w:pPr>
            <w:r>
              <w:rPr>
                <w:rFonts w:hint="eastAsia"/>
                <w:bCs/>
                <w:sz w:val="24"/>
              </w:rPr>
              <w:t>项目施工期土壤环境影响主要来源于土方的开挖和回填，土方的开挖和回填须合理安排时间，尽量选择在非雨季进行，并尽可能的缩短工期，减少水土流失的情况。</w:t>
            </w:r>
          </w:p>
          <w:p>
            <w:pPr>
              <w:spacing w:line="360" w:lineRule="auto"/>
              <w:ind w:firstLine="480" w:firstLineChars="200"/>
              <w:rPr>
                <w:bCs/>
                <w:sz w:val="24"/>
              </w:rPr>
            </w:pPr>
            <w:r>
              <w:rPr>
                <w:rFonts w:hint="eastAsia"/>
                <w:bCs/>
                <w:sz w:val="24"/>
              </w:rPr>
              <w:t>⑦社会环境影响分析</w:t>
            </w:r>
          </w:p>
          <w:p>
            <w:pPr>
              <w:spacing w:line="360" w:lineRule="auto"/>
              <w:ind w:firstLine="480" w:firstLineChars="200"/>
              <w:rPr>
                <w:bCs/>
                <w:sz w:val="24"/>
              </w:rPr>
            </w:pPr>
            <w:r>
              <w:rPr>
                <w:rFonts w:hint="eastAsia"/>
                <w:bCs/>
                <w:sz w:val="24"/>
              </w:rPr>
              <w:t>项目的施工不可避免地会对当地村民的生活、出行造成一定影响，通过施工方的合理安排及控制可将此不利影响降至最低。</w:t>
            </w:r>
          </w:p>
          <w:p>
            <w:pPr>
              <w:spacing w:line="360" w:lineRule="auto"/>
              <w:ind w:firstLine="480" w:firstLineChars="200"/>
              <w:rPr>
                <w:bCs/>
                <w:sz w:val="24"/>
              </w:rPr>
            </w:pPr>
            <w:r>
              <w:rPr>
                <w:rFonts w:hint="eastAsia"/>
                <w:bCs/>
                <w:sz w:val="24"/>
              </w:rPr>
              <w:t>（2）营运期环境影响分析</w:t>
            </w:r>
          </w:p>
          <w:p>
            <w:pPr>
              <w:spacing w:line="360" w:lineRule="auto"/>
              <w:ind w:firstLine="480" w:firstLineChars="200"/>
              <w:rPr>
                <w:bCs/>
                <w:sz w:val="24"/>
              </w:rPr>
            </w:pPr>
            <w:r>
              <w:rPr>
                <w:rFonts w:hint="eastAsia"/>
                <w:bCs/>
                <w:sz w:val="24"/>
              </w:rPr>
              <w:t>①地下水环境影响分析</w:t>
            </w:r>
          </w:p>
          <w:p>
            <w:pPr>
              <w:spacing w:line="360" w:lineRule="auto"/>
              <w:ind w:firstLine="480" w:firstLineChars="200"/>
              <w:rPr>
                <w:bCs/>
                <w:sz w:val="24"/>
              </w:rPr>
            </w:pPr>
            <w:r>
              <w:rPr>
                <w:rFonts w:hint="eastAsia"/>
                <w:bCs/>
                <w:sz w:val="24"/>
              </w:rPr>
              <w:t xml:space="preserve"> 项目为饮水工程，管线采用PE管，水池池底、池壁采用C30钢筋砼，消毒池采用防水膜处理，且项目涉及的水为干净的地表水，通过采取上述措施后，对地下水影响甚微。</w:t>
            </w:r>
          </w:p>
          <w:p>
            <w:pPr>
              <w:spacing w:line="360" w:lineRule="auto"/>
              <w:ind w:firstLine="480" w:firstLineChars="200"/>
              <w:rPr>
                <w:bCs/>
                <w:sz w:val="24"/>
              </w:rPr>
            </w:pPr>
            <w:r>
              <w:rPr>
                <w:rFonts w:hint="eastAsia"/>
                <w:bCs/>
                <w:sz w:val="24"/>
              </w:rPr>
              <w:t>②声学环境影响</w:t>
            </w:r>
          </w:p>
          <w:p>
            <w:pPr>
              <w:spacing w:line="360" w:lineRule="auto"/>
              <w:ind w:firstLine="480" w:firstLineChars="200"/>
              <w:rPr>
                <w:bCs/>
                <w:sz w:val="24"/>
              </w:rPr>
            </w:pPr>
            <w:r>
              <w:rPr>
                <w:rFonts w:hint="eastAsia"/>
                <w:bCs/>
                <w:sz w:val="24"/>
              </w:rPr>
              <w:t>该项目建成营运后不会造成区域声学环境明显改变，项目的运营对周围环境造成的影响甚微。</w:t>
            </w:r>
          </w:p>
          <w:p>
            <w:pPr>
              <w:spacing w:line="360" w:lineRule="auto"/>
              <w:ind w:firstLine="480" w:firstLineChars="200"/>
              <w:rPr>
                <w:bCs/>
                <w:sz w:val="24"/>
              </w:rPr>
            </w:pPr>
            <w:r>
              <w:rPr>
                <w:rFonts w:hint="eastAsia"/>
                <w:bCs/>
                <w:sz w:val="24"/>
              </w:rPr>
              <w:t>本项目施工期间不大量开挖，管路铺设采用间断推进施工方式，减小施工扰动面积，将施工期的影响控制在局部范围内，减轻了对周边环境的影响。项目施工期间无移民搬迁，采取合理施工周期，减轻对社会环境的影响。</w:t>
            </w:r>
          </w:p>
          <w:p>
            <w:pPr>
              <w:adjustRightInd w:val="0"/>
              <w:snapToGrid w:val="0"/>
              <w:spacing w:line="360" w:lineRule="auto"/>
              <w:rPr>
                <w:rFonts w:ascii="t" w:hAnsi="t"/>
                <w:b/>
                <w:snapToGrid w:val="0"/>
                <w:color w:val="000000" w:themeColor="text1"/>
                <w:sz w:val="24"/>
              </w:rPr>
            </w:pPr>
            <w:r>
              <w:rPr>
                <w:rFonts w:hint="eastAsia" w:ascii="t" w:hAnsi="t"/>
                <w:b/>
                <w:snapToGrid w:val="0"/>
                <w:color w:val="000000" w:themeColor="text1"/>
                <w:sz w:val="24"/>
              </w:rPr>
              <w:t>7</w:t>
            </w:r>
            <w:r>
              <w:rPr>
                <w:rFonts w:ascii="t" w:hAnsi="t"/>
                <w:b/>
                <w:snapToGrid w:val="0"/>
                <w:color w:val="000000" w:themeColor="text1"/>
                <w:sz w:val="24"/>
              </w:rPr>
              <w:t>、评价结论</w:t>
            </w:r>
          </w:p>
          <w:p>
            <w:pPr>
              <w:pStyle w:val="44"/>
              <w:spacing w:after="0" w:line="360" w:lineRule="auto"/>
              <w:ind w:firstLine="482" w:firstLineChars="200"/>
              <w:rPr>
                <w:rFonts w:ascii="t" w:hAnsi="t"/>
                <w:bCs/>
                <w:snapToGrid w:val="0"/>
                <w:color w:val="000000" w:themeColor="text1"/>
                <w:sz w:val="24"/>
              </w:rPr>
            </w:pPr>
            <w:r>
              <w:rPr>
                <w:rFonts w:hint="eastAsia"/>
                <w:b/>
                <w:sz w:val="24"/>
              </w:rPr>
              <w:t>本项目符合国家产业政策，与当地规划相符，选址合理。项目周围无大的环境制约因素，项目运营后具有良好的社会、环境正效益。根据环境影响分析的结果来看，本项目对环境的主要有利影响表现在改善区域现有饮水情况；不利影响主要表现在施工过程对工程区域生态环境造成的不便。在采取相应的环保措施后，各种不利影响可以得到一定程度的控制，外排的污染物可以做到达标排放，不会破坏区域现有的环境功能。本项目只要切实做好该区域生态环境保护育资源开发利用协调发展的基础上，落实本报告提出的各项环境保护措施的前提下，从环境角度而言是可行的。</w:t>
            </w:r>
          </w:p>
          <w:p>
            <w:pPr>
              <w:adjustRightInd w:val="0"/>
              <w:snapToGrid w:val="0"/>
              <w:spacing w:line="360" w:lineRule="auto"/>
              <w:ind w:firstLine="480" w:firstLineChars="200"/>
              <w:rPr>
                <w:rFonts w:ascii="t" w:hAnsi="t"/>
                <w:color w:val="000000" w:themeColor="text1"/>
                <w:sz w:val="24"/>
              </w:rPr>
            </w:pPr>
          </w:p>
          <w:p>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二</w:t>
            </w:r>
            <w:r>
              <w:rPr>
                <w:rFonts w:hint="eastAsia"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建议</w:t>
            </w:r>
          </w:p>
          <w:p>
            <w:pPr>
              <w:spacing w:line="360" w:lineRule="auto"/>
              <w:ind w:firstLine="480" w:firstLineChars="200"/>
              <w:rPr>
                <w:rFonts w:ascii="宋体" w:hAnsi="宋体"/>
                <w:sz w:val="24"/>
              </w:rPr>
            </w:pPr>
            <w:r>
              <w:rPr>
                <w:rFonts w:hint="eastAsia" w:ascii="宋体" w:hAnsi="宋体"/>
                <w:sz w:val="24"/>
              </w:rPr>
              <w:t>1、离村庄较近地区合理安排施工时间，避免噪声扰民；合理安排施工季节，避免在雨季进行大量动土和开挖工程，减少水土流失。</w:t>
            </w:r>
          </w:p>
          <w:p>
            <w:pPr>
              <w:spacing w:line="360" w:lineRule="auto"/>
              <w:ind w:firstLine="480" w:firstLineChars="200"/>
              <w:rPr>
                <w:rFonts w:ascii="宋体" w:hAnsi="宋体"/>
                <w:sz w:val="24"/>
              </w:rPr>
            </w:pPr>
            <w:r>
              <w:rPr>
                <w:rFonts w:hint="eastAsia" w:ascii="宋体" w:hAnsi="宋体"/>
                <w:sz w:val="24"/>
              </w:rPr>
              <w:t>2、综合考虑，分段施工，缩短施工线，以利于植被恢复，减少水土流失。</w:t>
            </w:r>
          </w:p>
          <w:p>
            <w:pPr>
              <w:spacing w:line="360" w:lineRule="auto"/>
              <w:ind w:firstLine="480" w:firstLineChars="200"/>
              <w:rPr>
                <w:rFonts w:ascii="宋体" w:hAnsi="宋体"/>
                <w:sz w:val="24"/>
              </w:rPr>
            </w:pPr>
            <w:r>
              <w:rPr>
                <w:rFonts w:hint="eastAsia" w:ascii="宋体" w:hAnsi="宋体"/>
                <w:sz w:val="24"/>
              </w:rPr>
              <w:t>3、施工期间对施工人员进行相关的环境保护知识教育，增强施工人员的环保意识。通过制度化严禁施工人员非法捕猎野生动物，有效减轻施工对沿线陆生动植物的影响。</w:t>
            </w:r>
          </w:p>
          <w:p>
            <w:pPr>
              <w:spacing w:line="360" w:lineRule="auto"/>
              <w:ind w:firstLine="480" w:firstLineChars="200"/>
              <w:rPr>
                <w:rFonts w:ascii="Times New Roman" w:hAnsi="Times New Roman" w:cs="Times New Roman"/>
                <w:color w:val="000000" w:themeColor="text1"/>
                <w:sz w:val="24"/>
              </w:rPr>
            </w:pPr>
            <w:r>
              <w:rPr>
                <w:rFonts w:hint="eastAsia" w:ascii="宋体" w:hAnsi="宋体"/>
                <w:sz w:val="24"/>
              </w:rPr>
              <w:t>4、业主应重视环境管理工作，配备专职人员，下达明确责任，制定相应的目标、指标和管理方案，使工程的实施和运营全过程纳入规范化、制度化管理程序。</w:t>
            </w: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rPr>
                <w:rFonts w:hint="eastAsia" w:ascii="Times New Roman" w:hAnsi="Times New Roman" w:cs="Times New Roman"/>
                <w:color w:val="000000" w:themeColor="text1"/>
                <w:sz w:val="24"/>
                <w:lang w:eastAsia="zh-CN"/>
              </w:rPr>
            </w:pPr>
          </w:p>
          <w:p>
            <w:pPr>
              <w:spacing w:line="360" w:lineRule="auto"/>
              <w:rPr>
                <w:rFonts w:hint="eastAsia" w:ascii="Times New Roman" w:hAnsi="Times New Roman" w:cs="Times New Roman"/>
                <w:color w:val="000000" w:themeColor="text1"/>
                <w:sz w:val="24"/>
                <w:lang w:eastAsia="zh-CN"/>
              </w:rPr>
            </w:pPr>
          </w:p>
          <w:p>
            <w:pPr>
              <w:spacing w:line="360" w:lineRule="auto"/>
              <w:rPr>
                <w:rFonts w:hint="eastAsia" w:ascii="Times New Roman" w:hAnsi="Times New Roman" w:cs="Times New Roman"/>
                <w:color w:val="000000" w:themeColor="text1"/>
                <w:sz w:val="24"/>
                <w:lang w:eastAsia="zh-CN"/>
              </w:rPr>
            </w:pPr>
          </w:p>
          <w:p>
            <w:pPr>
              <w:spacing w:line="360" w:lineRule="auto"/>
              <w:rPr>
                <w:rFonts w:hint="eastAsia" w:ascii="Times New Roman" w:hAnsi="Times New Roman" w:cs="Times New Roman" w:eastAsiaTheme="minorEastAsia"/>
                <w:color w:val="000000" w:themeColor="text1"/>
                <w:sz w:val="24"/>
                <w:lang w:eastAsia="zh-CN"/>
              </w:rPr>
            </w:pPr>
          </w:p>
        </w:tc>
      </w:tr>
    </w:tbl>
    <w:p>
      <w:pPr>
        <w:widowControl/>
        <w:jc w:val="left"/>
        <w:rPr>
          <w:rFonts w:ascii="Times New Roman" w:hAnsi="Times New Roman" w:cs="Times New Roman"/>
          <w:color w:val="000000" w:themeColor="text1"/>
        </w:rPr>
      </w:pPr>
    </w:p>
    <w:tbl>
      <w:tblPr>
        <w:tblStyle w:val="5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9"/>
              <w:tabs>
                <w:tab w:val="center" w:pos="4411"/>
                <w:tab w:val="right" w:pos="8823"/>
              </w:tabs>
              <w:spacing w:line="360" w:lineRule="auto"/>
              <w:ind w:left="105" w:leftChars="50" w:right="105" w:rightChars="50" w:firstLine="482" w:firstLineChars="200"/>
              <w:jc w:val="center"/>
              <w:rPr>
                <w:rFonts w:ascii="Times New Roman" w:hAnsi="Times New Roman" w:cs="Times New Roman"/>
                <w:b/>
                <w:color w:val="000000" w:themeColor="text1"/>
                <w:sz w:val="24"/>
              </w:rPr>
            </w:pPr>
            <w:r>
              <w:rPr>
                <w:rFonts w:ascii="Times New Roman" w:hAnsi="宋体" w:cs="Times New Roman"/>
                <w:b/>
                <w:color w:val="000000" w:themeColor="text1"/>
                <w:sz w:val="24"/>
              </w:rPr>
              <w:t>注释</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宋体" w:cs="Times New Roman"/>
                <w:bCs/>
                <w:color w:val="000000" w:themeColor="text1"/>
                <w:sz w:val="24"/>
              </w:rPr>
              <w:t>一、本报告表附有以下附件、附图：</w:t>
            </w:r>
          </w:p>
          <w:p>
            <w:pPr>
              <w:pStyle w:val="29"/>
              <w:spacing w:line="360" w:lineRule="auto"/>
              <w:ind w:left="105" w:leftChars="50" w:right="105" w:rightChars="50" w:firstLine="480" w:firstLineChars="200"/>
              <w:rPr>
                <w:rFonts w:ascii="Times New Roman" w:hAnsi="宋体" w:cs="Times New Roman"/>
                <w:bCs/>
                <w:color w:val="000000" w:themeColor="text1"/>
                <w:sz w:val="24"/>
              </w:rPr>
            </w:pPr>
            <w:r>
              <w:rPr>
                <w:rFonts w:ascii="Times New Roman" w:hAnsi="宋体" w:cs="Times New Roman"/>
                <w:bCs/>
                <w:color w:val="000000" w:themeColor="text1"/>
                <w:sz w:val="24"/>
              </w:rPr>
              <w:t>附件</w:t>
            </w:r>
            <w:r>
              <w:rPr>
                <w:rFonts w:ascii="Times New Roman" w:hAnsi="Times New Roman" w:cs="Times New Roman"/>
                <w:bCs/>
                <w:color w:val="000000" w:themeColor="text1"/>
                <w:sz w:val="24"/>
              </w:rPr>
              <w:t xml:space="preserve"> 1 </w:t>
            </w:r>
            <w:r>
              <w:rPr>
                <w:rFonts w:hint="eastAsia" w:ascii="Times New Roman" w:hAnsi="Times New Roman" w:cs="Times New Roman"/>
                <w:bCs/>
                <w:color w:val="000000" w:themeColor="text1"/>
                <w:sz w:val="24"/>
              </w:rPr>
              <w:t>委托书</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hint="eastAsia" w:ascii="Times New Roman" w:hAnsi="宋体" w:cs="Times New Roman"/>
                <w:bCs/>
                <w:color w:val="000000" w:themeColor="text1"/>
                <w:sz w:val="24"/>
              </w:rPr>
              <w:t>附件</w:t>
            </w:r>
            <w:r>
              <w:rPr>
                <w:rFonts w:ascii="Times New Roman" w:hAnsi="宋体" w:cs="Times New Roman"/>
                <w:bCs/>
                <w:color w:val="000000" w:themeColor="text1"/>
                <w:sz w:val="24"/>
              </w:rPr>
              <w:t xml:space="preserve"> 2 </w:t>
            </w:r>
            <w:r>
              <w:rPr>
                <w:rFonts w:hint="eastAsia" w:ascii="Times New Roman" w:hAnsi="宋体" w:cs="Times New Roman"/>
                <w:bCs/>
                <w:color w:val="000000" w:themeColor="text1"/>
                <w:sz w:val="24"/>
              </w:rPr>
              <w:t>可研批复立项文件</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宋体" w:cs="Times New Roman"/>
                <w:bCs/>
                <w:color w:val="000000" w:themeColor="text1"/>
                <w:sz w:val="24"/>
              </w:rPr>
              <w:t>附件</w:t>
            </w:r>
            <w:r>
              <w:rPr>
                <w:rFonts w:ascii="Times New Roman" w:hAnsi="Times New Roman" w:cs="Times New Roman"/>
                <w:bCs/>
                <w:color w:val="000000" w:themeColor="text1"/>
                <w:sz w:val="24"/>
              </w:rPr>
              <w:t xml:space="preserve"> 3 </w:t>
            </w:r>
            <w:r>
              <w:rPr>
                <w:rFonts w:hint="eastAsia" w:ascii="Times New Roman" w:hAnsi="宋体" w:cs="Times New Roman"/>
                <w:bCs/>
                <w:color w:val="000000" w:themeColor="text1"/>
                <w:sz w:val="24"/>
              </w:rPr>
              <w:t>用地预审和选址意见</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宋体" w:cs="Times New Roman"/>
                <w:bCs/>
                <w:color w:val="000000" w:themeColor="text1"/>
                <w:sz w:val="24"/>
              </w:rPr>
              <w:t>附件</w:t>
            </w:r>
            <w:r>
              <w:rPr>
                <w:rFonts w:ascii="Times New Roman" w:hAnsi="Times New Roman" w:cs="Times New Roman"/>
                <w:bCs/>
                <w:color w:val="000000" w:themeColor="text1"/>
                <w:sz w:val="24"/>
              </w:rPr>
              <w:t xml:space="preserve"> 4 </w:t>
            </w:r>
            <w:r>
              <w:rPr>
                <w:rFonts w:hint="eastAsia" w:ascii="Times New Roman" w:hAnsi="宋体" w:cs="Times New Roman"/>
                <w:bCs/>
                <w:color w:val="000000" w:themeColor="text1"/>
                <w:sz w:val="24"/>
              </w:rPr>
              <w:t>现状噪声质量监测</w:t>
            </w:r>
          </w:p>
          <w:p>
            <w:pPr>
              <w:pStyle w:val="29"/>
              <w:spacing w:line="360" w:lineRule="auto"/>
              <w:ind w:left="105" w:leftChars="50" w:right="105" w:rightChars="50" w:firstLine="480" w:firstLineChars="200"/>
              <w:rPr>
                <w:rFonts w:ascii="Times New Roman" w:hAnsi="宋体" w:cs="Times New Roman"/>
                <w:bCs/>
                <w:color w:val="000000" w:themeColor="text1"/>
                <w:sz w:val="24"/>
              </w:rPr>
            </w:pPr>
            <w:r>
              <w:rPr>
                <w:rFonts w:hint="eastAsia" w:ascii="Times New Roman" w:hAnsi="宋体" w:cs="Times New Roman"/>
                <w:bCs/>
                <w:color w:val="000000" w:themeColor="text1"/>
                <w:sz w:val="24"/>
              </w:rPr>
              <w:t>附件 5 现状地表水质量监测</w:t>
            </w:r>
          </w:p>
          <w:p>
            <w:pPr>
              <w:pStyle w:val="29"/>
              <w:spacing w:line="360" w:lineRule="auto"/>
              <w:ind w:left="105" w:leftChars="50" w:right="105" w:rightChars="50" w:firstLine="480" w:firstLineChars="200"/>
              <w:rPr>
                <w:rFonts w:ascii="Times New Roman" w:hAnsi="宋体" w:cs="Times New Roman"/>
                <w:bCs/>
                <w:color w:val="000000" w:themeColor="text1"/>
                <w:sz w:val="24"/>
              </w:rPr>
            </w:pPr>
            <w:r>
              <w:rPr>
                <w:rFonts w:hint="eastAsia" w:ascii="Times New Roman" w:hAnsi="宋体" w:cs="Times New Roman"/>
                <w:bCs/>
                <w:color w:val="000000" w:themeColor="text1"/>
                <w:sz w:val="24"/>
              </w:rPr>
              <w:t>附件 6 饮用水水质监测报告</w:t>
            </w:r>
          </w:p>
          <w:p>
            <w:pPr>
              <w:pStyle w:val="29"/>
              <w:spacing w:line="360" w:lineRule="auto"/>
              <w:ind w:left="105" w:leftChars="50" w:right="105" w:rightChars="50" w:firstLine="480" w:firstLineChars="200"/>
              <w:rPr>
                <w:rFonts w:hint="default" w:ascii="Times New Roman" w:hAnsi="宋体" w:eastAsia="宋体" w:cs="Times New Roman"/>
                <w:bCs/>
                <w:color w:val="000000" w:themeColor="text1"/>
                <w:sz w:val="24"/>
                <w:lang w:val="en-US" w:eastAsia="zh-CN"/>
              </w:rPr>
            </w:pPr>
            <w:r>
              <w:rPr>
                <w:rFonts w:hint="eastAsia" w:ascii="Times New Roman" w:hAnsi="宋体" w:cs="Times New Roman"/>
                <w:bCs/>
                <w:color w:val="000000" w:themeColor="text1"/>
                <w:sz w:val="24"/>
              </w:rPr>
              <w:t xml:space="preserve">附件 7 </w:t>
            </w:r>
            <w:r>
              <w:rPr>
                <w:rFonts w:hint="eastAsia" w:ascii="Times New Roman" w:hAnsi="宋体" w:cs="Times New Roman"/>
                <w:bCs/>
                <w:color w:val="000000" w:themeColor="text1"/>
                <w:sz w:val="24"/>
                <w:lang w:val="en-US" w:eastAsia="zh-CN"/>
              </w:rPr>
              <w:t>本项目不在生态红线的复函</w:t>
            </w:r>
          </w:p>
          <w:p>
            <w:pPr>
              <w:pStyle w:val="29"/>
              <w:spacing w:line="360" w:lineRule="auto"/>
              <w:ind w:left="105" w:leftChars="50" w:right="105" w:rightChars="50" w:firstLine="480" w:firstLineChars="200"/>
              <w:rPr>
                <w:rFonts w:hint="default" w:ascii="Times New Roman" w:hAnsi="宋体" w:eastAsia="宋体" w:cs="Times New Roman"/>
                <w:bCs/>
                <w:color w:val="000000" w:themeColor="text1"/>
                <w:sz w:val="24"/>
                <w:lang w:val="en-US" w:eastAsia="zh-CN"/>
              </w:rPr>
            </w:pPr>
            <w:r>
              <w:rPr>
                <w:rFonts w:hint="eastAsia" w:ascii="Times New Roman" w:hAnsi="宋体" w:cs="Times New Roman"/>
                <w:bCs/>
                <w:color w:val="000000" w:themeColor="text1"/>
                <w:sz w:val="24"/>
                <w:lang w:val="en-US" w:eastAsia="zh-CN"/>
              </w:rPr>
              <w:t>附件 8 专家意见</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宋体" w:cs="Times New Roman"/>
                <w:bCs/>
                <w:color w:val="000000" w:themeColor="text1"/>
                <w:sz w:val="24"/>
              </w:rPr>
              <w:t>附图</w:t>
            </w:r>
            <w:r>
              <w:rPr>
                <w:rFonts w:ascii="Times New Roman" w:hAnsi="Times New Roman" w:cs="Times New Roman"/>
                <w:bCs/>
                <w:color w:val="000000" w:themeColor="text1"/>
                <w:sz w:val="24"/>
              </w:rPr>
              <w:t xml:space="preserve"> 1 </w:t>
            </w:r>
            <w:r>
              <w:rPr>
                <w:rFonts w:ascii="Times New Roman" w:hAnsi="宋体" w:cs="Times New Roman"/>
                <w:bCs/>
                <w:color w:val="000000" w:themeColor="text1"/>
                <w:sz w:val="24"/>
              </w:rPr>
              <w:t>项目地理位置图</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宋体" w:cs="Times New Roman"/>
                <w:bCs/>
                <w:color w:val="000000" w:themeColor="text1"/>
                <w:sz w:val="24"/>
              </w:rPr>
              <w:t>附图</w:t>
            </w:r>
            <w:r>
              <w:rPr>
                <w:rFonts w:ascii="Times New Roman" w:hAnsi="Times New Roman" w:cs="Times New Roman"/>
                <w:bCs/>
                <w:color w:val="000000" w:themeColor="text1"/>
                <w:sz w:val="24"/>
              </w:rPr>
              <w:t xml:space="preserve"> 2 </w:t>
            </w:r>
            <w:r>
              <w:rPr>
                <w:rFonts w:ascii="Times New Roman" w:hAnsi="宋体" w:cs="Times New Roman"/>
                <w:bCs/>
                <w:color w:val="000000" w:themeColor="text1"/>
                <w:sz w:val="24"/>
              </w:rPr>
              <w:t>外环境</w:t>
            </w:r>
            <w:r>
              <w:rPr>
                <w:rFonts w:hint="eastAsia" w:ascii="Times New Roman" w:hAnsi="宋体" w:cs="Times New Roman"/>
                <w:bCs/>
                <w:color w:val="000000" w:themeColor="text1"/>
                <w:sz w:val="24"/>
              </w:rPr>
              <w:t>及监测布点</w:t>
            </w:r>
            <w:r>
              <w:rPr>
                <w:rFonts w:ascii="Times New Roman" w:hAnsi="宋体" w:cs="Times New Roman"/>
                <w:bCs/>
                <w:color w:val="000000" w:themeColor="text1"/>
                <w:sz w:val="24"/>
              </w:rPr>
              <w:t>图</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宋体" w:cs="Times New Roman"/>
                <w:bCs/>
                <w:color w:val="000000" w:themeColor="text1"/>
                <w:sz w:val="24"/>
              </w:rPr>
              <w:t>附图</w:t>
            </w:r>
            <w:r>
              <w:rPr>
                <w:rFonts w:ascii="Times New Roman" w:hAnsi="Times New Roman" w:cs="Times New Roman"/>
                <w:bCs/>
                <w:color w:val="000000" w:themeColor="text1"/>
                <w:sz w:val="24"/>
              </w:rPr>
              <w:t xml:space="preserve"> 3 </w:t>
            </w:r>
            <w:r>
              <w:rPr>
                <w:rFonts w:hint="eastAsia" w:ascii="Times New Roman" w:hAnsi="Times New Roman" w:cs="Times New Roman"/>
                <w:bCs/>
                <w:color w:val="000000" w:themeColor="text1"/>
                <w:sz w:val="24"/>
              </w:rPr>
              <w:t>工程平面布置图</w:t>
            </w:r>
          </w:p>
          <w:p>
            <w:pPr>
              <w:pStyle w:val="29"/>
              <w:spacing w:line="360" w:lineRule="auto"/>
              <w:ind w:left="105" w:leftChars="50" w:right="105" w:rightChars="50" w:firstLine="480" w:firstLineChars="200"/>
              <w:rPr>
                <w:rFonts w:ascii="Times New Roman" w:hAnsi="宋体" w:cs="Times New Roman"/>
                <w:bCs/>
                <w:color w:val="000000" w:themeColor="text1"/>
                <w:sz w:val="24"/>
              </w:rPr>
            </w:pPr>
            <w:r>
              <w:rPr>
                <w:rFonts w:hint="eastAsia" w:ascii="Times New Roman" w:hAnsi="宋体" w:cs="Times New Roman"/>
                <w:bCs/>
                <w:color w:val="000000" w:themeColor="text1"/>
                <w:sz w:val="24"/>
              </w:rPr>
              <w:t>附图 4 项目外环境关系图</w:t>
            </w:r>
          </w:p>
          <w:p>
            <w:pPr>
              <w:pStyle w:val="29"/>
              <w:spacing w:line="360" w:lineRule="auto"/>
              <w:ind w:left="105" w:leftChars="50" w:right="105" w:rightChars="50" w:firstLine="480" w:firstLineChars="200"/>
              <w:rPr>
                <w:rFonts w:hint="default" w:ascii="Times New Roman" w:hAnsi="宋体" w:eastAsia="宋体" w:cs="Times New Roman"/>
                <w:bCs/>
                <w:color w:val="000000" w:themeColor="text1"/>
                <w:sz w:val="24"/>
                <w:lang w:val="en-US" w:eastAsia="zh-CN"/>
              </w:rPr>
            </w:pPr>
            <w:r>
              <w:rPr>
                <w:rFonts w:hint="eastAsia" w:ascii="Times New Roman" w:hAnsi="宋体" w:cs="Times New Roman"/>
                <w:bCs/>
                <w:color w:val="000000" w:themeColor="text1"/>
                <w:sz w:val="24"/>
                <w:lang w:val="en-US" w:eastAsia="zh-CN"/>
              </w:rPr>
              <w:t>附图 5 生态红线图</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宋体" w:cs="Times New Roman"/>
                <w:bCs/>
                <w:color w:val="000000" w:themeColor="text1"/>
                <w:sz w:val="24"/>
              </w:rPr>
              <w:t>二、如果本报告表不能说明项目产生的污染及对环境造成的影响，应进行专项评价。根据建设项目的特点和当地环境特征，应选下列</w:t>
            </w:r>
            <w:r>
              <w:rPr>
                <w:rFonts w:ascii="Times New Roman" w:hAnsi="Times New Roman" w:cs="Times New Roman"/>
                <w:bCs/>
                <w:color w:val="000000" w:themeColor="text1"/>
                <w:sz w:val="24"/>
              </w:rPr>
              <w:t xml:space="preserve"> 1 </w:t>
            </w:r>
            <w:r>
              <w:rPr>
                <w:rFonts w:ascii="Times New Roman" w:hAnsi="宋体" w:cs="Times New Roman"/>
                <w:bCs/>
                <w:color w:val="000000" w:themeColor="text1"/>
                <w:sz w:val="24"/>
              </w:rPr>
              <w:t>－</w:t>
            </w:r>
            <w:r>
              <w:rPr>
                <w:rFonts w:ascii="Times New Roman" w:hAnsi="Times New Roman" w:cs="Times New Roman"/>
                <w:bCs/>
                <w:color w:val="000000" w:themeColor="text1"/>
                <w:sz w:val="24"/>
              </w:rPr>
              <w:t xml:space="preserve"> 2 </w:t>
            </w:r>
            <w:r>
              <w:rPr>
                <w:rFonts w:ascii="Times New Roman" w:hAnsi="宋体" w:cs="Times New Roman"/>
                <w:bCs/>
                <w:color w:val="000000" w:themeColor="text1"/>
                <w:sz w:val="24"/>
              </w:rPr>
              <w:t>项进行专项评价。</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1 </w:t>
            </w:r>
            <w:r>
              <w:rPr>
                <w:rFonts w:ascii="Times New Roman" w:hAnsi="宋体" w:cs="Times New Roman"/>
                <w:bCs/>
                <w:color w:val="000000" w:themeColor="text1"/>
                <w:sz w:val="24"/>
              </w:rPr>
              <w:t>、大气环境影响专项评价</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2 </w:t>
            </w:r>
            <w:r>
              <w:rPr>
                <w:rFonts w:ascii="Times New Roman" w:hAnsi="宋体" w:cs="Times New Roman"/>
                <w:bCs/>
                <w:color w:val="000000" w:themeColor="text1"/>
                <w:sz w:val="24"/>
              </w:rPr>
              <w:t>、水环境影响专项评价（包括地表水和地下水）</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3 </w:t>
            </w:r>
            <w:r>
              <w:rPr>
                <w:rFonts w:ascii="Times New Roman" w:hAnsi="宋体" w:cs="Times New Roman"/>
                <w:bCs/>
                <w:color w:val="000000" w:themeColor="text1"/>
                <w:sz w:val="24"/>
              </w:rPr>
              <w:t>、生态影响专项评价</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4 </w:t>
            </w:r>
            <w:r>
              <w:rPr>
                <w:rFonts w:ascii="Times New Roman" w:hAnsi="宋体" w:cs="Times New Roman"/>
                <w:bCs/>
                <w:color w:val="000000" w:themeColor="text1"/>
                <w:sz w:val="24"/>
              </w:rPr>
              <w:t>、声影响专项评价</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5 </w:t>
            </w:r>
            <w:r>
              <w:rPr>
                <w:rFonts w:ascii="Times New Roman" w:hAnsi="宋体" w:cs="Times New Roman"/>
                <w:bCs/>
                <w:color w:val="000000" w:themeColor="text1"/>
                <w:sz w:val="24"/>
              </w:rPr>
              <w:t>、土壤影响专项评价</w:t>
            </w:r>
          </w:p>
          <w:p>
            <w:pPr>
              <w:pStyle w:val="29"/>
              <w:spacing w:line="360" w:lineRule="auto"/>
              <w:ind w:left="105" w:leftChars="50" w:right="105" w:rightChars="50"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6 </w:t>
            </w:r>
            <w:r>
              <w:rPr>
                <w:rFonts w:ascii="Times New Roman" w:hAnsi="宋体" w:cs="Times New Roman"/>
                <w:bCs/>
                <w:color w:val="000000" w:themeColor="text1"/>
                <w:sz w:val="24"/>
              </w:rPr>
              <w:t>、固体废弃物影响专项评价</w:t>
            </w:r>
          </w:p>
          <w:p>
            <w:pPr>
              <w:pStyle w:val="19"/>
              <w:spacing w:before="0" w:line="360" w:lineRule="auto"/>
              <w:ind w:left="105" w:leftChars="50" w:right="105" w:rightChars="50" w:firstLine="480" w:firstLineChars="200"/>
              <w:rPr>
                <w:rFonts w:ascii="Times New Roman" w:hAnsi="Times New Roman" w:cs="Times New Roman"/>
                <w:color w:val="000000" w:themeColor="text1"/>
              </w:rPr>
            </w:pPr>
            <w:r>
              <w:rPr>
                <w:rFonts w:ascii="Times New Roman" w:hAnsi="宋体" w:cs="Times New Roman"/>
                <w:bCs/>
                <w:color w:val="000000" w:themeColor="text1"/>
              </w:rPr>
              <w:t>以上专项评价未包括的可另列专项，专项评价按照《环境影响评价技术导则》中的要求进行。</w:t>
            </w:r>
          </w:p>
          <w:p>
            <w:pPr>
              <w:spacing w:line="360" w:lineRule="auto"/>
              <w:ind w:left="105" w:leftChars="50" w:right="105" w:rightChars="50" w:firstLine="480" w:firstLineChars="200"/>
              <w:rPr>
                <w:color w:val="000000" w:themeColor="text1"/>
                <w:sz w:val="24"/>
              </w:rPr>
            </w:pPr>
          </w:p>
          <w:p>
            <w:pPr>
              <w:widowControl/>
              <w:jc w:val="left"/>
              <w:rPr>
                <w:rFonts w:ascii="Times New Roman" w:hAnsi="Times New Roman" w:cs="Times New Roman"/>
                <w:color w:val="000000" w:themeColor="text1"/>
              </w:rPr>
            </w:pPr>
          </w:p>
        </w:tc>
      </w:tr>
    </w:tbl>
    <w:p>
      <w:pPr>
        <w:widowControl/>
        <w:jc w:val="left"/>
        <w:rPr>
          <w:rFonts w:ascii="Times New Roman" w:hAnsi="Times New Roman" w:cs="Times New Roman"/>
          <w:color w:val="000000" w:themeColor="text1"/>
        </w:rPr>
      </w:pPr>
    </w:p>
    <w:sectPr>
      <w:footerReference r:id="rId4" w:type="default"/>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t">
    <w:altName w:val="Times New Roman"/>
    <w:panose1 w:val="00000000000000000000"/>
    <w:charset w:val="00"/>
    <w:family w:val="roman"/>
    <w:pitch w:val="default"/>
    <w:sig w:usb0="00000000" w:usb1="00000000" w:usb2="00000804" w:usb3="00000000" w:csb0="06270001" w:csb1="0062EF54"/>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fldChar w:fldCharType="begin"/>
    </w:r>
    <w:r>
      <w:instrText xml:space="preserve"> PAGE   \* MERGEFORMAT </w:instrText>
    </w:r>
    <w:r>
      <w:fldChar w:fldCharType="separate"/>
    </w:r>
    <w:r>
      <w:rPr>
        <w:lang w:val="zh-CN"/>
      </w:rPr>
      <w:t>54</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8"/>
      </w:rPr>
    </w:pPr>
    <w:r>
      <w:fldChar w:fldCharType="begin"/>
    </w:r>
    <w:r>
      <w:rPr>
        <w:rStyle w:val="58"/>
      </w:rPr>
      <w:instrText xml:space="preserve">PAGE  </w:instrText>
    </w:r>
    <w:r>
      <w:fldChar w:fldCharType="separate"/>
    </w:r>
    <w:r>
      <w:rPr>
        <w:rStyle w:val="58"/>
      </w:rPr>
      <w:t>72</w:t>
    </w:r>
    <w:r>
      <w:fldChar w:fldCharType="end"/>
    </w:r>
  </w:p>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8"/>
      </w:rPr>
    </w:pPr>
    <w:r>
      <w:fldChar w:fldCharType="begin"/>
    </w:r>
    <w:r>
      <w:rPr>
        <w:rStyle w:val="58"/>
      </w:rPr>
      <w:instrText xml:space="preserve">PAGE  </w:instrText>
    </w:r>
    <w:r>
      <w:fldChar w:fldCharType="separate"/>
    </w:r>
    <w:r>
      <w:rPr>
        <w:rStyle w:val="58"/>
      </w:rPr>
      <w:t>73</w:t>
    </w:r>
    <w:r>
      <w:fldChar w:fldCharType="end"/>
    </w:r>
  </w:p>
  <w:p>
    <w:pPr>
      <w:pStyle w:val="3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9BB8B9"/>
    <w:multiLevelType w:val="singleLevel"/>
    <w:tmpl w:val="A79BB8B9"/>
    <w:lvl w:ilvl="0" w:tentative="0">
      <w:start w:val="1"/>
      <w:numFmt w:val="decimal"/>
      <w:suff w:val="nothing"/>
      <w:lvlText w:val="（%1）"/>
      <w:lvlJc w:val="left"/>
    </w:lvl>
  </w:abstractNum>
  <w:abstractNum w:abstractNumId="1">
    <w:nsid w:val="C036DA97"/>
    <w:multiLevelType w:val="singleLevel"/>
    <w:tmpl w:val="C036DA97"/>
    <w:lvl w:ilvl="0" w:tentative="0">
      <w:start w:val="1"/>
      <w:numFmt w:val="decimal"/>
      <w:suff w:val="nothing"/>
      <w:lvlText w:val="（%1）"/>
      <w:lvlJc w:val="left"/>
    </w:lvl>
  </w:abstractNum>
  <w:abstractNum w:abstractNumId="2">
    <w:nsid w:val="CDA95C2E"/>
    <w:multiLevelType w:val="singleLevel"/>
    <w:tmpl w:val="CDA95C2E"/>
    <w:lvl w:ilvl="0" w:tentative="0">
      <w:start w:val="1"/>
      <w:numFmt w:val="decimal"/>
      <w:suff w:val="nothing"/>
      <w:lvlText w:val="（%1）"/>
      <w:lvlJc w:val="left"/>
    </w:lvl>
  </w:abstractNum>
  <w:abstractNum w:abstractNumId="3">
    <w:nsid w:val="D63CC7AD"/>
    <w:multiLevelType w:val="singleLevel"/>
    <w:tmpl w:val="D63CC7AD"/>
    <w:lvl w:ilvl="0" w:tentative="0">
      <w:start w:val="6"/>
      <w:numFmt w:val="chineseCounting"/>
      <w:suff w:val="nothing"/>
      <w:lvlText w:val="（%1）"/>
      <w:lvlJc w:val="left"/>
      <w:rPr>
        <w:rFonts w:hint="eastAsia"/>
      </w:rPr>
    </w:lvl>
  </w:abstractNum>
  <w:abstractNum w:abstractNumId="4">
    <w:nsid w:val="0A1F9EB1"/>
    <w:multiLevelType w:val="singleLevel"/>
    <w:tmpl w:val="0A1F9EB1"/>
    <w:lvl w:ilvl="0" w:tentative="0">
      <w:start w:val="1"/>
      <w:numFmt w:val="decimal"/>
      <w:suff w:val="nothing"/>
      <w:lvlText w:val="%1、"/>
      <w:lvlJc w:val="left"/>
    </w:lvl>
  </w:abstractNum>
  <w:abstractNum w:abstractNumId="5">
    <w:nsid w:val="3141492F"/>
    <w:multiLevelType w:val="multilevel"/>
    <w:tmpl w:val="3141492F"/>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6A33C1E"/>
    <w:multiLevelType w:val="multilevel"/>
    <w:tmpl w:val="66A33C1E"/>
    <w:lvl w:ilvl="0" w:tentative="0">
      <w:start w:val="1"/>
      <w:numFmt w:val="decimal"/>
      <w:lvlText w:val="%1、"/>
      <w:lvlJc w:val="left"/>
      <w:pPr>
        <w:ind w:left="375" w:hanging="375"/>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D9C45D3"/>
    <w:multiLevelType w:val="multilevel"/>
    <w:tmpl w:val="6D9C45D3"/>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 w:numId="2">
    <w:abstractNumId w:val="2"/>
  </w:num>
  <w:num w:numId="3">
    <w:abstractNumId w:val="1"/>
  </w:num>
  <w:num w:numId="4">
    <w:abstractNumId w:val="6"/>
  </w:num>
  <w:num w:numId="5">
    <w:abstractNumId w:val="5"/>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28AB"/>
    <w:rsid w:val="000038B3"/>
    <w:rsid w:val="000042F0"/>
    <w:rsid w:val="00004546"/>
    <w:rsid w:val="00005359"/>
    <w:rsid w:val="00005716"/>
    <w:rsid w:val="0000687D"/>
    <w:rsid w:val="0000743B"/>
    <w:rsid w:val="00010C13"/>
    <w:rsid w:val="0001117E"/>
    <w:rsid w:val="00012BAD"/>
    <w:rsid w:val="00013D48"/>
    <w:rsid w:val="000143D8"/>
    <w:rsid w:val="00014622"/>
    <w:rsid w:val="00015A4A"/>
    <w:rsid w:val="00015A95"/>
    <w:rsid w:val="00015C0F"/>
    <w:rsid w:val="00016948"/>
    <w:rsid w:val="000201FC"/>
    <w:rsid w:val="00021627"/>
    <w:rsid w:val="00021A9A"/>
    <w:rsid w:val="00022EDC"/>
    <w:rsid w:val="00022EF8"/>
    <w:rsid w:val="00024F73"/>
    <w:rsid w:val="00024FE8"/>
    <w:rsid w:val="00026537"/>
    <w:rsid w:val="00027296"/>
    <w:rsid w:val="00027A91"/>
    <w:rsid w:val="00031F19"/>
    <w:rsid w:val="0003383C"/>
    <w:rsid w:val="0003390B"/>
    <w:rsid w:val="0003392D"/>
    <w:rsid w:val="00034037"/>
    <w:rsid w:val="0003403F"/>
    <w:rsid w:val="000346AD"/>
    <w:rsid w:val="0003637D"/>
    <w:rsid w:val="00036444"/>
    <w:rsid w:val="000365B1"/>
    <w:rsid w:val="000401FF"/>
    <w:rsid w:val="0004148C"/>
    <w:rsid w:val="0004148F"/>
    <w:rsid w:val="000436BA"/>
    <w:rsid w:val="00043A9F"/>
    <w:rsid w:val="00044F8F"/>
    <w:rsid w:val="000466E2"/>
    <w:rsid w:val="000471A1"/>
    <w:rsid w:val="000478E1"/>
    <w:rsid w:val="0005067A"/>
    <w:rsid w:val="00050E61"/>
    <w:rsid w:val="000511EE"/>
    <w:rsid w:val="0005168A"/>
    <w:rsid w:val="00051B0E"/>
    <w:rsid w:val="0005288D"/>
    <w:rsid w:val="00057B2B"/>
    <w:rsid w:val="000605E6"/>
    <w:rsid w:val="00063BA7"/>
    <w:rsid w:val="0006673F"/>
    <w:rsid w:val="00067D6E"/>
    <w:rsid w:val="0007073D"/>
    <w:rsid w:val="00070E51"/>
    <w:rsid w:val="00071DB9"/>
    <w:rsid w:val="000722D9"/>
    <w:rsid w:val="000725C9"/>
    <w:rsid w:val="00073D9C"/>
    <w:rsid w:val="00076BA5"/>
    <w:rsid w:val="00077F31"/>
    <w:rsid w:val="00077F78"/>
    <w:rsid w:val="0008289F"/>
    <w:rsid w:val="00083C51"/>
    <w:rsid w:val="00084EF8"/>
    <w:rsid w:val="000858F4"/>
    <w:rsid w:val="0008732C"/>
    <w:rsid w:val="000879AE"/>
    <w:rsid w:val="00087F54"/>
    <w:rsid w:val="00090C7B"/>
    <w:rsid w:val="00091260"/>
    <w:rsid w:val="00091A21"/>
    <w:rsid w:val="00091AE7"/>
    <w:rsid w:val="00093CA5"/>
    <w:rsid w:val="0009453C"/>
    <w:rsid w:val="000950C8"/>
    <w:rsid w:val="00095AED"/>
    <w:rsid w:val="000960FB"/>
    <w:rsid w:val="00096663"/>
    <w:rsid w:val="00097404"/>
    <w:rsid w:val="000A1BC0"/>
    <w:rsid w:val="000A3586"/>
    <w:rsid w:val="000A35D1"/>
    <w:rsid w:val="000A4462"/>
    <w:rsid w:val="000A5B7C"/>
    <w:rsid w:val="000A7247"/>
    <w:rsid w:val="000A72DE"/>
    <w:rsid w:val="000A7E48"/>
    <w:rsid w:val="000B0043"/>
    <w:rsid w:val="000B307A"/>
    <w:rsid w:val="000B349C"/>
    <w:rsid w:val="000B3604"/>
    <w:rsid w:val="000B3902"/>
    <w:rsid w:val="000B448B"/>
    <w:rsid w:val="000B5D5E"/>
    <w:rsid w:val="000B61EF"/>
    <w:rsid w:val="000B76EA"/>
    <w:rsid w:val="000B7AD0"/>
    <w:rsid w:val="000B7F19"/>
    <w:rsid w:val="000C0798"/>
    <w:rsid w:val="000C2E71"/>
    <w:rsid w:val="000C30BD"/>
    <w:rsid w:val="000C3B0D"/>
    <w:rsid w:val="000C4795"/>
    <w:rsid w:val="000C4AAA"/>
    <w:rsid w:val="000C66CF"/>
    <w:rsid w:val="000C6EC0"/>
    <w:rsid w:val="000D03A9"/>
    <w:rsid w:val="000D3A1A"/>
    <w:rsid w:val="000D40BF"/>
    <w:rsid w:val="000D634F"/>
    <w:rsid w:val="000E1960"/>
    <w:rsid w:val="000E1D9A"/>
    <w:rsid w:val="000E2923"/>
    <w:rsid w:val="000E2FFD"/>
    <w:rsid w:val="000E4F97"/>
    <w:rsid w:val="000E77A3"/>
    <w:rsid w:val="000F0F8B"/>
    <w:rsid w:val="000F2072"/>
    <w:rsid w:val="000F3066"/>
    <w:rsid w:val="000F3642"/>
    <w:rsid w:val="000F4369"/>
    <w:rsid w:val="000F4701"/>
    <w:rsid w:val="000F4B3A"/>
    <w:rsid w:val="000F54E9"/>
    <w:rsid w:val="000F5EC4"/>
    <w:rsid w:val="000F749B"/>
    <w:rsid w:val="00100777"/>
    <w:rsid w:val="001017E4"/>
    <w:rsid w:val="0010181C"/>
    <w:rsid w:val="0010192C"/>
    <w:rsid w:val="001021A3"/>
    <w:rsid w:val="001024F3"/>
    <w:rsid w:val="00104D02"/>
    <w:rsid w:val="001070F9"/>
    <w:rsid w:val="00107536"/>
    <w:rsid w:val="001119FB"/>
    <w:rsid w:val="001125BE"/>
    <w:rsid w:val="00113F0E"/>
    <w:rsid w:val="001154E2"/>
    <w:rsid w:val="001161AB"/>
    <w:rsid w:val="00116A34"/>
    <w:rsid w:val="00116CDE"/>
    <w:rsid w:val="00117BB1"/>
    <w:rsid w:val="00120914"/>
    <w:rsid w:val="00123594"/>
    <w:rsid w:val="00124A35"/>
    <w:rsid w:val="0012579D"/>
    <w:rsid w:val="00125FB0"/>
    <w:rsid w:val="0012665D"/>
    <w:rsid w:val="0013117D"/>
    <w:rsid w:val="001316FC"/>
    <w:rsid w:val="00131844"/>
    <w:rsid w:val="00131D48"/>
    <w:rsid w:val="001324C9"/>
    <w:rsid w:val="001325C1"/>
    <w:rsid w:val="00132C54"/>
    <w:rsid w:val="0013455B"/>
    <w:rsid w:val="00135FA1"/>
    <w:rsid w:val="001363B1"/>
    <w:rsid w:val="00137A93"/>
    <w:rsid w:val="00137D39"/>
    <w:rsid w:val="00140358"/>
    <w:rsid w:val="00140794"/>
    <w:rsid w:val="001407AE"/>
    <w:rsid w:val="001408D7"/>
    <w:rsid w:val="00145C0D"/>
    <w:rsid w:val="00145CD8"/>
    <w:rsid w:val="001473D5"/>
    <w:rsid w:val="0015115B"/>
    <w:rsid w:val="00151BEB"/>
    <w:rsid w:val="0015421F"/>
    <w:rsid w:val="001551BE"/>
    <w:rsid w:val="001560F1"/>
    <w:rsid w:val="00156CB3"/>
    <w:rsid w:val="00160291"/>
    <w:rsid w:val="0016047E"/>
    <w:rsid w:val="00160CA6"/>
    <w:rsid w:val="001621FA"/>
    <w:rsid w:val="001629E4"/>
    <w:rsid w:val="001632E5"/>
    <w:rsid w:val="00163707"/>
    <w:rsid w:val="001639E1"/>
    <w:rsid w:val="00163EE6"/>
    <w:rsid w:val="0016426E"/>
    <w:rsid w:val="001647DB"/>
    <w:rsid w:val="00166758"/>
    <w:rsid w:val="00170173"/>
    <w:rsid w:val="0017028C"/>
    <w:rsid w:val="00171888"/>
    <w:rsid w:val="00172A27"/>
    <w:rsid w:val="00173E0B"/>
    <w:rsid w:val="00174666"/>
    <w:rsid w:val="001762DC"/>
    <w:rsid w:val="00176788"/>
    <w:rsid w:val="00176882"/>
    <w:rsid w:val="00177533"/>
    <w:rsid w:val="00181E78"/>
    <w:rsid w:val="00182B44"/>
    <w:rsid w:val="00182F23"/>
    <w:rsid w:val="00183149"/>
    <w:rsid w:val="00183890"/>
    <w:rsid w:val="001838A8"/>
    <w:rsid w:val="00183CF9"/>
    <w:rsid w:val="001859C6"/>
    <w:rsid w:val="00185D27"/>
    <w:rsid w:val="00186591"/>
    <w:rsid w:val="00187AF3"/>
    <w:rsid w:val="00190DB0"/>
    <w:rsid w:val="001913FA"/>
    <w:rsid w:val="0019295D"/>
    <w:rsid w:val="00193073"/>
    <w:rsid w:val="00193AA3"/>
    <w:rsid w:val="0019456C"/>
    <w:rsid w:val="001947C4"/>
    <w:rsid w:val="00195591"/>
    <w:rsid w:val="00196595"/>
    <w:rsid w:val="001969EB"/>
    <w:rsid w:val="001974A7"/>
    <w:rsid w:val="001A09F3"/>
    <w:rsid w:val="001A0E9C"/>
    <w:rsid w:val="001A337F"/>
    <w:rsid w:val="001A565B"/>
    <w:rsid w:val="001A5ADC"/>
    <w:rsid w:val="001A5D51"/>
    <w:rsid w:val="001A6185"/>
    <w:rsid w:val="001A64F8"/>
    <w:rsid w:val="001A7466"/>
    <w:rsid w:val="001A7D75"/>
    <w:rsid w:val="001B16FA"/>
    <w:rsid w:val="001B1F11"/>
    <w:rsid w:val="001B4D7D"/>
    <w:rsid w:val="001B5833"/>
    <w:rsid w:val="001C061A"/>
    <w:rsid w:val="001C063B"/>
    <w:rsid w:val="001C064D"/>
    <w:rsid w:val="001C1E2A"/>
    <w:rsid w:val="001C40BC"/>
    <w:rsid w:val="001C487E"/>
    <w:rsid w:val="001C6CED"/>
    <w:rsid w:val="001C7AAD"/>
    <w:rsid w:val="001D0288"/>
    <w:rsid w:val="001D25CB"/>
    <w:rsid w:val="001D5CC8"/>
    <w:rsid w:val="001E0475"/>
    <w:rsid w:val="001E16D1"/>
    <w:rsid w:val="001E2928"/>
    <w:rsid w:val="001E3623"/>
    <w:rsid w:val="001E39FD"/>
    <w:rsid w:val="001E6C86"/>
    <w:rsid w:val="001E6D3D"/>
    <w:rsid w:val="001E6E80"/>
    <w:rsid w:val="001E7317"/>
    <w:rsid w:val="001E750E"/>
    <w:rsid w:val="001E7B08"/>
    <w:rsid w:val="001F044C"/>
    <w:rsid w:val="001F2281"/>
    <w:rsid w:val="001F47C6"/>
    <w:rsid w:val="001F59E6"/>
    <w:rsid w:val="001F714B"/>
    <w:rsid w:val="002001D9"/>
    <w:rsid w:val="00201F72"/>
    <w:rsid w:val="00205A1D"/>
    <w:rsid w:val="00205CD9"/>
    <w:rsid w:val="00207054"/>
    <w:rsid w:val="0020790D"/>
    <w:rsid w:val="00207D4E"/>
    <w:rsid w:val="0021605B"/>
    <w:rsid w:val="002162F1"/>
    <w:rsid w:val="00217D91"/>
    <w:rsid w:val="00220C72"/>
    <w:rsid w:val="00221219"/>
    <w:rsid w:val="00222156"/>
    <w:rsid w:val="00226701"/>
    <w:rsid w:val="00226D4D"/>
    <w:rsid w:val="00226E37"/>
    <w:rsid w:val="002272C6"/>
    <w:rsid w:val="002305FD"/>
    <w:rsid w:val="00231519"/>
    <w:rsid w:val="00231ACC"/>
    <w:rsid w:val="00232E25"/>
    <w:rsid w:val="00233D0C"/>
    <w:rsid w:val="0023400B"/>
    <w:rsid w:val="00234AF0"/>
    <w:rsid w:val="00236D01"/>
    <w:rsid w:val="00237415"/>
    <w:rsid w:val="00237A47"/>
    <w:rsid w:val="002402CD"/>
    <w:rsid w:val="00244B26"/>
    <w:rsid w:val="00244C08"/>
    <w:rsid w:val="00245A8E"/>
    <w:rsid w:val="00245D87"/>
    <w:rsid w:val="002472E1"/>
    <w:rsid w:val="00247FB8"/>
    <w:rsid w:val="00251B89"/>
    <w:rsid w:val="00252818"/>
    <w:rsid w:val="0025314D"/>
    <w:rsid w:val="0025462B"/>
    <w:rsid w:val="00254E83"/>
    <w:rsid w:val="00255D93"/>
    <w:rsid w:val="00256836"/>
    <w:rsid w:val="00256BF5"/>
    <w:rsid w:val="00260480"/>
    <w:rsid w:val="0026113E"/>
    <w:rsid w:val="002640D9"/>
    <w:rsid w:val="002676E1"/>
    <w:rsid w:val="00270EEF"/>
    <w:rsid w:val="00272A2F"/>
    <w:rsid w:val="00272CAC"/>
    <w:rsid w:val="002738C2"/>
    <w:rsid w:val="0027399E"/>
    <w:rsid w:val="0027490C"/>
    <w:rsid w:val="00275189"/>
    <w:rsid w:val="00275AC9"/>
    <w:rsid w:val="00276789"/>
    <w:rsid w:val="00276C0C"/>
    <w:rsid w:val="00276E47"/>
    <w:rsid w:val="00281B1A"/>
    <w:rsid w:val="0028295D"/>
    <w:rsid w:val="00284EF3"/>
    <w:rsid w:val="00285D26"/>
    <w:rsid w:val="002864A1"/>
    <w:rsid w:val="00286F48"/>
    <w:rsid w:val="00287491"/>
    <w:rsid w:val="00291C08"/>
    <w:rsid w:val="002929DB"/>
    <w:rsid w:val="00293133"/>
    <w:rsid w:val="0029461A"/>
    <w:rsid w:val="00295811"/>
    <w:rsid w:val="002967FE"/>
    <w:rsid w:val="00296AE7"/>
    <w:rsid w:val="00296BB1"/>
    <w:rsid w:val="002A06CF"/>
    <w:rsid w:val="002A0B5C"/>
    <w:rsid w:val="002A0CA5"/>
    <w:rsid w:val="002A11B1"/>
    <w:rsid w:val="002A1988"/>
    <w:rsid w:val="002A20D1"/>
    <w:rsid w:val="002A246D"/>
    <w:rsid w:val="002A2C72"/>
    <w:rsid w:val="002A3D18"/>
    <w:rsid w:val="002A63DF"/>
    <w:rsid w:val="002A701F"/>
    <w:rsid w:val="002B2BFA"/>
    <w:rsid w:val="002B2CEE"/>
    <w:rsid w:val="002B302C"/>
    <w:rsid w:val="002B3209"/>
    <w:rsid w:val="002B39F3"/>
    <w:rsid w:val="002B3B77"/>
    <w:rsid w:val="002B435D"/>
    <w:rsid w:val="002B4D92"/>
    <w:rsid w:val="002B4EE6"/>
    <w:rsid w:val="002B647A"/>
    <w:rsid w:val="002B678C"/>
    <w:rsid w:val="002B72D5"/>
    <w:rsid w:val="002C0406"/>
    <w:rsid w:val="002C0498"/>
    <w:rsid w:val="002C0B24"/>
    <w:rsid w:val="002C0B43"/>
    <w:rsid w:val="002C0CD1"/>
    <w:rsid w:val="002C10FC"/>
    <w:rsid w:val="002C3328"/>
    <w:rsid w:val="002C3B01"/>
    <w:rsid w:val="002C531C"/>
    <w:rsid w:val="002C681B"/>
    <w:rsid w:val="002C6AD0"/>
    <w:rsid w:val="002C7688"/>
    <w:rsid w:val="002C7BD1"/>
    <w:rsid w:val="002D0195"/>
    <w:rsid w:val="002D028E"/>
    <w:rsid w:val="002D03A6"/>
    <w:rsid w:val="002D3800"/>
    <w:rsid w:val="002D527C"/>
    <w:rsid w:val="002D5781"/>
    <w:rsid w:val="002D6689"/>
    <w:rsid w:val="002D68E3"/>
    <w:rsid w:val="002D6BB1"/>
    <w:rsid w:val="002D7369"/>
    <w:rsid w:val="002E047E"/>
    <w:rsid w:val="002E09A1"/>
    <w:rsid w:val="002E0BA5"/>
    <w:rsid w:val="002E23C8"/>
    <w:rsid w:val="002E349B"/>
    <w:rsid w:val="002E3824"/>
    <w:rsid w:val="002E3B02"/>
    <w:rsid w:val="002E41F1"/>
    <w:rsid w:val="002E4FA2"/>
    <w:rsid w:val="002E60B0"/>
    <w:rsid w:val="002E65CA"/>
    <w:rsid w:val="002E662C"/>
    <w:rsid w:val="002E6AA3"/>
    <w:rsid w:val="002E723C"/>
    <w:rsid w:val="002E74A9"/>
    <w:rsid w:val="002E7941"/>
    <w:rsid w:val="002E7A06"/>
    <w:rsid w:val="002F02AD"/>
    <w:rsid w:val="002F254E"/>
    <w:rsid w:val="002F6AAE"/>
    <w:rsid w:val="002F7D86"/>
    <w:rsid w:val="00301783"/>
    <w:rsid w:val="0030207F"/>
    <w:rsid w:val="003033C2"/>
    <w:rsid w:val="003042B4"/>
    <w:rsid w:val="00304613"/>
    <w:rsid w:val="003053B6"/>
    <w:rsid w:val="00307071"/>
    <w:rsid w:val="003110FF"/>
    <w:rsid w:val="00312251"/>
    <w:rsid w:val="00312F65"/>
    <w:rsid w:val="003138E8"/>
    <w:rsid w:val="00313A53"/>
    <w:rsid w:val="00314522"/>
    <w:rsid w:val="003168B5"/>
    <w:rsid w:val="003170D4"/>
    <w:rsid w:val="00317D57"/>
    <w:rsid w:val="00320B2C"/>
    <w:rsid w:val="0032149F"/>
    <w:rsid w:val="00323183"/>
    <w:rsid w:val="00323322"/>
    <w:rsid w:val="003242F7"/>
    <w:rsid w:val="00324C3F"/>
    <w:rsid w:val="003261ED"/>
    <w:rsid w:val="00326701"/>
    <w:rsid w:val="00326DDC"/>
    <w:rsid w:val="00327417"/>
    <w:rsid w:val="0032752E"/>
    <w:rsid w:val="00331D36"/>
    <w:rsid w:val="003334A5"/>
    <w:rsid w:val="00333F5E"/>
    <w:rsid w:val="00334D7C"/>
    <w:rsid w:val="003368B3"/>
    <w:rsid w:val="00337770"/>
    <w:rsid w:val="00340D76"/>
    <w:rsid w:val="00340F6B"/>
    <w:rsid w:val="00342BB8"/>
    <w:rsid w:val="00343AA2"/>
    <w:rsid w:val="00347CC6"/>
    <w:rsid w:val="00347CD4"/>
    <w:rsid w:val="00350988"/>
    <w:rsid w:val="003513BB"/>
    <w:rsid w:val="00352EA3"/>
    <w:rsid w:val="00353A68"/>
    <w:rsid w:val="003546C7"/>
    <w:rsid w:val="00357499"/>
    <w:rsid w:val="00360B6C"/>
    <w:rsid w:val="00361188"/>
    <w:rsid w:val="00361D12"/>
    <w:rsid w:val="003628BC"/>
    <w:rsid w:val="003641C0"/>
    <w:rsid w:val="00364769"/>
    <w:rsid w:val="00366750"/>
    <w:rsid w:val="00372F27"/>
    <w:rsid w:val="00373B1B"/>
    <w:rsid w:val="00374165"/>
    <w:rsid w:val="003754E7"/>
    <w:rsid w:val="00375571"/>
    <w:rsid w:val="00375BF2"/>
    <w:rsid w:val="00377DD3"/>
    <w:rsid w:val="00381C10"/>
    <w:rsid w:val="00385123"/>
    <w:rsid w:val="003854B7"/>
    <w:rsid w:val="00390B65"/>
    <w:rsid w:val="00390C34"/>
    <w:rsid w:val="0039157F"/>
    <w:rsid w:val="00391783"/>
    <w:rsid w:val="0039521E"/>
    <w:rsid w:val="00395CE1"/>
    <w:rsid w:val="003965DE"/>
    <w:rsid w:val="00397A85"/>
    <w:rsid w:val="003A0018"/>
    <w:rsid w:val="003A0D59"/>
    <w:rsid w:val="003A2D65"/>
    <w:rsid w:val="003B1424"/>
    <w:rsid w:val="003B1881"/>
    <w:rsid w:val="003B2556"/>
    <w:rsid w:val="003B3BFB"/>
    <w:rsid w:val="003B44F0"/>
    <w:rsid w:val="003B5645"/>
    <w:rsid w:val="003B5DF2"/>
    <w:rsid w:val="003B6B54"/>
    <w:rsid w:val="003C099B"/>
    <w:rsid w:val="003C0DF5"/>
    <w:rsid w:val="003C20DA"/>
    <w:rsid w:val="003C279D"/>
    <w:rsid w:val="003C2D53"/>
    <w:rsid w:val="003C3582"/>
    <w:rsid w:val="003C3B7C"/>
    <w:rsid w:val="003C6819"/>
    <w:rsid w:val="003D0037"/>
    <w:rsid w:val="003D10AD"/>
    <w:rsid w:val="003D20B5"/>
    <w:rsid w:val="003D36AF"/>
    <w:rsid w:val="003D3E14"/>
    <w:rsid w:val="003D53A6"/>
    <w:rsid w:val="003D7595"/>
    <w:rsid w:val="003E14A1"/>
    <w:rsid w:val="003E3067"/>
    <w:rsid w:val="003E3D5C"/>
    <w:rsid w:val="003E4A79"/>
    <w:rsid w:val="003E6686"/>
    <w:rsid w:val="003E67FD"/>
    <w:rsid w:val="003F04E6"/>
    <w:rsid w:val="003F1298"/>
    <w:rsid w:val="003F1B86"/>
    <w:rsid w:val="003F2762"/>
    <w:rsid w:val="003F2BFF"/>
    <w:rsid w:val="003F3388"/>
    <w:rsid w:val="003F5B8E"/>
    <w:rsid w:val="003F5FA2"/>
    <w:rsid w:val="003F6C8C"/>
    <w:rsid w:val="004024BB"/>
    <w:rsid w:val="00402B15"/>
    <w:rsid w:val="004038FA"/>
    <w:rsid w:val="00403CD1"/>
    <w:rsid w:val="0040439D"/>
    <w:rsid w:val="00404738"/>
    <w:rsid w:val="004047F8"/>
    <w:rsid w:val="00405D78"/>
    <w:rsid w:val="00406093"/>
    <w:rsid w:val="00407634"/>
    <w:rsid w:val="00407C65"/>
    <w:rsid w:val="00410399"/>
    <w:rsid w:val="00411531"/>
    <w:rsid w:val="00412BCA"/>
    <w:rsid w:val="00413E18"/>
    <w:rsid w:val="00414A92"/>
    <w:rsid w:val="00415B9A"/>
    <w:rsid w:val="004164BC"/>
    <w:rsid w:val="00416AD6"/>
    <w:rsid w:val="00417D71"/>
    <w:rsid w:val="00421205"/>
    <w:rsid w:val="00421796"/>
    <w:rsid w:val="00421B09"/>
    <w:rsid w:val="00421D5F"/>
    <w:rsid w:val="00421EC3"/>
    <w:rsid w:val="0042300D"/>
    <w:rsid w:val="004230B8"/>
    <w:rsid w:val="00423D9E"/>
    <w:rsid w:val="004241E4"/>
    <w:rsid w:val="00426DBC"/>
    <w:rsid w:val="00426E3A"/>
    <w:rsid w:val="00427598"/>
    <w:rsid w:val="004276BC"/>
    <w:rsid w:val="00427DDD"/>
    <w:rsid w:val="00433403"/>
    <w:rsid w:val="0043450A"/>
    <w:rsid w:val="0043458B"/>
    <w:rsid w:val="00434A1C"/>
    <w:rsid w:val="00435E48"/>
    <w:rsid w:val="004412C3"/>
    <w:rsid w:val="00441C1B"/>
    <w:rsid w:val="0044337D"/>
    <w:rsid w:val="00444A16"/>
    <w:rsid w:val="00447F47"/>
    <w:rsid w:val="00450D1A"/>
    <w:rsid w:val="00450FDB"/>
    <w:rsid w:val="00451A0A"/>
    <w:rsid w:val="00452E65"/>
    <w:rsid w:val="004543C8"/>
    <w:rsid w:val="00454581"/>
    <w:rsid w:val="00456E0B"/>
    <w:rsid w:val="00456F34"/>
    <w:rsid w:val="00457662"/>
    <w:rsid w:val="00457A9A"/>
    <w:rsid w:val="0046022A"/>
    <w:rsid w:val="004603D7"/>
    <w:rsid w:val="00460415"/>
    <w:rsid w:val="0046088D"/>
    <w:rsid w:val="0046119B"/>
    <w:rsid w:val="00462C8F"/>
    <w:rsid w:val="004643E2"/>
    <w:rsid w:val="00467261"/>
    <w:rsid w:val="004679E8"/>
    <w:rsid w:val="004706F0"/>
    <w:rsid w:val="00471AB1"/>
    <w:rsid w:val="00471E80"/>
    <w:rsid w:val="00473162"/>
    <w:rsid w:val="00475C08"/>
    <w:rsid w:val="00476006"/>
    <w:rsid w:val="004773C3"/>
    <w:rsid w:val="004778EE"/>
    <w:rsid w:val="00477AFB"/>
    <w:rsid w:val="00480237"/>
    <w:rsid w:val="00480772"/>
    <w:rsid w:val="00481520"/>
    <w:rsid w:val="00481FF8"/>
    <w:rsid w:val="0048316F"/>
    <w:rsid w:val="004848A7"/>
    <w:rsid w:val="00484C53"/>
    <w:rsid w:val="0048603B"/>
    <w:rsid w:val="00486819"/>
    <w:rsid w:val="00486A65"/>
    <w:rsid w:val="00490117"/>
    <w:rsid w:val="00491042"/>
    <w:rsid w:val="004929EF"/>
    <w:rsid w:val="00492BE8"/>
    <w:rsid w:val="00494FC9"/>
    <w:rsid w:val="00495EE5"/>
    <w:rsid w:val="00496D4C"/>
    <w:rsid w:val="004972BB"/>
    <w:rsid w:val="004A1ABF"/>
    <w:rsid w:val="004A1DFF"/>
    <w:rsid w:val="004A21C8"/>
    <w:rsid w:val="004A43B3"/>
    <w:rsid w:val="004A52E9"/>
    <w:rsid w:val="004A5565"/>
    <w:rsid w:val="004A5C77"/>
    <w:rsid w:val="004A62CC"/>
    <w:rsid w:val="004A7534"/>
    <w:rsid w:val="004A7F98"/>
    <w:rsid w:val="004B07ED"/>
    <w:rsid w:val="004B0951"/>
    <w:rsid w:val="004B43FF"/>
    <w:rsid w:val="004B48F7"/>
    <w:rsid w:val="004B4A80"/>
    <w:rsid w:val="004B5B97"/>
    <w:rsid w:val="004B6224"/>
    <w:rsid w:val="004B6C9D"/>
    <w:rsid w:val="004B6ED6"/>
    <w:rsid w:val="004C3C62"/>
    <w:rsid w:val="004C490D"/>
    <w:rsid w:val="004C5F93"/>
    <w:rsid w:val="004D1BE7"/>
    <w:rsid w:val="004D2F07"/>
    <w:rsid w:val="004D3780"/>
    <w:rsid w:val="004D488B"/>
    <w:rsid w:val="004D5D5C"/>
    <w:rsid w:val="004D79D9"/>
    <w:rsid w:val="004E0131"/>
    <w:rsid w:val="004E09E2"/>
    <w:rsid w:val="004E16B4"/>
    <w:rsid w:val="004E16F2"/>
    <w:rsid w:val="004E1D20"/>
    <w:rsid w:val="004E239B"/>
    <w:rsid w:val="004E2600"/>
    <w:rsid w:val="004E26DC"/>
    <w:rsid w:val="004E3127"/>
    <w:rsid w:val="004E3958"/>
    <w:rsid w:val="004E6886"/>
    <w:rsid w:val="004F0AA9"/>
    <w:rsid w:val="004F2079"/>
    <w:rsid w:val="004F24C1"/>
    <w:rsid w:val="004F4DD0"/>
    <w:rsid w:val="004F502B"/>
    <w:rsid w:val="004F5109"/>
    <w:rsid w:val="004F5A60"/>
    <w:rsid w:val="00500FEB"/>
    <w:rsid w:val="00501906"/>
    <w:rsid w:val="0050233E"/>
    <w:rsid w:val="00505A61"/>
    <w:rsid w:val="0050779D"/>
    <w:rsid w:val="00507F4A"/>
    <w:rsid w:val="00507F6F"/>
    <w:rsid w:val="0051164A"/>
    <w:rsid w:val="005137C7"/>
    <w:rsid w:val="0051403C"/>
    <w:rsid w:val="00515114"/>
    <w:rsid w:val="005157D6"/>
    <w:rsid w:val="00515A47"/>
    <w:rsid w:val="00515E1B"/>
    <w:rsid w:val="00516A2F"/>
    <w:rsid w:val="00517F3C"/>
    <w:rsid w:val="0052030B"/>
    <w:rsid w:val="0052071E"/>
    <w:rsid w:val="0052204D"/>
    <w:rsid w:val="00522D24"/>
    <w:rsid w:val="00525B1A"/>
    <w:rsid w:val="00526A4C"/>
    <w:rsid w:val="005274C0"/>
    <w:rsid w:val="0052753C"/>
    <w:rsid w:val="005277F6"/>
    <w:rsid w:val="0053091C"/>
    <w:rsid w:val="0053100E"/>
    <w:rsid w:val="005313BB"/>
    <w:rsid w:val="005314AB"/>
    <w:rsid w:val="005318F6"/>
    <w:rsid w:val="0053196A"/>
    <w:rsid w:val="00532F63"/>
    <w:rsid w:val="00533E08"/>
    <w:rsid w:val="00534AA5"/>
    <w:rsid w:val="005350DB"/>
    <w:rsid w:val="00535C83"/>
    <w:rsid w:val="0053676B"/>
    <w:rsid w:val="00536F48"/>
    <w:rsid w:val="00541706"/>
    <w:rsid w:val="00542CC3"/>
    <w:rsid w:val="00544506"/>
    <w:rsid w:val="0054605E"/>
    <w:rsid w:val="0055027E"/>
    <w:rsid w:val="00550E21"/>
    <w:rsid w:val="0055136E"/>
    <w:rsid w:val="00552A78"/>
    <w:rsid w:val="005540A4"/>
    <w:rsid w:val="00554BD4"/>
    <w:rsid w:val="00554C59"/>
    <w:rsid w:val="00554DE5"/>
    <w:rsid w:val="00555043"/>
    <w:rsid w:val="005568E7"/>
    <w:rsid w:val="005624C7"/>
    <w:rsid w:val="00563165"/>
    <w:rsid w:val="00563B7A"/>
    <w:rsid w:val="00563E3B"/>
    <w:rsid w:val="00563E9C"/>
    <w:rsid w:val="0056495E"/>
    <w:rsid w:val="0056536E"/>
    <w:rsid w:val="005676A0"/>
    <w:rsid w:val="00570E8F"/>
    <w:rsid w:val="00574388"/>
    <w:rsid w:val="00576EB6"/>
    <w:rsid w:val="00576FFD"/>
    <w:rsid w:val="005779F6"/>
    <w:rsid w:val="00580C6D"/>
    <w:rsid w:val="00583ABF"/>
    <w:rsid w:val="00583D22"/>
    <w:rsid w:val="005850EB"/>
    <w:rsid w:val="0059114D"/>
    <w:rsid w:val="005912D8"/>
    <w:rsid w:val="00592D7A"/>
    <w:rsid w:val="00592DD6"/>
    <w:rsid w:val="0059305A"/>
    <w:rsid w:val="00594851"/>
    <w:rsid w:val="00595502"/>
    <w:rsid w:val="00596017"/>
    <w:rsid w:val="0059609E"/>
    <w:rsid w:val="005963A1"/>
    <w:rsid w:val="005A148A"/>
    <w:rsid w:val="005A1ACB"/>
    <w:rsid w:val="005A1FA4"/>
    <w:rsid w:val="005A2551"/>
    <w:rsid w:val="005A4989"/>
    <w:rsid w:val="005B05CE"/>
    <w:rsid w:val="005B091E"/>
    <w:rsid w:val="005B1DE9"/>
    <w:rsid w:val="005B2DF1"/>
    <w:rsid w:val="005B2E54"/>
    <w:rsid w:val="005B4F5C"/>
    <w:rsid w:val="005B6BB7"/>
    <w:rsid w:val="005C0661"/>
    <w:rsid w:val="005C2E2F"/>
    <w:rsid w:val="005C4446"/>
    <w:rsid w:val="005C59F2"/>
    <w:rsid w:val="005C7304"/>
    <w:rsid w:val="005D0F73"/>
    <w:rsid w:val="005D2123"/>
    <w:rsid w:val="005D45AC"/>
    <w:rsid w:val="005D47B9"/>
    <w:rsid w:val="005D50A0"/>
    <w:rsid w:val="005D64C4"/>
    <w:rsid w:val="005D79D4"/>
    <w:rsid w:val="005D7FA9"/>
    <w:rsid w:val="005E32D7"/>
    <w:rsid w:val="005E3DA0"/>
    <w:rsid w:val="005E465A"/>
    <w:rsid w:val="005E507F"/>
    <w:rsid w:val="005E58C8"/>
    <w:rsid w:val="005E7DB7"/>
    <w:rsid w:val="005F1EA5"/>
    <w:rsid w:val="005F1F86"/>
    <w:rsid w:val="005F2393"/>
    <w:rsid w:val="005F273E"/>
    <w:rsid w:val="005F329F"/>
    <w:rsid w:val="005F5583"/>
    <w:rsid w:val="005F56E4"/>
    <w:rsid w:val="005F5709"/>
    <w:rsid w:val="005F69DE"/>
    <w:rsid w:val="00601BDB"/>
    <w:rsid w:val="00601F9A"/>
    <w:rsid w:val="006021F4"/>
    <w:rsid w:val="00603106"/>
    <w:rsid w:val="006051AA"/>
    <w:rsid w:val="006058A9"/>
    <w:rsid w:val="00606F1A"/>
    <w:rsid w:val="006101F8"/>
    <w:rsid w:val="00610497"/>
    <w:rsid w:val="00610FE8"/>
    <w:rsid w:val="0061278B"/>
    <w:rsid w:val="00612DE9"/>
    <w:rsid w:val="00616D52"/>
    <w:rsid w:val="00620651"/>
    <w:rsid w:val="006220DF"/>
    <w:rsid w:val="00622638"/>
    <w:rsid w:val="00622F51"/>
    <w:rsid w:val="00623AF6"/>
    <w:rsid w:val="00623C37"/>
    <w:rsid w:val="006251D7"/>
    <w:rsid w:val="00626EAF"/>
    <w:rsid w:val="006272C0"/>
    <w:rsid w:val="00630954"/>
    <w:rsid w:val="0063152F"/>
    <w:rsid w:val="00632C91"/>
    <w:rsid w:val="00634B3B"/>
    <w:rsid w:val="0063637B"/>
    <w:rsid w:val="006369F0"/>
    <w:rsid w:val="006373A6"/>
    <w:rsid w:val="00637A45"/>
    <w:rsid w:val="0064009C"/>
    <w:rsid w:val="006415B1"/>
    <w:rsid w:val="00642F89"/>
    <w:rsid w:val="00644272"/>
    <w:rsid w:val="0064496B"/>
    <w:rsid w:val="0064588E"/>
    <w:rsid w:val="006468D9"/>
    <w:rsid w:val="00647293"/>
    <w:rsid w:val="006479AC"/>
    <w:rsid w:val="0065042D"/>
    <w:rsid w:val="006505C8"/>
    <w:rsid w:val="006505DD"/>
    <w:rsid w:val="00651855"/>
    <w:rsid w:val="00652B4C"/>
    <w:rsid w:val="00652CDD"/>
    <w:rsid w:val="00654C5D"/>
    <w:rsid w:val="006555DA"/>
    <w:rsid w:val="006571FF"/>
    <w:rsid w:val="00657839"/>
    <w:rsid w:val="00662CF1"/>
    <w:rsid w:val="0066340E"/>
    <w:rsid w:val="00663664"/>
    <w:rsid w:val="00664790"/>
    <w:rsid w:val="006647DA"/>
    <w:rsid w:val="006671CA"/>
    <w:rsid w:val="00667BDE"/>
    <w:rsid w:val="00667EC9"/>
    <w:rsid w:val="00671374"/>
    <w:rsid w:val="00671E20"/>
    <w:rsid w:val="0067343A"/>
    <w:rsid w:val="00675082"/>
    <w:rsid w:val="00675A6E"/>
    <w:rsid w:val="00680EC8"/>
    <w:rsid w:val="00682FDE"/>
    <w:rsid w:val="00683413"/>
    <w:rsid w:val="0068373D"/>
    <w:rsid w:val="006848F8"/>
    <w:rsid w:val="00690076"/>
    <w:rsid w:val="006909DC"/>
    <w:rsid w:val="00693FAD"/>
    <w:rsid w:val="006942B1"/>
    <w:rsid w:val="00694E8F"/>
    <w:rsid w:val="0069574C"/>
    <w:rsid w:val="006958E1"/>
    <w:rsid w:val="00695F25"/>
    <w:rsid w:val="00697C55"/>
    <w:rsid w:val="006A009D"/>
    <w:rsid w:val="006A1F89"/>
    <w:rsid w:val="006A256E"/>
    <w:rsid w:val="006A4320"/>
    <w:rsid w:val="006A4CBB"/>
    <w:rsid w:val="006A513A"/>
    <w:rsid w:val="006A5287"/>
    <w:rsid w:val="006A5ED0"/>
    <w:rsid w:val="006A775C"/>
    <w:rsid w:val="006B1F2C"/>
    <w:rsid w:val="006B400E"/>
    <w:rsid w:val="006B4D6D"/>
    <w:rsid w:val="006B56B6"/>
    <w:rsid w:val="006B7F8C"/>
    <w:rsid w:val="006C0163"/>
    <w:rsid w:val="006C10F3"/>
    <w:rsid w:val="006C1860"/>
    <w:rsid w:val="006C436F"/>
    <w:rsid w:val="006C4BDE"/>
    <w:rsid w:val="006C637F"/>
    <w:rsid w:val="006C64FB"/>
    <w:rsid w:val="006C7CA1"/>
    <w:rsid w:val="006C7EAA"/>
    <w:rsid w:val="006D315E"/>
    <w:rsid w:val="006D5889"/>
    <w:rsid w:val="006D5E5A"/>
    <w:rsid w:val="006D6692"/>
    <w:rsid w:val="006D6D7E"/>
    <w:rsid w:val="006E07C9"/>
    <w:rsid w:val="006E0A31"/>
    <w:rsid w:val="006E1782"/>
    <w:rsid w:val="006E1B23"/>
    <w:rsid w:val="006E244E"/>
    <w:rsid w:val="006E33DD"/>
    <w:rsid w:val="006E3DC8"/>
    <w:rsid w:val="006E6C46"/>
    <w:rsid w:val="006E7AF7"/>
    <w:rsid w:val="006F225C"/>
    <w:rsid w:val="006F2D8C"/>
    <w:rsid w:val="006F3099"/>
    <w:rsid w:val="006F4BE4"/>
    <w:rsid w:val="006F4FE3"/>
    <w:rsid w:val="006F61D7"/>
    <w:rsid w:val="006F671E"/>
    <w:rsid w:val="00700B4E"/>
    <w:rsid w:val="007012FF"/>
    <w:rsid w:val="00701A95"/>
    <w:rsid w:val="0070249E"/>
    <w:rsid w:val="00702A42"/>
    <w:rsid w:val="0070487E"/>
    <w:rsid w:val="00704E68"/>
    <w:rsid w:val="00705D2C"/>
    <w:rsid w:val="007077A0"/>
    <w:rsid w:val="0071474D"/>
    <w:rsid w:val="007155F9"/>
    <w:rsid w:val="00716F4D"/>
    <w:rsid w:val="00717B10"/>
    <w:rsid w:val="00720579"/>
    <w:rsid w:val="0072177E"/>
    <w:rsid w:val="00721B9A"/>
    <w:rsid w:val="00723EFF"/>
    <w:rsid w:val="0072528D"/>
    <w:rsid w:val="007255BE"/>
    <w:rsid w:val="007262A2"/>
    <w:rsid w:val="007270A5"/>
    <w:rsid w:val="00727DCC"/>
    <w:rsid w:val="0073236D"/>
    <w:rsid w:val="007330EB"/>
    <w:rsid w:val="00733B84"/>
    <w:rsid w:val="0073441A"/>
    <w:rsid w:val="0073454A"/>
    <w:rsid w:val="00734929"/>
    <w:rsid w:val="0074039E"/>
    <w:rsid w:val="00742C43"/>
    <w:rsid w:val="00742DF4"/>
    <w:rsid w:val="007436E6"/>
    <w:rsid w:val="007439D3"/>
    <w:rsid w:val="00743E19"/>
    <w:rsid w:val="007443A1"/>
    <w:rsid w:val="00745A54"/>
    <w:rsid w:val="007466A9"/>
    <w:rsid w:val="00746743"/>
    <w:rsid w:val="00747E0C"/>
    <w:rsid w:val="00752AF2"/>
    <w:rsid w:val="007531A2"/>
    <w:rsid w:val="00755422"/>
    <w:rsid w:val="007568CF"/>
    <w:rsid w:val="00757FCF"/>
    <w:rsid w:val="007606C2"/>
    <w:rsid w:val="0076129B"/>
    <w:rsid w:val="007617C7"/>
    <w:rsid w:val="00762A44"/>
    <w:rsid w:val="0076396E"/>
    <w:rsid w:val="00763CC4"/>
    <w:rsid w:val="00766154"/>
    <w:rsid w:val="00766702"/>
    <w:rsid w:val="00767617"/>
    <w:rsid w:val="00767A85"/>
    <w:rsid w:val="007712D2"/>
    <w:rsid w:val="007726D9"/>
    <w:rsid w:val="00774632"/>
    <w:rsid w:val="007746F1"/>
    <w:rsid w:val="00774C2B"/>
    <w:rsid w:val="00775998"/>
    <w:rsid w:val="007768FC"/>
    <w:rsid w:val="007771B6"/>
    <w:rsid w:val="00777F9E"/>
    <w:rsid w:val="00777FD2"/>
    <w:rsid w:val="007827B0"/>
    <w:rsid w:val="00782EAC"/>
    <w:rsid w:val="0078364E"/>
    <w:rsid w:val="00784443"/>
    <w:rsid w:val="00784DC0"/>
    <w:rsid w:val="00786412"/>
    <w:rsid w:val="00791C6A"/>
    <w:rsid w:val="00791E68"/>
    <w:rsid w:val="00794608"/>
    <w:rsid w:val="007A10EF"/>
    <w:rsid w:val="007A131E"/>
    <w:rsid w:val="007A19D1"/>
    <w:rsid w:val="007A1ED6"/>
    <w:rsid w:val="007A3B0B"/>
    <w:rsid w:val="007A3F02"/>
    <w:rsid w:val="007A4793"/>
    <w:rsid w:val="007A4FE6"/>
    <w:rsid w:val="007A62A7"/>
    <w:rsid w:val="007B09A6"/>
    <w:rsid w:val="007B1A30"/>
    <w:rsid w:val="007B203C"/>
    <w:rsid w:val="007B3598"/>
    <w:rsid w:val="007B5431"/>
    <w:rsid w:val="007B6919"/>
    <w:rsid w:val="007B7176"/>
    <w:rsid w:val="007B74A1"/>
    <w:rsid w:val="007C2593"/>
    <w:rsid w:val="007C262F"/>
    <w:rsid w:val="007C6D85"/>
    <w:rsid w:val="007C6FEA"/>
    <w:rsid w:val="007C7908"/>
    <w:rsid w:val="007C791F"/>
    <w:rsid w:val="007D0282"/>
    <w:rsid w:val="007D176B"/>
    <w:rsid w:val="007D300B"/>
    <w:rsid w:val="007D3C7F"/>
    <w:rsid w:val="007D3C84"/>
    <w:rsid w:val="007D4376"/>
    <w:rsid w:val="007D5267"/>
    <w:rsid w:val="007D52D7"/>
    <w:rsid w:val="007D53F4"/>
    <w:rsid w:val="007D5432"/>
    <w:rsid w:val="007D5B7F"/>
    <w:rsid w:val="007D7CED"/>
    <w:rsid w:val="007E0358"/>
    <w:rsid w:val="007E2426"/>
    <w:rsid w:val="007E250D"/>
    <w:rsid w:val="007E267D"/>
    <w:rsid w:val="007E5005"/>
    <w:rsid w:val="007F0609"/>
    <w:rsid w:val="007F0B5A"/>
    <w:rsid w:val="007F0E0E"/>
    <w:rsid w:val="007F17D0"/>
    <w:rsid w:val="007F2A0E"/>
    <w:rsid w:val="007F32DB"/>
    <w:rsid w:val="007F3E9E"/>
    <w:rsid w:val="007F4F94"/>
    <w:rsid w:val="007F56F8"/>
    <w:rsid w:val="007F63E0"/>
    <w:rsid w:val="007F7E73"/>
    <w:rsid w:val="008035BC"/>
    <w:rsid w:val="00803EF4"/>
    <w:rsid w:val="00804049"/>
    <w:rsid w:val="00805340"/>
    <w:rsid w:val="00806F0A"/>
    <w:rsid w:val="00806FE1"/>
    <w:rsid w:val="00811085"/>
    <w:rsid w:val="00811A73"/>
    <w:rsid w:val="00811AC3"/>
    <w:rsid w:val="00812E3F"/>
    <w:rsid w:val="00813085"/>
    <w:rsid w:val="00813A5D"/>
    <w:rsid w:val="00813F3A"/>
    <w:rsid w:val="00816C95"/>
    <w:rsid w:val="008177B8"/>
    <w:rsid w:val="00817D7E"/>
    <w:rsid w:val="008219B8"/>
    <w:rsid w:val="00823E16"/>
    <w:rsid w:val="0082440B"/>
    <w:rsid w:val="00825704"/>
    <w:rsid w:val="00826D07"/>
    <w:rsid w:val="0083022A"/>
    <w:rsid w:val="00831037"/>
    <w:rsid w:val="008319CF"/>
    <w:rsid w:val="00832C2C"/>
    <w:rsid w:val="00833CA0"/>
    <w:rsid w:val="00836C6E"/>
    <w:rsid w:val="00837802"/>
    <w:rsid w:val="00837CA8"/>
    <w:rsid w:val="00837D94"/>
    <w:rsid w:val="0084064F"/>
    <w:rsid w:val="00840B5C"/>
    <w:rsid w:val="0084206E"/>
    <w:rsid w:val="00843362"/>
    <w:rsid w:val="00844A6F"/>
    <w:rsid w:val="00846B4A"/>
    <w:rsid w:val="00846D08"/>
    <w:rsid w:val="00846E98"/>
    <w:rsid w:val="00851162"/>
    <w:rsid w:val="00852622"/>
    <w:rsid w:val="00853AAD"/>
    <w:rsid w:val="008551B5"/>
    <w:rsid w:val="0085609E"/>
    <w:rsid w:val="00856FCB"/>
    <w:rsid w:val="00860339"/>
    <w:rsid w:val="008611EB"/>
    <w:rsid w:val="00863870"/>
    <w:rsid w:val="008646F2"/>
    <w:rsid w:val="00864DA2"/>
    <w:rsid w:val="008660F7"/>
    <w:rsid w:val="00872ABD"/>
    <w:rsid w:val="008733CD"/>
    <w:rsid w:val="008740E5"/>
    <w:rsid w:val="00876C82"/>
    <w:rsid w:val="00877C56"/>
    <w:rsid w:val="00881CBC"/>
    <w:rsid w:val="00882E86"/>
    <w:rsid w:val="008835B8"/>
    <w:rsid w:val="0088389D"/>
    <w:rsid w:val="00884436"/>
    <w:rsid w:val="00885183"/>
    <w:rsid w:val="00885BE8"/>
    <w:rsid w:val="0088634D"/>
    <w:rsid w:val="008871E0"/>
    <w:rsid w:val="0088733A"/>
    <w:rsid w:val="00887E77"/>
    <w:rsid w:val="008912D2"/>
    <w:rsid w:val="0089385E"/>
    <w:rsid w:val="008946C0"/>
    <w:rsid w:val="00896935"/>
    <w:rsid w:val="008A06C0"/>
    <w:rsid w:val="008A2AAE"/>
    <w:rsid w:val="008A417F"/>
    <w:rsid w:val="008A438B"/>
    <w:rsid w:val="008A55CB"/>
    <w:rsid w:val="008A56B1"/>
    <w:rsid w:val="008A6537"/>
    <w:rsid w:val="008A6BF0"/>
    <w:rsid w:val="008A6C9F"/>
    <w:rsid w:val="008A6D4F"/>
    <w:rsid w:val="008A7A8B"/>
    <w:rsid w:val="008A7F9C"/>
    <w:rsid w:val="008B4660"/>
    <w:rsid w:val="008B6A8E"/>
    <w:rsid w:val="008B6BA5"/>
    <w:rsid w:val="008C089A"/>
    <w:rsid w:val="008C16E9"/>
    <w:rsid w:val="008C1719"/>
    <w:rsid w:val="008C1BC8"/>
    <w:rsid w:val="008C3F17"/>
    <w:rsid w:val="008C4E6C"/>
    <w:rsid w:val="008C54F2"/>
    <w:rsid w:val="008C6E33"/>
    <w:rsid w:val="008C70D7"/>
    <w:rsid w:val="008C7337"/>
    <w:rsid w:val="008D09C9"/>
    <w:rsid w:val="008D0D4D"/>
    <w:rsid w:val="008D1302"/>
    <w:rsid w:val="008D2080"/>
    <w:rsid w:val="008D2647"/>
    <w:rsid w:val="008D2C1A"/>
    <w:rsid w:val="008D3A2A"/>
    <w:rsid w:val="008D46EB"/>
    <w:rsid w:val="008D4B1C"/>
    <w:rsid w:val="008D4D6D"/>
    <w:rsid w:val="008D66EB"/>
    <w:rsid w:val="008E0288"/>
    <w:rsid w:val="008E0926"/>
    <w:rsid w:val="008E1328"/>
    <w:rsid w:val="008E3A86"/>
    <w:rsid w:val="008E5411"/>
    <w:rsid w:val="008E5695"/>
    <w:rsid w:val="008E6415"/>
    <w:rsid w:val="008E72CC"/>
    <w:rsid w:val="008F085F"/>
    <w:rsid w:val="008F0A0C"/>
    <w:rsid w:val="008F0B6E"/>
    <w:rsid w:val="008F0D14"/>
    <w:rsid w:val="008F4D8B"/>
    <w:rsid w:val="008F53F2"/>
    <w:rsid w:val="0090095D"/>
    <w:rsid w:val="00900D66"/>
    <w:rsid w:val="00901308"/>
    <w:rsid w:val="00901D0F"/>
    <w:rsid w:val="0090268E"/>
    <w:rsid w:val="009057FD"/>
    <w:rsid w:val="00906CC0"/>
    <w:rsid w:val="009078AA"/>
    <w:rsid w:val="009078D8"/>
    <w:rsid w:val="00910939"/>
    <w:rsid w:val="00910FD4"/>
    <w:rsid w:val="009110C0"/>
    <w:rsid w:val="00912046"/>
    <w:rsid w:val="009122DC"/>
    <w:rsid w:val="00912E67"/>
    <w:rsid w:val="00913024"/>
    <w:rsid w:val="009153A8"/>
    <w:rsid w:val="00915746"/>
    <w:rsid w:val="0092029B"/>
    <w:rsid w:val="00920593"/>
    <w:rsid w:val="009241BC"/>
    <w:rsid w:val="00924B02"/>
    <w:rsid w:val="00926D2E"/>
    <w:rsid w:val="0093150F"/>
    <w:rsid w:val="0093160F"/>
    <w:rsid w:val="00932493"/>
    <w:rsid w:val="00933350"/>
    <w:rsid w:val="00933E94"/>
    <w:rsid w:val="009354C3"/>
    <w:rsid w:val="009356CD"/>
    <w:rsid w:val="009360EF"/>
    <w:rsid w:val="00936715"/>
    <w:rsid w:val="00936A4A"/>
    <w:rsid w:val="00936D7A"/>
    <w:rsid w:val="00937066"/>
    <w:rsid w:val="00942986"/>
    <w:rsid w:val="00943A2D"/>
    <w:rsid w:val="00944B6C"/>
    <w:rsid w:val="00945425"/>
    <w:rsid w:val="00945AC1"/>
    <w:rsid w:val="0094709B"/>
    <w:rsid w:val="00950F6F"/>
    <w:rsid w:val="00951007"/>
    <w:rsid w:val="009513F5"/>
    <w:rsid w:val="00951589"/>
    <w:rsid w:val="00951FEE"/>
    <w:rsid w:val="00952DA8"/>
    <w:rsid w:val="00954AB5"/>
    <w:rsid w:val="00956B16"/>
    <w:rsid w:val="009571D4"/>
    <w:rsid w:val="00957F1A"/>
    <w:rsid w:val="009606E6"/>
    <w:rsid w:val="00960842"/>
    <w:rsid w:val="00960D0E"/>
    <w:rsid w:val="009615C0"/>
    <w:rsid w:val="009626CC"/>
    <w:rsid w:val="0096482C"/>
    <w:rsid w:val="00964C32"/>
    <w:rsid w:val="00965C9D"/>
    <w:rsid w:val="00966A8A"/>
    <w:rsid w:val="00971BDE"/>
    <w:rsid w:val="009722C3"/>
    <w:rsid w:val="00972C43"/>
    <w:rsid w:val="009739F6"/>
    <w:rsid w:val="00976F30"/>
    <w:rsid w:val="00980AE9"/>
    <w:rsid w:val="00981138"/>
    <w:rsid w:val="00983989"/>
    <w:rsid w:val="009842C7"/>
    <w:rsid w:val="00984B3F"/>
    <w:rsid w:val="00985676"/>
    <w:rsid w:val="00985FD9"/>
    <w:rsid w:val="0098656D"/>
    <w:rsid w:val="00986DAE"/>
    <w:rsid w:val="00987401"/>
    <w:rsid w:val="0098757E"/>
    <w:rsid w:val="0098780C"/>
    <w:rsid w:val="009913EE"/>
    <w:rsid w:val="0099410A"/>
    <w:rsid w:val="0099415C"/>
    <w:rsid w:val="00994ABA"/>
    <w:rsid w:val="00994BD2"/>
    <w:rsid w:val="0099764C"/>
    <w:rsid w:val="009A0DD0"/>
    <w:rsid w:val="009A3BB5"/>
    <w:rsid w:val="009A469B"/>
    <w:rsid w:val="009A4B32"/>
    <w:rsid w:val="009A62DC"/>
    <w:rsid w:val="009B2108"/>
    <w:rsid w:val="009B218F"/>
    <w:rsid w:val="009B3D9B"/>
    <w:rsid w:val="009B40CA"/>
    <w:rsid w:val="009B569E"/>
    <w:rsid w:val="009B6061"/>
    <w:rsid w:val="009B7F5B"/>
    <w:rsid w:val="009C06CE"/>
    <w:rsid w:val="009C0AA6"/>
    <w:rsid w:val="009C0CBF"/>
    <w:rsid w:val="009C4122"/>
    <w:rsid w:val="009C5101"/>
    <w:rsid w:val="009C54A4"/>
    <w:rsid w:val="009C54F0"/>
    <w:rsid w:val="009C694B"/>
    <w:rsid w:val="009C75C3"/>
    <w:rsid w:val="009D0C10"/>
    <w:rsid w:val="009D0DC8"/>
    <w:rsid w:val="009D0E5A"/>
    <w:rsid w:val="009D14B7"/>
    <w:rsid w:val="009D2145"/>
    <w:rsid w:val="009D244A"/>
    <w:rsid w:val="009D28DD"/>
    <w:rsid w:val="009D3224"/>
    <w:rsid w:val="009D597D"/>
    <w:rsid w:val="009D61F3"/>
    <w:rsid w:val="009D68D1"/>
    <w:rsid w:val="009D6936"/>
    <w:rsid w:val="009D74A7"/>
    <w:rsid w:val="009E02B7"/>
    <w:rsid w:val="009E063C"/>
    <w:rsid w:val="009E0700"/>
    <w:rsid w:val="009E07EF"/>
    <w:rsid w:val="009E2553"/>
    <w:rsid w:val="009E421B"/>
    <w:rsid w:val="009E4436"/>
    <w:rsid w:val="009E49BB"/>
    <w:rsid w:val="009E56A2"/>
    <w:rsid w:val="009E63B6"/>
    <w:rsid w:val="009E64A1"/>
    <w:rsid w:val="009E6BFE"/>
    <w:rsid w:val="009E783B"/>
    <w:rsid w:val="009E7BAE"/>
    <w:rsid w:val="009F0361"/>
    <w:rsid w:val="009F1214"/>
    <w:rsid w:val="009F1CF8"/>
    <w:rsid w:val="009F3AAD"/>
    <w:rsid w:val="009F4C92"/>
    <w:rsid w:val="009F52F6"/>
    <w:rsid w:val="009F5DFD"/>
    <w:rsid w:val="009F628B"/>
    <w:rsid w:val="009F7085"/>
    <w:rsid w:val="009F74E5"/>
    <w:rsid w:val="00A00343"/>
    <w:rsid w:val="00A00EFA"/>
    <w:rsid w:val="00A014EE"/>
    <w:rsid w:val="00A02A29"/>
    <w:rsid w:val="00A04A1E"/>
    <w:rsid w:val="00A04A27"/>
    <w:rsid w:val="00A1182A"/>
    <w:rsid w:val="00A126F8"/>
    <w:rsid w:val="00A1517C"/>
    <w:rsid w:val="00A16853"/>
    <w:rsid w:val="00A16952"/>
    <w:rsid w:val="00A1697B"/>
    <w:rsid w:val="00A17746"/>
    <w:rsid w:val="00A17A7F"/>
    <w:rsid w:val="00A20499"/>
    <w:rsid w:val="00A20AB1"/>
    <w:rsid w:val="00A20F0F"/>
    <w:rsid w:val="00A229BE"/>
    <w:rsid w:val="00A24371"/>
    <w:rsid w:val="00A252E0"/>
    <w:rsid w:val="00A30051"/>
    <w:rsid w:val="00A30B3C"/>
    <w:rsid w:val="00A30C52"/>
    <w:rsid w:val="00A30CEB"/>
    <w:rsid w:val="00A32B48"/>
    <w:rsid w:val="00A33A1A"/>
    <w:rsid w:val="00A348DF"/>
    <w:rsid w:val="00A36125"/>
    <w:rsid w:val="00A428F7"/>
    <w:rsid w:val="00A42A1E"/>
    <w:rsid w:val="00A43914"/>
    <w:rsid w:val="00A44970"/>
    <w:rsid w:val="00A47B07"/>
    <w:rsid w:val="00A47BFD"/>
    <w:rsid w:val="00A47D33"/>
    <w:rsid w:val="00A5001F"/>
    <w:rsid w:val="00A504F9"/>
    <w:rsid w:val="00A51BAE"/>
    <w:rsid w:val="00A53A01"/>
    <w:rsid w:val="00A53C2E"/>
    <w:rsid w:val="00A54929"/>
    <w:rsid w:val="00A54F3D"/>
    <w:rsid w:val="00A60E15"/>
    <w:rsid w:val="00A63AC6"/>
    <w:rsid w:val="00A65E12"/>
    <w:rsid w:val="00A66C79"/>
    <w:rsid w:val="00A71340"/>
    <w:rsid w:val="00A713FF"/>
    <w:rsid w:val="00A718A1"/>
    <w:rsid w:val="00A723B2"/>
    <w:rsid w:val="00A74F7D"/>
    <w:rsid w:val="00A75933"/>
    <w:rsid w:val="00A776B4"/>
    <w:rsid w:val="00A80EB8"/>
    <w:rsid w:val="00A81C6A"/>
    <w:rsid w:val="00A82305"/>
    <w:rsid w:val="00A84D9F"/>
    <w:rsid w:val="00A85781"/>
    <w:rsid w:val="00A86FC7"/>
    <w:rsid w:val="00A9031F"/>
    <w:rsid w:val="00A90BE0"/>
    <w:rsid w:val="00A91B98"/>
    <w:rsid w:val="00A927E0"/>
    <w:rsid w:val="00A9482C"/>
    <w:rsid w:val="00A955E9"/>
    <w:rsid w:val="00A95DF2"/>
    <w:rsid w:val="00A96DA0"/>
    <w:rsid w:val="00A974F5"/>
    <w:rsid w:val="00AA1BB5"/>
    <w:rsid w:val="00AA2574"/>
    <w:rsid w:val="00AA2B57"/>
    <w:rsid w:val="00AA3006"/>
    <w:rsid w:val="00AA330F"/>
    <w:rsid w:val="00AA3485"/>
    <w:rsid w:val="00AA3E3A"/>
    <w:rsid w:val="00AA432F"/>
    <w:rsid w:val="00AB21DC"/>
    <w:rsid w:val="00AB4974"/>
    <w:rsid w:val="00AB59A8"/>
    <w:rsid w:val="00AB65C4"/>
    <w:rsid w:val="00AB6A40"/>
    <w:rsid w:val="00AB6EE9"/>
    <w:rsid w:val="00AB6FE4"/>
    <w:rsid w:val="00AB7443"/>
    <w:rsid w:val="00AC1DE4"/>
    <w:rsid w:val="00AC44E4"/>
    <w:rsid w:val="00AC44FE"/>
    <w:rsid w:val="00AC48E4"/>
    <w:rsid w:val="00AC58C8"/>
    <w:rsid w:val="00AC5A54"/>
    <w:rsid w:val="00AC65D5"/>
    <w:rsid w:val="00AD00D6"/>
    <w:rsid w:val="00AD0224"/>
    <w:rsid w:val="00AD49F7"/>
    <w:rsid w:val="00AD4FB6"/>
    <w:rsid w:val="00AD6CC4"/>
    <w:rsid w:val="00AD721B"/>
    <w:rsid w:val="00AD73EB"/>
    <w:rsid w:val="00AE26BA"/>
    <w:rsid w:val="00AE29C5"/>
    <w:rsid w:val="00AE4275"/>
    <w:rsid w:val="00AE44F6"/>
    <w:rsid w:val="00AE4762"/>
    <w:rsid w:val="00AE6CA9"/>
    <w:rsid w:val="00AF43F4"/>
    <w:rsid w:val="00AF57C2"/>
    <w:rsid w:val="00AF7CC3"/>
    <w:rsid w:val="00AF7ED9"/>
    <w:rsid w:val="00B00C33"/>
    <w:rsid w:val="00B01782"/>
    <w:rsid w:val="00B01A10"/>
    <w:rsid w:val="00B035E8"/>
    <w:rsid w:val="00B03BA7"/>
    <w:rsid w:val="00B0653C"/>
    <w:rsid w:val="00B06DC4"/>
    <w:rsid w:val="00B0765E"/>
    <w:rsid w:val="00B0770D"/>
    <w:rsid w:val="00B1247B"/>
    <w:rsid w:val="00B125A0"/>
    <w:rsid w:val="00B12949"/>
    <w:rsid w:val="00B14478"/>
    <w:rsid w:val="00B15BDA"/>
    <w:rsid w:val="00B16094"/>
    <w:rsid w:val="00B16D14"/>
    <w:rsid w:val="00B2515C"/>
    <w:rsid w:val="00B252B3"/>
    <w:rsid w:val="00B26F2F"/>
    <w:rsid w:val="00B277E5"/>
    <w:rsid w:val="00B27CDF"/>
    <w:rsid w:val="00B312D9"/>
    <w:rsid w:val="00B31F91"/>
    <w:rsid w:val="00B322E9"/>
    <w:rsid w:val="00B32BDA"/>
    <w:rsid w:val="00B33F3D"/>
    <w:rsid w:val="00B359AE"/>
    <w:rsid w:val="00B35F9D"/>
    <w:rsid w:val="00B3610D"/>
    <w:rsid w:val="00B40933"/>
    <w:rsid w:val="00B42D4B"/>
    <w:rsid w:val="00B44EE1"/>
    <w:rsid w:val="00B4641B"/>
    <w:rsid w:val="00B470D0"/>
    <w:rsid w:val="00B471ED"/>
    <w:rsid w:val="00B477FD"/>
    <w:rsid w:val="00B51057"/>
    <w:rsid w:val="00B5331C"/>
    <w:rsid w:val="00B53A0E"/>
    <w:rsid w:val="00B55249"/>
    <w:rsid w:val="00B57476"/>
    <w:rsid w:val="00B57F09"/>
    <w:rsid w:val="00B60797"/>
    <w:rsid w:val="00B60B71"/>
    <w:rsid w:val="00B616BC"/>
    <w:rsid w:val="00B62544"/>
    <w:rsid w:val="00B636FF"/>
    <w:rsid w:val="00B63CE9"/>
    <w:rsid w:val="00B641D1"/>
    <w:rsid w:val="00B6436B"/>
    <w:rsid w:val="00B64638"/>
    <w:rsid w:val="00B656FA"/>
    <w:rsid w:val="00B66211"/>
    <w:rsid w:val="00B71404"/>
    <w:rsid w:val="00B71A4C"/>
    <w:rsid w:val="00B754DE"/>
    <w:rsid w:val="00B80760"/>
    <w:rsid w:val="00B82366"/>
    <w:rsid w:val="00B828AA"/>
    <w:rsid w:val="00B83F4D"/>
    <w:rsid w:val="00B86A1F"/>
    <w:rsid w:val="00B87DAE"/>
    <w:rsid w:val="00B91820"/>
    <w:rsid w:val="00B91F90"/>
    <w:rsid w:val="00B921ED"/>
    <w:rsid w:val="00B93222"/>
    <w:rsid w:val="00B9534F"/>
    <w:rsid w:val="00B953DD"/>
    <w:rsid w:val="00B9576E"/>
    <w:rsid w:val="00B96381"/>
    <w:rsid w:val="00B96F3B"/>
    <w:rsid w:val="00BA0C69"/>
    <w:rsid w:val="00BA1865"/>
    <w:rsid w:val="00BA19C3"/>
    <w:rsid w:val="00BA23FA"/>
    <w:rsid w:val="00BA4027"/>
    <w:rsid w:val="00BA5407"/>
    <w:rsid w:val="00BA5A52"/>
    <w:rsid w:val="00BA7C01"/>
    <w:rsid w:val="00BB0B3B"/>
    <w:rsid w:val="00BB0E1B"/>
    <w:rsid w:val="00BB3235"/>
    <w:rsid w:val="00BB362A"/>
    <w:rsid w:val="00BB3FA3"/>
    <w:rsid w:val="00BB4176"/>
    <w:rsid w:val="00BB494B"/>
    <w:rsid w:val="00BB5152"/>
    <w:rsid w:val="00BB62B1"/>
    <w:rsid w:val="00BB638A"/>
    <w:rsid w:val="00BB69C4"/>
    <w:rsid w:val="00BC120E"/>
    <w:rsid w:val="00BC1801"/>
    <w:rsid w:val="00BC2B86"/>
    <w:rsid w:val="00BC3F2D"/>
    <w:rsid w:val="00BC4486"/>
    <w:rsid w:val="00BC4C04"/>
    <w:rsid w:val="00BC58C5"/>
    <w:rsid w:val="00BC5BAF"/>
    <w:rsid w:val="00BC6293"/>
    <w:rsid w:val="00BD0BD3"/>
    <w:rsid w:val="00BD0F25"/>
    <w:rsid w:val="00BD38EC"/>
    <w:rsid w:val="00BD43A7"/>
    <w:rsid w:val="00BD605B"/>
    <w:rsid w:val="00BD67CB"/>
    <w:rsid w:val="00BD7085"/>
    <w:rsid w:val="00BE073F"/>
    <w:rsid w:val="00BE0E14"/>
    <w:rsid w:val="00BE1913"/>
    <w:rsid w:val="00BE1DA6"/>
    <w:rsid w:val="00BE28E8"/>
    <w:rsid w:val="00BE2C76"/>
    <w:rsid w:val="00BE46C4"/>
    <w:rsid w:val="00BE4E97"/>
    <w:rsid w:val="00BE52EF"/>
    <w:rsid w:val="00BE779D"/>
    <w:rsid w:val="00BF05F7"/>
    <w:rsid w:val="00BF08F6"/>
    <w:rsid w:val="00BF0B89"/>
    <w:rsid w:val="00BF0CCF"/>
    <w:rsid w:val="00BF16D4"/>
    <w:rsid w:val="00BF187B"/>
    <w:rsid w:val="00BF20BB"/>
    <w:rsid w:val="00BF32C9"/>
    <w:rsid w:val="00BF3DF4"/>
    <w:rsid w:val="00BF3E1E"/>
    <w:rsid w:val="00BF4BD1"/>
    <w:rsid w:val="00BF52E6"/>
    <w:rsid w:val="00BF57F0"/>
    <w:rsid w:val="00BF5871"/>
    <w:rsid w:val="00BF652C"/>
    <w:rsid w:val="00BF734A"/>
    <w:rsid w:val="00C0025D"/>
    <w:rsid w:val="00C003E9"/>
    <w:rsid w:val="00C007EE"/>
    <w:rsid w:val="00C033FA"/>
    <w:rsid w:val="00C03B98"/>
    <w:rsid w:val="00C041B9"/>
    <w:rsid w:val="00C05A09"/>
    <w:rsid w:val="00C077DB"/>
    <w:rsid w:val="00C07E1B"/>
    <w:rsid w:val="00C11030"/>
    <w:rsid w:val="00C113FD"/>
    <w:rsid w:val="00C1222A"/>
    <w:rsid w:val="00C130B0"/>
    <w:rsid w:val="00C1425B"/>
    <w:rsid w:val="00C148B9"/>
    <w:rsid w:val="00C1698C"/>
    <w:rsid w:val="00C177FD"/>
    <w:rsid w:val="00C17AAE"/>
    <w:rsid w:val="00C2036E"/>
    <w:rsid w:val="00C22D2F"/>
    <w:rsid w:val="00C24583"/>
    <w:rsid w:val="00C2583C"/>
    <w:rsid w:val="00C25FF1"/>
    <w:rsid w:val="00C30A18"/>
    <w:rsid w:val="00C3268E"/>
    <w:rsid w:val="00C34AAE"/>
    <w:rsid w:val="00C34B8C"/>
    <w:rsid w:val="00C356F1"/>
    <w:rsid w:val="00C360AD"/>
    <w:rsid w:val="00C36442"/>
    <w:rsid w:val="00C37251"/>
    <w:rsid w:val="00C3787E"/>
    <w:rsid w:val="00C40353"/>
    <w:rsid w:val="00C41EA6"/>
    <w:rsid w:val="00C436F4"/>
    <w:rsid w:val="00C43B70"/>
    <w:rsid w:val="00C43F8F"/>
    <w:rsid w:val="00C449CD"/>
    <w:rsid w:val="00C50233"/>
    <w:rsid w:val="00C5222C"/>
    <w:rsid w:val="00C52854"/>
    <w:rsid w:val="00C54C9C"/>
    <w:rsid w:val="00C555B3"/>
    <w:rsid w:val="00C56A75"/>
    <w:rsid w:val="00C60045"/>
    <w:rsid w:val="00C6020C"/>
    <w:rsid w:val="00C610F4"/>
    <w:rsid w:val="00C6119E"/>
    <w:rsid w:val="00C612FC"/>
    <w:rsid w:val="00C61612"/>
    <w:rsid w:val="00C62210"/>
    <w:rsid w:val="00C62B1A"/>
    <w:rsid w:val="00C62E8F"/>
    <w:rsid w:val="00C63999"/>
    <w:rsid w:val="00C63A00"/>
    <w:rsid w:val="00C64193"/>
    <w:rsid w:val="00C6666F"/>
    <w:rsid w:val="00C67583"/>
    <w:rsid w:val="00C678A4"/>
    <w:rsid w:val="00C67E1E"/>
    <w:rsid w:val="00C72D2D"/>
    <w:rsid w:val="00C73386"/>
    <w:rsid w:val="00C747E2"/>
    <w:rsid w:val="00C77C14"/>
    <w:rsid w:val="00C80C1A"/>
    <w:rsid w:val="00C812B5"/>
    <w:rsid w:val="00C81865"/>
    <w:rsid w:val="00C81AE9"/>
    <w:rsid w:val="00C81F71"/>
    <w:rsid w:val="00C8264F"/>
    <w:rsid w:val="00C83BA0"/>
    <w:rsid w:val="00C84746"/>
    <w:rsid w:val="00C85191"/>
    <w:rsid w:val="00C86580"/>
    <w:rsid w:val="00C8742B"/>
    <w:rsid w:val="00C91B4C"/>
    <w:rsid w:val="00C91C35"/>
    <w:rsid w:val="00C91CE8"/>
    <w:rsid w:val="00C91CEE"/>
    <w:rsid w:val="00C94608"/>
    <w:rsid w:val="00C96AFB"/>
    <w:rsid w:val="00C96DA5"/>
    <w:rsid w:val="00C96DE1"/>
    <w:rsid w:val="00C97358"/>
    <w:rsid w:val="00CA2356"/>
    <w:rsid w:val="00CA433A"/>
    <w:rsid w:val="00CA4684"/>
    <w:rsid w:val="00CA4D3C"/>
    <w:rsid w:val="00CA6D16"/>
    <w:rsid w:val="00CB1410"/>
    <w:rsid w:val="00CB15B9"/>
    <w:rsid w:val="00CB1DCC"/>
    <w:rsid w:val="00CB2AE2"/>
    <w:rsid w:val="00CB2E5C"/>
    <w:rsid w:val="00CB30C6"/>
    <w:rsid w:val="00CC0F07"/>
    <w:rsid w:val="00CC13A1"/>
    <w:rsid w:val="00CC3A73"/>
    <w:rsid w:val="00CC47F0"/>
    <w:rsid w:val="00CC6A70"/>
    <w:rsid w:val="00CC6E92"/>
    <w:rsid w:val="00CC7117"/>
    <w:rsid w:val="00CD25FA"/>
    <w:rsid w:val="00CD44F1"/>
    <w:rsid w:val="00CD53A6"/>
    <w:rsid w:val="00CD575C"/>
    <w:rsid w:val="00CD601C"/>
    <w:rsid w:val="00CD754B"/>
    <w:rsid w:val="00CD7709"/>
    <w:rsid w:val="00CE0C92"/>
    <w:rsid w:val="00CE403E"/>
    <w:rsid w:val="00CE4331"/>
    <w:rsid w:val="00CE4595"/>
    <w:rsid w:val="00CE7907"/>
    <w:rsid w:val="00CF0346"/>
    <w:rsid w:val="00CF06DF"/>
    <w:rsid w:val="00CF14E5"/>
    <w:rsid w:val="00CF1BD5"/>
    <w:rsid w:val="00CF3477"/>
    <w:rsid w:val="00CF57DC"/>
    <w:rsid w:val="00CF588E"/>
    <w:rsid w:val="00CF6608"/>
    <w:rsid w:val="00CF6807"/>
    <w:rsid w:val="00D0057F"/>
    <w:rsid w:val="00D03CE1"/>
    <w:rsid w:val="00D03E71"/>
    <w:rsid w:val="00D04703"/>
    <w:rsid w:val="00D04869"/>
    <w:rsid w:val="00D121DE"/>
    <w:rsid w:val="00D121F8"/>
    <w:rsid w:val="00D1283A"/>
    <w:rsid w:val="00D12C5E"/>
    <w:rsid w:val="00D13951"/>
    <w:rsid w:val="00D13975"/>
    <w:rsid w:val="00D15F98"/>
    <w:rsid w:val="00D16392"/>
    <w:rsid w:val="00D165DA"/>
    <w:rsid w:val="00D17742"/>
    <w:rsid w:val="00D17B5A"/>
    <w:rsid w:val="00D20725"/>
    <w:rsid w:val="00D21524"/>
    <w:rsid w:val="00D218A2"/>
    <w:rsid w:val="00D23028"/>
    <w:rsid w:val="00D23E08"/>
    <w:rsid w:val="00D26B63"/>
    <w:rsid w:val="00D320F7"/>
    <w:rsid w:val="00D32748"/>
    <w:rsid w:val="00D3373E"/>
    <w:rsid w:val="00D34B5B"/>
    <w:rsid w:val="00D35057"/>
    <w:rsid w:val="00D356BE"/>
    <w:rsid w:val="00D402D8"/>
    <w:rsid w:val="00D40823"/>
    <w:rsid w:val="00D40FA4"/>
    <w:rsid w:val="00D420E3"/>
    <w:rsid w:val="00D42BE9"/>
    <w:rsid w:val="00D4438D"/>
    <w:rsid w:val="00D44C98"/>
    <w:rsid w:val="00D4561C"/>
    <w:rsid w:val="00D50AF3"/>
    <w:rsid w:val="00D51136"/>
    <w:rsid w:val="00D53452"/>
    <w:rsid w:val="00D5461F"/>
    <w:rsid w:val="00D5500B"/>
    <w:rsid w:val="00D5559D"/>
    <w:rsid w:val="00D56211"/>
    <w:rsid w:val="00D56F72"/>
    <w:rsid w:val="00D57361"/>
    <w:rsid w:val="00D578D5"/>
    <w:rsid w:val="00D6218C"/>
    <w:rsid w:val="00D6248F"/>
    <w:rsid w:val="00D64D85"/>
    <w:rsid w:val="00D64F33"/>
    <w:rsid w:val="00D65221"/>
    <w:rsid w:val="00D67CAA"/>
    <w:rsid w:val="00D706CD"/>
    <w:rsid w:val="00D7181E"/>
    <w:rsid w:val="00D71E0A"/>
    <w:rsid w:val="00D725BB"/>
    <w:rsid w:val="00D72DFA"/>
    <w:rsid w:val="00D735AF"/>
    <w:rsid w:val="00D74E49"/>
    <w:rsid w:val="00D756CC"/>
    <w:rsid w:val="00D773C9"/>
    <w:rsid w:val="00D77905"/>
    <w:rsid w:val="00D77A40"/>
    <w:rsid w:val="00D80789"/>
    <w:rsid w:val="00D81DBA"/>
    <w:rsid w:val="00D822DF"/>
    <w:rsid w:val="00D824FD"/>
    <w:rsid w:val="00D8466B"/>
    <w:rsid w:val="00D852D2"/>
    <w:rsid w:val="00D85957"/>
    <w:rsid w:val="00D859AF"/>
    <w:rsid w:val="00D87601"/>
    <w:rsid w:val="00D91810"/>
    <w:rsid w:val="00D918B7"/>
    <w:rsid w:val="00D9211D"/>
    <w:rsid w:val="00D927E4"/>
    <w:rsid w:val="00D935F6"/>
    <w:rsid w:val="00D93CDF"/>
    <w:rsid w:val="00D94C34"/>
    <w:rsid w:val="00D955EC"/>
    <w:rsid w:val="00DA015A"/>
    <w:rsid w:val="00DA0564"/>
    <w:rsid w:val="00DA3EA3"/>
    <w:rsid w:val="00DA3F98"/>
    <w:rsid w:val="00DA5123"/>
    <w:rsid w:val="00DA5C41"/>
    <w:rsid w:val="00DA698F"/>
    <w:rsid w:val="00DB1245"/>
    <w:rsid w:val="00DB366F"/>
    <w:rsid w:val="00DB3CA1"/>
    <w:rsid w:val="00DB49FD"/>
    <w:rsid w:val="00DB5902"/>
    <w:rsid w:val="00DB61F2"/>
    <w:rsid w:val="00DB7491"/>
    <w:rsid w:val="00DB7DEC"/>
    <w:rsid w:val="00DC10AD"/>
    <w:rsid w:val="00DC25DC"/>
    <w:rsid w:val="00DC2E81"/>
    <w:rsid w:val="00DC3A7F"/>
    <w:rsid w:val="00DC478E"/>
    <w:rsid w:val="00DC626C"/>
    <w:rsid w:val="00DC62A5"/>
    <w:rsid w:val="00DC7E7E"/>
    <w:rsid w:val="00DD00E1"/>
    <w:rsid w:val="00DD1229"/>
    <w:rsid w:val="00DD496F"/>
    <w:rsid w:val="00DD5E14"/>
    <w:rsid w:val="00DE059E"/>
    <w:rsid w:val="00DE2831"/>
    <w:rsid w:val="00DE35ED"/>
    <w:rsid w:val="00DE372D"/>
    <w:rsid w:val="00DE3A41"/>
    <w:rsid w:val="00DE3C17"/>
    <w:rsid w:val="00DE4370"/>
    <w:rsid w:val="00DE4930"/>
    <w:rsid w:val="00DE5E2F"/>
    <w:rsid w:val="00DE6C86"/>
    <w:rsid w:val="00DF004F"/>
    <w:rsid w:val="00DF25B7"/>
    <w:rsid w:val="00DF44A7"/>
    <w:rsid w:val="00DF4CBF"/>
    <w:rsid w:val="00DF65EC"/>
    <w:rsid w:val="00E00BD1"/>
    <w:rsid w:val="00E02C70"/>
    <w:rsid w:val="00E03040"/>
    <w:rsid w:val="00E04D15"/>
    <w:rsid w:val="00E0502C"/>
    <w:rsid w:val="00E06134"/>
    <w:rsid w:val="00E062F6"/>
    <w:rsid w:val="00E06E7E"/>
    <w:rsid w:val="00E1047D"/>
    <w:rsid w:val="00E11269"/>
    <w:rsid w:val="00E11913"/>
    <w:rsid w:val="00E1333E"/>
    <w:rsid w:val="00E137E0"/>
    <w:rsid w:val="00E14C6D"/>
    <w:rsid w:val="00E156CB"/>
    <w:rsid w:val="00E15CE3"/>
    <w:rsid w:val="00E1608E"/>
    <w:rsid w:val="00E172A0"/>
    <w:rsid w:val="00E17744"/>
    <w:rsid w:val="00E17A94"/>
    <w:rsid w:val="00E17D42"/>
    <w:rsid w:val="00E208D4"/>
    <w:rsid w:val="00E20DBB"/>
    <w:rsid w:val="00E2346E"/>
    <w:rsid w:val="00E235EF"/>
    <w:rsid w:val="00E23A26"/>
    <w:rsid w:val="00E23FFE"/>
    <w:rsid w:val="00E244A9"/>
    <w:rsid w:val="00E248FE"/>
    <w:rsid w:val="00E2656C"/>
    <w:rsid w:val="00E27D33"/>
    <w:rsid w:val="00E32E0E"/>
    <w:rsid w:val="00E3310B"/>
    <w:rsid w:val="00E3468A"/>
    <w:rsid w:val="00E3556F"/>
    <w:rsid w:val="00E36CDA"/>
    <w:rsid w:val="00E377AD"/>
    <w:rsid w:val="00E403FC"/>
    <w:rsid w:val="00E408A5"/>
    <w:rsid w:val="00E4165A"/>
    <w:rsid w:val="00E427B3"/>
    <w:rsid w:val="00E4718A"/>
    <w:rsid w:val="00E47628"/>
    <w:rsid w:val="00E47933"/>
    <w:rsid w:val="00E504A0"/>
    <w:rsid w:val="00E50D20"/>
    <w:rsid w:val="00E50FF4"/>
    <w:rsid w:val="00E536D5"/>
    <w:rsid w:val="00E538F3"/>
    <w:rsid w:val="00E53C2C"/>
    <w:rsid w:val="00E55D32"/>
    <w:rsid w:val="00E62016"/>
    <w:rsid w:val="00E62426"/>
    <w:rsid w:val="00E63CBF"/>
    <w:rsid w:val="00E6565B"/>
    <w:rsid w:val="00E6638E"/>
    <w:rsid w:val="00E66E3D"/>
    <w:rsid w:val="00E67CB7"/>
    <w:rsid w:val="00E701D5"/>
    <w:rsid w:val="00E70229"/>
    <w:rsid w:val="00E706F9"/>
    <w:rsid w:val="00E70AC4"/>
    <w:rsid w:val="00E714EC"/>
    <w:rsid w:val="00E74B9F"/>
    <w:rsid w:val="00E75681"/>
    <w:rsid w:val="00E76113"/>
    <w:rsid w:val="00E767AE"/>
    <w:rsid w:val="00E769FE"/>
    <w:rsid w:val="00E772ED"/>
    <w:rsid w:val="00E80E86"/>
    <w:rsid w:val="00E811DE"/>
    <w:rsid w:val="00E82EE4"/>
    <w:rsid w:val="00E8338B"/>
    <w:rsid w:val="00E86E83"/>
    <w:rsid w:val="00E8734F"/>
    <w:rsid w:val="00E87ACF"/>
    <w:rsid w:val="00E87CEB"/>
    <w:rsid w:val="00E87EA6"/>
    <w:rsid w:val="00E916A1"/>
    <w:rsid w:val="00E91981"/>
    <w:rsid w:val="00E9273D"/>
    <w:rsid w:val="00E92AD3"/>
    <w:rsid w:val="00E93E20"/>
    <w:rsid w:val="00E9462B"/>
    <w:rsid w:val="00E95AA6"/>
    <w:rsid w:val="00E961F4"/>
    <w:rsid w:val="00E96443"/>
    <w:rsid w:val="00E968FF"/>
    <w:rsid w:val="00E96A5F"/>
    <w:rsid w:val="00E96E11"/>
    <w:rsid w:val="00EA0C22"/>
    <w:rsid w:val="00EA2936"/>
    <w:rsid w:val="00EA2A3D"/>
    <w:rsid w:val="00EA2C7F"/>
    <w:rsid w:val="00EA2D52"/>
    <w:rsid w:val="00EA311A"/>
    <w:rsid w:val="00EA358B"/>
    <w:rsid w:val="00EA3653"/>
    <w:rsid w:val="00EA43A5"/>
    <w:rsid w:val="00EA5021"/>
    <w:rsid w:val="00EA5174"/>
    <w:rsid w:val="00EA5962"/>
    <w:rsid w:val="00EB0667"/>
    <w:rsid w:val="00EB0AA7"/>
    <w:rsid w:val="00EB1AAA"/>
    <w:rsid w:val="00EB1EAC"/>
    <w:rsid w:val="00EB32BC"/>
    <w:rsid w:val="00EB6A3A"/>
    <w:rsid w:val="00EB7F02"/>
    <w:rsid w:val="00EC0730"/>
    <w:rsid w:val="00EC0E86"/>
    <w:rsid w:val="00EC39A8"/>
    <w:rsid w:val="00EC4E24"/>
    <w:rsid w:val="00EC6D72"/>
    <w:rsid w:val="00EC76F2"/>
    <w:rsid w:val="00ED071E"/>
    <w:rsid w:val="00ED420B"/>
    <w:rsid w:val="00ED4CA0"/>
    <w:rsid w:val="00ED62B8"/>
    <w:rsid w:val="00EE3583"/>
    <w:rsid w:val="00EE4F7A"/>
    <w:rsid w:val="00EE7923"/>
    <w:rsid w:val="00EF168A"/>
    <w:rsid w:val="00EF17EB"/>
    <w:rsid w:val="00EF24FE"/>
    <w:rsid w:val="00EF28D5"/>
    <w:rsid w:val="00EF3D85"/>
    <w:rsid w:val="00EF4598"/>
    <w:rsid w:val="00EF4665"/>
    <w:rsid w:val="00EF6859"/>
    <w:rsid w:val="00EF6FA1"/>
    <w:rsid w:val="00EF6FA4"/>
    <w:rsid w:val="00EF75B2"/>
    <w:rsid w:val="00EF78D0"/>
    <w:rsid w:val="00EF7D39"/>
    <w:rsid w:val="00F00231"/>
    <w:rsid w:val="00F006BC"/>
    <w:rsid w:val="00F008F4"/>
    <w:rsid w:val="00F0100F"/>
    <w:rsid w:val="00F0128C"/>
    <w:rsid w:val="00F01960"/>
    <w:rsid w:val="00F02DF4"/>
    <w:rsid w:val="00F034F5"/>
    <w:rsid w:val="00F04021"/>
    <w:rsid w:val="00F0423A"/>
    <w:rsid w:val="00F04CE3"/>
    <w:rsid w:val="00F05413"/>
    <w:rsid w:val="00F05E05"/>
    <w:rsid w:val="00F06CFA"/>
    <w:rsid w:val="00F07245"/>
    <w:rsid w:val="00F07310"/>
    <w:rsid w:val="00F07939"/>
    <w:rsid w:val="00F10CC0"/>
    <w:rsid w:val="00F123F5"/>
    <w:rsid w:val="00F12F17"/>
    <w:rsid w:val="00F137C6"/>
    <w:rsid w:val="00F13E82"/>
    <w:rsid w:val="00F17C38"/>
    <w:rsid w:val="00F20646"/>
    <w:rsid w:val="00F22550"/>
    <w:rsid w:val="00F23BC5"/>
    <w:rsid w:val="00F23C74"/>
    <w:rsid w:val="00F24A92"/>
    <w:rsid w:val="00F24ABC"/>
    <w:rsid w:val="00F2588A"/>
    <w:rsid w:val="00F25A00"/>
    <w:rsid w:val="00F2607E"/>
    <w:rsid w:val="00F2631D"/>
    <w:rsid w:val="00F26B59"/>
    <w:rsid w:val="00F320A9"/>
    <w:rsid w:val="00F3251B"/>
    <w:rsid w:val="00F339A7"/>
    <w:rsid w:val="00F354E5"/>
    <w:rsid w:val="00F35CF7"/>
    <w:rsid w:val="00F37CCD"/>
    <w:rsid w:val="00F40EF9"/>
    <w:rsid w:val="00F41095"/>
    <w:rsid w:val="00F42944"/>
    <w:rsid w:val="00F4550D"/>
    <w:rsid w:val="00F5089F"/>
    <w:rsid w:val="00F52254"/>
    <w:rsid w:val="00F52744"/>
    <w:rsid w:val="00F53B12"/>
    <w:rsid w:val="00F53FC0"/>
    <w:rsid w:val="00F54362"/>
    <w:rsid w:val="00F5448D"/>
    <w:rsid w:val="00F567AA"/>
    <w:rsid w:val="00F601E1"/>
    <w:rsid w:val="00F6403C"/>
    <w:rsid w:val="00F64181"/>
    <w:rsid w:val="00F64FC7"/>
    <w:rsid w:val="00F65437"/>
    <w:rsid w:val="00F66701"/>
    <w:rsid w:val="00F67F83"/>
    <w:rsid w:val="00F708A7"/>
    <w:rsid w:val="00F7186C"/>
    <w:rsid w:val="00F71957"/>
    <w:rsid w:val="00F727D5"/>
    <w:rsid w:val="00F74083"/>
    <w:rsid w:val="00F7491F"/>
    <w:rsid w:val="00F75733"/>
    <w:rsid w:val="00F76DB2"/>
    <w:rsid w:val="00F800BC"/>
    <w:rsid w:val="00F813D7"/>
    <w:rsid w:val="00F82052"/>
    <w:rsid w:val="00F83B97"/>
    <w:rsid w:val="00F83BDE"/>
    <w:rsid w:val="00F855FF"/>
    <w:rsid w:val="00F85FCF"/>
    <w:rsid w:val="00F91541"/>
    <w:rsid w:val="00F91B2F"/>
    <w:rsid w:val="00F941AE"/>
    <w:rsid w:val="00F947AC"/>
    <w:rsid w:val="00F94C84"/>
    <w:rsid w:val="00F959C0"/>
    <w:rsid w:val="00F95BEC"/>
    <w:rsid w:val="00FA07F7"/>
    <w:rsid w:val="00FA20E9"/>
    <w:rsid w:val="00FA24CA"/>
    <w:rsid w:val="00FA4E37"/>
    <w:rsid w:val="00FA67D9"/>
    <w:rsid w:val="00FA6DE7"/>
    <w:rsid w:val="00FA6FE6"/>
    <w:rsid w:val="00FB11C2"/>
    <w:rsid w:val="00FB254D"/>
    <w:rsid w:val="00FB4165"/>
    <w:rsid w:val="00FB6E5B"/>
    <w:rsid w:val="00FB7099"/>
    <w:rsid w:val="00FB7A6A"/>
    <w:rsid w:val="00FC01DB"/>
    <w:rsid w:val="00FC1423"/>
    <w:rsid w:val="00FC34FC"/>
    <w:rsid w:val="00FC400F"/>
    <w:rsid w:val="00FC5413"/>
    <w:rsid w:val="00FC6658"/>
    <w:rsid w:val="00FD5248"/>
    <w:rsid w:val="00FD599A"/>
    <w:rsid w:val="00FD6210"/>
    <w:rsid w:val="00FE0573"/>
    <w:rsid w:val="00FE0685"/>
    <w:rsid w:val="00FE2159"/>
    <w:rsid w:val="00FE2D3B"/>
    <w:rsid w:val="00FE667D"/>
    <w:rsid w:val="00FE7503"/>
    <w:rsid w:val="00FE7678"/>
    <w:rsid w:val="00FE7CFA"/>
    <w:rsid w:val="00FF04E2"/>
    <w:rsid w:val="00FF0EB2"/>
    <w:rsid w:val="00FF2668"/>
    <w:rsid w:val="00FF2E6D"/>
    <w:rsid w:val="00FF5CAA"/>
    <w:rsid w:val="00FF6529"/>
    <w:rsid w:val="00FF6701"/>
    <w:rsid w:val="00FF756C"/>
    <w:rsid w:val="00FF7992"/>
    <w:rsid w:val="014A057D"/>
    <w:rsid w:val="02163125"/>
    <w:rsid w:val="03A14385"/>
    <w:rsid w:val="03B4369C"/>
    <w:rsid w:val="04075F20"/>
    <w:rsid w:val="04D76398"/>
    <w:rsid w:val="055652BE"/>
    <w:rsid w:val="057A1865"/>
    <w:rsid w:val="05E5740C"/>
    <w:rsid w:val="06931A6E"/>
    <w:rsid w:val="06B02D91"/>
    <w:rsid w:val="07210B73"/>
    <w:rsid w:val="090459A2"/>
    <w:rsid w:val="0D7341C2"/>
    <w:rsid w:val="0DF65378"/>
    <w:rsid w:val="11BF2BBE"/>
    <w:rsid w:val="13E463F4"/>
    <w:rsid w:val="14446B25"/>
    <w:rsid w:val="14B454BC"/>
    <w:rsid w:val="14C33D3F"/>
    <w:rsid w:val="174F26CE"/>
    <w:rsid w:val="1A441855"/>
    <w:rsid w:val="1AE341F1"/>
    <w:rsid w:val="1B7B72EB"/>
    <w:rsid w:val="1C356BC7"/>
    <w:rsid w:val="1C8D30A6"/>
    <w:rsid w:val="1D242FB7"/>
    <w:rsid w:val="1D6755D5"/>
    <w:rsid w:val="1F4F7654"/>
    <w:rsid w:val="1F6605A8"/>
    <w:rsid w:val="20370E52"/>
    <w:rsid w:val="206971BE"/>
    <w:rsid w:val="20CC024D"/>
    <w:rsid w:val="21A70049"/>
    <w:rsid w:val="2333300C"/>
    <w:rsid w:val="24145AE1"/>
    <w:rsid w:val="24610684"/>
    <w:rsid w:val="258B1BDF"/>
    <w:rsid w:val="268B0F16"/>
    <w:rsid w:val="29FE7F10"/>
    <w:rsid w:val="2BAF4389"/>
    <w:rsid w:val="2CE0416C"/>
    <w:rsid w:val="2E8201E2"/>
    <w:rsid w:val="2EC71679"/>
    <w:rsid w:val="334C7F33"/>
    <w:rsid w:val="34F636CA"/>
    <w:rsid w:val="3502530E"/>
    <w:rsid w:val="377E47F8"/>
    <w:rsid w:val="3A1046FF"/>
    <w:rsid w:val="3CE367CF"/>
    <w:rsid w:val="3DC51841"/>
    <w:rsid w:val="3FC96EDF"/>
    <w:rsid w:val="3FF64189"/>
    <w:rsid w:val="42A41032"/>
    <w:rsid w:val="42C6490F"/>
    <w:rsid w:val="46043EF7"/>
    <w:rsid w:val="47232560"/>
    <w:rsid w:val="47BC0D43"/>
    <w:rsid w:val="48513B86"/>
    <w:rsid w:val="4B575319"/>
    <w:rsid w:val="4DA75AF9"/>
    <w:rsid w:val="4E963B7D"/>
    <w:rsid w:val="4ED84D4C"/>
    <w:rsid w:val="4FC4379F"/>
    <w:rsid w:val="4FEB1502"/>
    <w:rsid w:val="532323FB"/>
    <w:rsid w:val="53FB7A34"/>
    <w:rsid w:val="552023B3"/>
    <w:rsid w:val="57EB4075"/>
    <w:rsid w:val="58175D58"/>
    <w:rsid w:val="58B07A14"/>
    <w:rsid w:val="5A4C0CBA"/>
    <w:rsid w:val="5CD70579"/>
    <w:rsid w:val="5D10570F"/>
    <w:rsid w:val="5E3720D1"/>
    <w:rsid w:val="5EB8058E"/>
    <w:rsid w:val="5EF22953"/>
    <w:rsid w:val="5F82248B"/>
    <w:rsid w:val="615C0555"/>
    <w:rsid w:val="617D5E17"/>
    <w:rsid w:val="625C18F3"/>
    <w:rsid w:val="640B6761"/>
    <w:rsid w:val="65D4223D"/>
    <w:rsid w:val="668726A9"/>
    <w:rsid w:val="68061047"/>
    <w:rsid w:val="6C0E507B"/>
    <w:rsid w:val="6C1D7C40"/>
    <w:rsid w:val="6C3C057C"/>
    <w:rsid w:val="6CC12DDE"/>
    <w:rsid w:val="6D2C089F"/>
    <w:rsid w:val="713007D8"/>
    <w:rsid w:val="72ED4D7A"/>
    <w:rsid w:val="761F5CDA"/>
    <w:rsid w:val="7AAD7800"/>
    <w:rsid w:val="7E675C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qFormat="1" w:unhideWhenUsed="0"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link w:val="82"/>
    <w:qFormat/>
    <w:uiPriority w:val="0"/>
    <w:pPr>
      <w:keepNext/>
      <w:keepLines/>
      <w:spacing w:before="100" w:after="100" w:line="360" w:lineRule="auto"/>
      <w:jc w:val="left"/>
      <w:outlineLvl w:val="0"/>
    </w:pPr>
    <w:rPr>
      <w:rFonts w:ascii="Cambria" w:hAnsi="Cambria" w:eastAsia="宋体" w:cs="Times New Roman"/>
      <w:b/>
      <w:bCs/>
      <w:kern w:val="44"/>
      <w:sz w:val="32"/>
      <w:szCs w:val="32"/>
    </w:rPr>
  </w:style>
  <w:style w:type="paragraph" w:styleId="6">
    <w:name w:val="heading 2"/>
    <w:basedOn w:val="1"/>
    <w:next w:val="1"/>
    <w:link w:val="62"/>
    <w:qFormat/>
    <w:uiPriority w:val="0"/>
    <w:pPr>
      <w:keepNext/>
      <w:keepLines/>
      <w:spacing w:before="260" w:after="260" w:line="416" w:lineRule="auto"/>
      <w:outlineLvl w:val="1"/>
    </w:pPr>
    <w:rPr>
      <w:rFonts w:ascii="Arial" w:hAnsi="Arial" w:eastAsia="黑体" w:cs="Times New Roman"/>
      <w:b/>
      <w:bCs/>
      <w:sz w:val="32"/>
      <w:szCs w:val="32"/>
    </w:rPr>
  </w:style>
  <w:style w:type="paragraph" w:styleId="7">
    <w:name w:val="heading 3"/>
    <w:basedOn w:val="1"/>
    <w:next w:val="1"/>
    <w:link w:val="73"/>
    <w:unhideWhenUsed/>
    <w:qFormat/>
    <w:uiPriority w:val="0"/>
    <w:pPr>
      <w:keepNext/>
      <w:keepLines/>
      <w:spacing w:before="260" w:after="260" w:line="416" w:lineRule="auto"/>
      <w:outlineLvl w:val="2"/>
    </w:pPr>
    <w:rPr>
      <w:b/>
      <w:bCs/>
      <w:sz w:val="32"/>
      <w:szCs w:val="32"/>
    </w:rPr>
  </w:style>
  <w:style w:type="paragraph" w:styleId="8">
    <w:name w:val="heading 4"/>
    <w:basedOn w:val="1"/>
    <w:next w:val="1"/>
    <w:link w:val="1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29"/>
    <w:qFormat/>
    <w:uiPriority w:val="0"/>
    <w:pPr>
      <w:keepNext/>
      <w:keepLines/>
      <w:tabs>
        <w:tab w:val="left" w:pos="964"/>
        <w:tab w:val="left" w:pos="1008"/>
      </w:tabs>
      <w:spacing w:before="280" w:after="290" w:line="376" w:lineRule="auto"/>
      <w:ind w:left="964" w:hanging="397"/>
      <w:outlineLvl w:val="4"/>
    </w:pPr>
    <w:rPr>
      <w:rFonts w:ascii="Times New Roman" w:hAnsi="Times New Roman" w:eastAsia="宋体" w:cs="Times New Roman"/>
      <w:b/>
      <w:bCs/>
      <w:sz w:val="28"/>
      <w:szCs w:val="28"/>
    </w:rPr>
  </w:style>
  <w:style w:type="paragraph" w:styleId="10">
    <w:name w:val="heading 6"/>
    <w:basedOn w:val="1"/>
    <w:next w:val="1"/>
    <w:link w:val="130"/>
    <w:qFormat/>
    <w:uiPriority w:val="0"/>
    <w:pPr>
      <w:keepNext/>
      <w:keepLines/>
      <w:tabs>
        <w:tab w:val="left" w:pos="964"/>
        <w:tab w:val="left" w:pos="1152"/>
      </w:tabs>
      <w:spacing w:before="240" w:after="64" w:line="320" w:lineRule="auto"/>
      <w:ind w:left="964" w:hanging="397"/>
      <w:outlineLvl w:val="5"/>
    </w:pPr>
    <w:rPr>
      <w:rFonts w:ascii="Arial" w:hAnsi="Arial" w:eastAsia="黑体" w:cs="Times New Roman"/>
      <w:b/>
      <w:bCs/>
      <w:sz w:val="24"/>
      <w:szCs w:val="20"/>
    </w:rPr>
  </w:style>
  <w:style w:type="paragraph" w:styleId="11">
    <w:name w:val="heading 7"/>
    <w:basedOn w:val="1"/>
    <w:next w:val="1"/>
    <w:link w:val="131"/>
    <w:qFormat/>
    <w:uiPriority w:val="0"/>
    <w:pPr>
      <w:keepNext/>
      <w:keepLines/>
      <w:tabs>
        <w:tab w:val="left" w:pos="964"/>
        <w:tab w:val="left" w:pos="1296"/>
      </w:tabs>
      <w:spacing w:before="240" w:after="64" w:line="320" w:lineRule="auto"/>
      <w:ind w:left="964" w:hanging="397"/>
      <w:outlineLvl w:val="6"/>
    </w:pPr>
    <w:rPr>
      <w:rFonts w:ascii="Times New Roman" w:hAnsi="Times New Roman" w:eastAsia="宋体" w:cs="Times New Roman"/>
      <w:b/>
      <w:bCs/>
      <w:sz w:val="24"/>
      <w:szCs w:val="20"/>
    </w:rPr>
  </w:style>
  <w:style w:type="paragraph" w:styleId="12">
    <w:name w:val="heading 8"/>
    <w:basedOn w:val="1"/>
    <w:next w:val="1"/>
    <w:link w:val="132"/>
    <w:qFormat/>
    <w:uiPriority w:val="0"/>
    <w:pPr>
      <w:keepNext/>
      <w:keepLines/>
      <w:tabs>
        <w:tab w:val="left" w:pos="964"/>
        <w:tab w:val="left" w:pos="1440"/>
      </w:tabs>
      <w:spacing w:before="240" w:after="64" w:line="320" w:lineRule="auto"/>
      <w:ind w:left="964" w:hanging="397"/>
      <w:outlineLvl w:val="7"/>
    </w:pPr>
    <w:rPr>
      <w:rFonts w:ascii="Arial" w:hAnsi="Arial" w:eastAsia="黑体" w:cs="Times New Roman"/>
      <w:sz w:val="24"/>
      <w:szCs w:val="20"/>
    </w:rPr>
  </w:style>
  <w:style w:type="paragraph" w:styleId="13">
    <w:name w:val="heading 9"/>
    <w:basedOn w:val="1"/>
    <w:next w:val="1"/>
    <w:link w:val="133"/>
    <w:qFormat/>
    <w:uiPriority w:val="0"/>
    <w:pPr>
      <w:keepNext/>
      <w:keepLines/>
      <w:tabs>
        <w:tab w:val="left" w:pos="964"/>
        <w:tab w:val="left" w:pos="1584"/>
      </w:tabs>
      <w:spacing w:before="240" w:after="64" w:line="320" w:lineRule="auto"/>
      <w:ind w:left="964" w:hanging="397"/>
      <w:outlineLvl w:val="8"/>
    </w:pPr>
    <w:rPr>
      <w:rFonts w:ascii="Arial" w:hAnsi="Arial" w:eastAsia="黑体" w:cs="Times New Roman"/>
      <w:szCs w:val="21"/>
    </w:rPr>
  </w:style>
  <w:style w:type="character" w:default="1" w:styleId="56">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3"/>
    <w:link w:val="128"/>
    <w:qFormat/>
    <w:uiPriority w:val="0"/>
    <w:pPr>
      <w:spacing w:after="120" w:line="480" w:lineRule="auto"/>
      <w:ind w:left="420" w:leftChars="200"/>
    </w:pPr>
  </w:style>
  <w:style w:type="paragraph" w:customStyle="1" w:styleId="3">
    <w:name w:val="简单回函地址"/>
    <w:basedOn w:val="1"/>
    <w:next w:val="4"/>
    <w:qFormat/>
    <w:uiPriority w:val="0"/>
    <w:pPr>
      <w:widowControl/>
      <w:jc w:val="left"/>
    </w:pPr>
    <w:rPr>
      <w:rFonts w:ascii="Calibri" w:hAnsi="Calibri" w:eastAsia="宋体" w:cs="Times New Roman"/>
      <w:kern w:val="0"/>
      <w:sz w:val="24"/>
      <w:lang w:eastAsia="en-US" w:bidi="en-US"/>
    </w:rPr>
  </w:style>
  <w:style w:type="paragraph" w:customStyle="1" w:styleId="4">
    <w:name w:val="正文2"/>
    <w:basedOn w:val="1"/>
    <w:qFormat/>
    <w:uiPriority w:val="0"/>
    <w:pPr>
      <w:spacing w:line="360" w:lineRule="auto"/>
      <w:ind w:firstLine="200" w:firstLineChars="200"/>
      <w:jc w:val="left"/>
    </w:pPr>
    <w:rPr>
      <w:rFonts w:ascii="Times New Roman" w:hAnsi="Times New Roman" w:eastAsia="宋体" w:cs="Times New Roman"/>
      <w:kern w:val="0"/>
      <w:sz w:val="28"/>
      <w:szCs w:val="20"/>
    </w:rPr>
  </w:style>
  <w:style w:type="paragraph" w:styleId="14">
    <w:name w:val="toc 7"/>
    <w:basedOn w:val="1"/>
    <w:next w:val="1"/>
    <w:qFormat/>
    <w:uiPriority w:val="0"/>
    <w:pPr>
      <w:ind w:left="1260"/>
      <w:jc w:val="left"/>
    </w:pPr>
    <w:rPr>
      <w:rFonts w:ascii="Times New Roman" w:hAnsi="Times New Roman" w:eastAsia="宋体" w:cs="Times New Roman"/>
      <w:szCs w:val="21"/>
    </w:rPr>
  </w:style>
  <w:style w:type="paragraph" w:styleId="15">
    <w:name w:val="Note Heading"/>
    <w:basedOn w:val="1"/>
    <w:next w:val="1"/>
    <w:link w:val="134"/>
    <w:qFormat/>
    <w:uiPriority w:val="0"/>
    <w:pPr>
      <w:jc w:val="center"/>
    </w:pPr>
    <w:rPr>
      <w:rFonts w:ascii="Times New Roman" w:hAnsi="Times New Roman" w:eastAsia="宋体" w:cs="Times New Roman"/>
      <w:szCs w:val="20"/>
    </w:rPr>
  </w:style>
  <w:style w:type="paragraph" w:styleId="16">
    <w:name w:val="Normal Indent"/>
    <w:basedOn w:val="1"/>
    <w:link w:val="176"/>
    <w:qFormat/>
    <w:uiPriority w:val="0"/>
    <w:pPr>
      <w:widowControl/>
      <w:ind w:firstLine="420"/>
      <w:jc w:val="left"/>
    </w:pPr>
    <w:rPr>
      <w:rFonts w:ascii="Arial" w:hAnsi="Arial" w:eastAsia="仿宋_GB2312"/>
      <w:sz w:val="24"/>
    </w:rPr>
  </w:style>
  <w:style w:type="paragraph" w:styleId="17">
    <w:name w:val="caption"/>
    <w:basedOn w:val="1"/>
    <w:next w:val="1"/>
    <w:qFormat/>
    <w:uiPriority w:val="0"/>
    <w:rPr>
      <w:rFonts w:ascii="Arial" w:hAnsi="Arial" w:eastAsia="黑体" w:cs="Arial"/>
      <w:sz w:val="20"/>
      <w:szCs w:val="20"/>
    </w:rPr>
  </w:style>
  <w:style w:type="paragraph" w:styleId="18">
    <w:name w:val="Document Map"/>
    <w:basedOn w:val="1"/>
    <w:link w:val="69"/>
    <w:qFormat/>
    <w:uiPriority w:val="99"/>
    <w:rPr>
      <w:rFonts w:ascii="宋体" w:eastAsia="宋体"/>
      <w:sz w:val="18"/>
      <w:szCs w:val="18"/>
    </w:rPr>
  </w:style>
  <w:style w:type="paragraph" w:styleId="19">
    <w:name w:val="toa heading"/>
    <w:basedOn w:val="1"/>
    <w:next w:val="1"/>
    <w:unhideWhenUsed/>
    <w:qFormat/>
    <w:uiPriority w:val="99"/>
    <w:pPr>
      <w:spacing w:before="120"/>
    </w:pPr>
    <w:rPr>
      <w:rFonts w:eastAsia="宋体" w:asciiTheme="majorHAnsi" w:hAnsiTheme="majorHAnsi" w:cstheme="majorBidi"/>
      <w:sz w:val="24"/>
    </w:rPr>
  </w:style>
  <w:style w:type="paragraph" w:styleId="20">
    <w:name w:val="annotation text"/>
    <w:basedOn w:val="1"/>
    <w:link w:val="88"/>
    <w:qFormat/>
    <w:uiPriority w:val="0"/>
    <w:pPr>
      <w:jc w:val="left"/>
    </w:pPr>
  </w:style>
  <w:style w:type="paragraph" w:styleId="21">
    <w:name w:val="index 6"/>
    <w:basedOn w:val="1"/>
    <w:next w:val="1"/>
    <w:semiHidden/>
    <w:qFormat/>
    <w:uiPriority w:val="0"/>
    <w:pPr>
      <w:ind w:left="1000" w:leftChars="1000"/>
    </w:pPr>
    <w:rPr>
      <w:rFonts w:ascii="Times New Roman" w:hAnsi="Times New Roman" w:eastAsia="宋体" w:cs="Times New Roman"/>
    </w:rPr>
  </w:style>
  <w:style w:type="paragraph" w:styleId="22">
    <w:name w:val="Salutation"/>
    <w:basedOn w:val="1"/>
    <w:next w:val="1"/>
    <w:link w:val="239"/>
    <w:qFormat/>
    <w:uiPriority w:val="0"/>
    <w:rPr>
      <w:rFonts w:ascii="Times New Roman" w:hAnsi="Times New Roman" w:eastAsia="宋体" w:cs="Times New Roman"/>
      <w:szCs w:val="20"/>
    </w:rPr>
  </w:style>
  <w:style w:type="paragraph" w:styleId="23">
    <w:name w:val="Body Text 3"/>
    <w:basedOn w:val="1"/>
    <w:link w:val="135"/>
    <w:qFormat/>
    <w:uiPriority w:val="0"/>
    <w:pPr>
      <w:spacing w:after="120"/>
    </w:pPr>
    <w:rPr>
      <w:rFonts w:ascii="Times New Roman" w:hAnsi="Times New Roman" w:eastAsia="宋体" w:cs="Times New Roman"/>
      <w:sz w:val="16"/>
      <w:szCs w:val="16"/>
    </w:rPr>
  </w:style>
  <w:style w:type="paragraph" w:styleId="24">
    <w:name w:val="Body Text"/>
    <w:basedOn w:val="1"/>
    <w:link w:val="107"/>
    <w:unhideWhenUsed/>
    <w:qFormat/>
    <w:uiPriority w:val="99"/>
    <w:pPr>
      <w:spacing w:after="120"/>
    </w:pPr>
  </w:style>
  <w:style w:type="paragraph" w:styleId="25">
    <w:name w:val="Body Text Indent"/>
    <w:basedOn w:val="1"/>
    <w:link w:val="171"/>
    <w:qFormat/>
    <w:uiPriority w:val="0"/>
    <w:pPr>
      <w:ind w:left="420" w:leftChars="200"/>
    </w:pPr>
  </w:style>
  <w:style w:type="paragraph" w:styleId="26">
    <w:name w:val="Block Text"/>
    <w:basedOn w:val="1"/>
    <w:qFormat/>
    <w:uiPriority w:val="0"/>
    <w:pPr>
      <w:spacing w:line="360" w:lineRule="auto"/>
      <w:ind w:left="-8" w:leftChars="-4" w:right="-17" w:rightChars="-8" w:firstLine="480" w:firstLineChars="200"/>
    </w:pPr>
    <w:rPr>
      <w:rFonts w:ascii="Times New Roman" w:hAnsi="Times New Roman" w:eastAsia="宋体" w:cs="Times New Roman"/>
      <w:sz w:val="24"/>
    </w:rPr>
  </w:style>
  <w:style w:type="paragraph" w:styleId="27">
    <w:name w:val="toc 5"/>
    <w:basedOn w:val="1"/>
    <w:next w:val="1"/>
    <w:qFormat/>
    <w:uiPriority w:val="0"/>
    <w:pPr>
      <w:ind w:left="840"/>
      <w:jc w:val="left"/>
    </w:pPr>
    <w:rPr>
      <w:rFonts w:ascii="Times New Roman" w:hAnsi="Times New Roman" w:eastAsia="宋体" w:cs="Times New Roman"/>
      <w:szCs w:val="21"/>
    </w:rPr>
  </w:style>
  <w:style w:type="paragraph" w:styleId="28">
    <w:name w:val="toc 3"/>
    <w:basedOn w:val="1"/>
    <w:next w:val="1"/>
    <w:qFormat/>
    <w:uiPriority w:val="0"/>
    <w:pPr>
      <w:ind w:left="420"/>
      <w:jc w:val="left"/>
    </w:pPr>
    <w:rPr>
      <w:rFonts w:ascii="Times New Roman" w:hAnsi="Times New Roman" w:eastAsia="宋体" w:cs="Times New Roman"/>
      <w:i/>
      <w:iCs/>
    </w:rPr>
  </w:style>
  <w:style w:type="paragraph" w:styleId="29">
    <w:name w:val="Plain Text"/>
    <w:basedOn w:val="1"/>
    <w:link w:val="74"/>
    <w:qFormat/>
    <w:uiPriority w:val="0"/>
    <w:rPr>
      <w:rFonts w:ascii="宋体" w:hAnsi="Courier New" w:eastAsia="宋体"/>
    </w:rPr>
  </w:style>
  <w:style w:type="paragraph" w:styleId="30">
    <w:name w:val="toc 8"/>
    <w:basedOn w:val="1"/>
    <w:next w:val="1"/>
    <w:qFormat/>
    <w:uiPriority w:val="0"/>
    <w:pPr>
      <w:ind w:left="1470"/>
      <w:jc w:val="left"/>
    </w:pPr>
    <w:rPr>
      <w:rFonts w:ascii="Times New Roman" w:hAnsi="Times New Roman" w:eastAsia="宋体" w:cs="Times New Roman"/>
      <w:szCs w:val="21"/>
    </w:rPr>
  </w:style>
  <w:style w:type="paragraph" w:styleId="31">
    <w:name w:val="Date"/>
    <w:basedOn w:val="1"/>
    <w:next w:val="1"/>
    <w:link w:val="136"/>
    <w:qFormat/>
    <w:uiPriority w:val="0"/>
    <w:rPr>
      <w:rFonts w:ascii="宋体" w:hAnsi="宋体" w:eastAsia="宋体" w:cs="Times New Roman"/>
      <w:sz w:val="28"/>
      <w:szCs w:val="20"/>
    </w:rPr>
  </w:style>
  <w:style w:type="paragraph" w:styleId="32">
    <w:name w:val="Balloon Text"/>
    <w:basedOn w:val="1"/>
    <w:link w:val="68"/>
    <w:qFormat/>
    <w:uiPriority w:val="99"/>
    <w:rPr>
      <w:sz w:val="18"/>
      <w:szCs w:val="18"/>
    </w:rPr>
  </w:style>
  <w:style w:type="paragraph" w:styleId="33">
    <w:name w:val="footer"/>
    <w:basedOn w:val="1"/>
    <w:link w:val="84"/>
    <w:qFormat/>
    <w:uiPriority w:val="99"/>
    <w:pPr>
      <w:tabs>
        <w:tab w:val="center" w:pos="4153"/>
        <w:tab w:val="right" w:pos="8306"/>
      </w:tabs>
      <w:snapToGrid w:val="0"/>
      <w:jc w:val="left"/>
    </w:pPr>
    <w:rPr>
      <w:sz w:val="18"/>
      <w:szCs w:val="18"/>
    </w:rPr>
  </w:style>
  <w:style w:type="paragraph" w:styleId="34">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rPr>
      <w:rFonts w:ascii="Times New Roman" w:hAnsi="Times New Roman" w:eastAsia="宋体" w:cs="Times New Roman"/>
      <w:sz w:val="28"/>
      <w:szCs w:val="20"/>
    </w:rPr>
  </w:style>
  <w:style w:type="paragraph" w:styleId="36">
    <w:name w:val="toc 4"/>
    <w:basedOn w:val="1"/>
    <w:next w:val="1"/>
    <w:qFormat/>
    <w:uiPriority w:val="0"/>
    <w:pPr>
      <w:ind w:left="630"/>
      <w:jc w:val="left"/>
    </w:pPr>
    <w:rPr>
      <w:rFonts w:ascii="Times New Roman" w:hAnsi="Times New Roman" w:eastAsia="宋体" w:cs="Times New Roman"/>
      <w:szCs w:val="21"/>
    </w:rPr>
  </w:style>
  <w:style w:type="paragraph" w:styleId="37">
    <w:name w:val="Subtitle"/>
    <w:basedOn w:val="1"/>
    <w:next w:val="1"/>
    <w:link w:val="189"/>
    <w:qFormat/>
    <w:uiPriority w:val="11"/>
    <w:pPr>
      <w:spacing w:before="240" w:after="60" w:line="312" w:lineRule="atLeast"/>
      <w:ind w:firstLine="200" w:firstLineChars="200"/>
      <w:jc w:val="center"/>
      <w:outlineLvl w:val="1"/>
    </w:pPr>
    <w:rPr>
      <w:rFonts w:ascii="Cambria" w:hAnsi="Cambria" w:eastAsia="宋体" w:cs="Times New Roman"/>
      <w:b/>
      <w:bCs/>
      <w:kern w:val="28"/>
      <w:sz w:val="32"/>
      <w:szCs w:val="32"/>
    </w:rPr>
  </w:style>
  <w:style w:type="paragraph" w:styleId="38">
    <w:name w:val="List"/>
    <w:next w:val="1"/>
    <w:link w:val="178"/>
    <w:qFormat/>
    <w:uiPriority w:val="0"/>
    <w:pPr>
      <w:jc w:val="center"/>
    </w:pPr>
    <w:rPr>
      <w:rFonts w:ascii="Times New Roman" w:hAnsi="Times New Roman" w:eastAsia="宋体" w:cs="Times New Roman"/>
      <w:szCs w:val="24"/>
      <w:lang w:val="en-US" w:eastAsia="zh-CN" w:bidi="ar-SA"/>
    </w:rPr>
  </w:style>
  <w:style w:type="paragraph" w:styleId="39">
    <w:name w:val="toc 6"/>
    <w:basedOn w:val="1"/>
    <w:next w:val="1"/>
    <w:qFormat/>
    <w:uiPriority w:val="0"/>
    <w:pPr>
      <w:ind w:left="1050"/>
      <w:jc w:val="left"/>
    </w:pPr>
    <w:rPr>
      <w:rFonts w:ascii="Times New Roman" w:hAnsi="Times New Roman" w:eastAsia="宋体" w:cs="Times New Roman"/>
      <w:szCs w:val="21"/>
    </w:rPr>
  </w:style>
  <w:style w:type="paragraph" w:styleId="40">
    <w:name w:val="Body Text Indent 3"/>
    <w:basedOn w:val="1"/>
    <w:link w:val="115"/>
    <w:qFormat/>
    <w:uiPriority w:val="0"/>
    <w:pPr>
      <w:spacing w:after="120"/>
      <w:ind w:left="420" w:leftChars="200"/>
    </w:pPr>
    <w:rPr>
      <w:rFonts w:ascii="Times New Roman" w:hAnsi="Times New Roman" w:eastAsia="宋体" w:cs="Times New Roman"/>
      <w:sz w:val="16"/>
      <w:szCs w:val="16"/>
    </w:rPr>
  </w:style>
  <w:style w:type="paragraph" w:styleId="41">
    <w:name w:val="table of figures"/>
    <w:basedOn w:val="1"/>
    <w:next w:val="1"/>
    <w:qFormat/>
    <w:uiPriority w:val="0"/>
    <w:pPr>
      <w:spacing w:beforeLines="100" w:afterLines="50"/>
      <w:jc w:val="center"/>
    </w:pPr>
    <w:rPr>
      <w:rFonts w:ascii="黑体" w:hAnsi="宋体" w:eastAsia="黑体" w:cs="Times New Roman"/>
      <w:smallCaps/>
      <w:color w:val="000000"/>
      <w:sz w:val="28"/>
    </w:rPr>
  </w:style>
  <w:style w:type="paragraph" w:styleId="42">
    <w:name w:val="toc 2"/>
    <w:basedOn w:val="1"/>
    <w:next w:val="1"/>
    <w:qFormat/>
    <w:uiPriority w:val="39"/>
    <w:pPr>
      <w:adjustRightInd w:val="0"/>
      <w:snapToGrid w:val="0"/>
      <w:spacing w:line="360" w:lineRule="auto"/>
      <w:ind w:firstLine="240" w:firstLineChars="100"/>
      <w:jc w:val="left"/>
    </w:pPr>
    <w:rPr>
      <w:rFonts w:ascii="Times New Roman" w:hAnsi="Times New Roman" w:eastAsia="宋体" w:cs="Times New Roman"/>
      <w:smallCaps/>
    </w:rPr>
  </w:style>
  <w:style w:type="paragraph" w:styleId="43">
    <w:name w:val="toc 9"/>
    <w:basedOn w:val="1"/>
    <w:next w:val="1"/>
    <w:qFormat/>
    <w:uiPriority w:val="0"/>
    <w:pPr>
      <w:ind w:left="1680"/>
      <w:jc w:val="left"/>
    </w:pPr>
    <w:rPr>
      <w:rFonts w:ascii="Times New Roman" w:hAnsi="Times New Roman" w:eastAsia="宋体" w:cs="Times New Roman"/>
      <w:szCs w:val="21"/>
    </w:rPr>
  </w:style>
  <w:style w:type="paragraph" w:styleId="44">
    <w:name w:val="Body Text 2"/>
    <w:basedOn w:val="1"/>
    <w:link w:val="104"/>
    <w:qFormat/>
    <w:uiPriority w:val="0"/>
    <w:pPr>
      <w:spacing w:after="120" w:line="480" w:lineRule="auto"/>
    </w:pPr>
  </w:style>
  <w:style w:type="paragraph" w:styleId="45">
    <w:name w:val="HTML Preformatted"/>
    <w:basedOn w:val="1"/>
    <w:link w:val="19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46">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47">
    <w:name w:val="Title"/>
    <w:next w:val="1"/>
    <w:link w:val="83"/>
    <w:qFormat/>
    <w:uiPriority w:val="0"/>
    <w:pPr>
      <w:spacing w:before="240" w:after="60"/>
      <w:jc w:val="center"/>
      <w:outlineLvl w:val="0"/>
    </w:pPr>
    <w:rPr>
      <w:rFonts w:eastAsia="宋体" w:asciiTheme="majorHAnsi" w:hAnsiTheme="majorHAnsi" w:cstheme="majorBidi"/>
      <w:b/>
      <w:bCs/>
      <w:sz w:val="32"/>
      <w:szCs w:val="32"/>
      <w:lang w:val="en-US" w:eastAsia="zh-CN" w:bidi="ar-SA"/>
    </w:rPr>
  </w:style>
  <w:style w:type="paragraph" w:styleId="48">
    <w:name w:val="annotation subject"/>
    <w:basedOn w:val="20"/>
    <w:next w:val="20"/>
    <w:link w:val="89"/>
    <w:qFormat/>
    <w:uiPriority w:val="0"/>
    <w:rPr>
      <w:b/>
      <w:bCs/>
    </w:rPr>
  </w:style>
  <w:style w:type="paragraph" w:styleId="49">
    <w:name w:val="Body Text First Indent"/>
    <w:basedOn w:val="24"/>
    <w:link w:val="118"/>
    <w:qFormat/>
    <w:uiPriority w:val="99"/>
    <w:pPr>
      <w:ind w:firstLine="420" w:firstLineChars="100"/>
    </w:pPr>
  </w:style>
  <w:style w:type="paragraph" w:styleId="50">
    <w:name w:val="Body Text First Indent 2"/>
    <w:basedOn w:val="25"/>
    <w:link w:val="234"/>
    <w:qFormat/>
    <w:uiPriority w:val="0"/>
    <w:pPr>
      <w:spacing w:after="120"/>
      <w:ind w:firstLine="420" w:firstLineChars="200"/>
    </w:pPr>
    <w:rPr>
      <w:rFonts w:eastAsia="宋体"/>
    </w:rPr>
  </w:style>
  <w:style w:type="table" w:styleId="52">
    <w:name w:val="Table Grid"/>
    <w:basedOn w:val="5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3">
    <w:name w:val="Table Theme"/>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4">
    <w:name w:val="Table Elegant"/>
    <w:basedOn w:val="51"/>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51"/>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7">
    <w:name w:val="Strong"/>
    <w:basedOn w:val="56"/>
    <w:qFormat/>
    <w:uiPriority w:val="0"/>
    <w:rPr>
      <w:b/>
      <w:bCs/>
    </w:rPr>
  </w:style>
  <w:style w:type="character" w:styleId="58">
    <w:name w:val="page number"/>
    <w:basedOn w:val="56"/>
    <w:qFormat/>
    <w:uiPriority w:val="0"/>
  </w:style>
  <w:style w:type="character" w:styleId="59">
    <w:name w:val="FollowedHyperlink"/>
    <w:basedOn w:val="56"/>
    <w:qFormat/>
    <w:uiPriority w:val="0"/>
    <w:rPr>
      <w:color w:val="4E4342"/>
      <w:u w:val="none"/>
    </w:rPr>
  </w:style>
  <w:style w:type="character" w:styleId="60">
    <w:name w:val="Hyperlink"/>
    <w:basedOn w:val="56"/>
    <w:qFormat/>
    <w:uiPriority w:val="99"/>
    <w:rPr>
      <w:color w:val="136EC2"/>
      <w:u w:val="single"/>
    </w:rPr>
  </w:style>
  <w:style w:type="character" w:styleId="61">
    <w:name w:val="annotation reference"/>
    <w:basedOn w:val="56"/>
    <w:qFormat/>
    <w:uiPriority w:val="0"/>
    <w:rPr>
      <w:sz w:val="21"/>
      <w:szCs w:val="21"/>
    </w:rPr>
  </w:style>
  <w:style w:type="character" w:customStyle="1" w:styleId="62">
    <w:name w:val="标题 2 字符"/>
    <w:link w:val="6"/>
    <w:qFormat/>
    <w:uiPriority w:val="0"/>
    <w:rPr>
      <w:rFonts w:ascii="Arial" w:hAnsi="Arial" w:eastAsia="黑体" w:cs="Times New Roman"/>
      <w:b/>
      <w:bCs/>
      <w:kern w:val="2"/>
      <w:sz w:val="32"/>
      <w:szCs w:val="32"/>
    </w:rPr>
  </w:style>
  <w:style w:type="paragraph" w:customStyle="1" w:styleId="63">
    <w:name w:val="表格文字2"/>
    <w:basedOn w:val="1"/>
    <w:qFormat/>
    <w:uiPriority w:val="0"/>
    <w:pPr>
      <w:adjustRightInd w:val="0"/>
      <w:jc w:val="center"/>
      <w:textAlignment w:val="baseline"/>
    </w:pPr>
    <w:rPr>
      <w:rFonts w:ascii="宋体"/>
      <w:kern w:val="0"/>
      <w:sz w:val="24"/>
      <w:szCs w:val="20"/>
    </w:rPr>
  </w:style>
  <w:style w:type="paragraph" w:customStyle="1" w:styleId="64">
    <w:name w:val="样式 样式 标题ljm + 首行缩进:  2 字符 + 首行缩进:  2 字符1"/>
    <w:basedOn w:val="1"/>
    <w:qFormat/>
    <w:uiPriority w:val="0"/>
    <w:pPr>
      <w:spacing w:line="360" w:lineRule="auto"/>
      <w:ind w:firstLine="482" w:firstLineChars="200"/>
      <w:outlineLvl w:val="0"/>
    </w:pPr>
    <w:rPr>
      <w:rFonts w:ascii="宋体" w:cs="宋体"/>
      <w:b/>
      <w:bCs/>
      <w:szCs w:val="20"/>
    </w:rPr>
  </w:style>
  <w:style w:type="paragraph" w:customStyle="1" w:styleId="65">
    <w:name w:val="图表文字"/>
    <w:basedOn w:val="1"/>
    <w:qFormat/>
    <w:uiPriority w:val="0"/>
    <w:pPr>
      <w:spacing w:line="360" w:lineRule="auto"/>
    </w:pPr>
    <w:rPr>
      <w:rFonts w:hAnsi="宋体"/>
      <w:spacing w:val="-6"/>
      <w:sz w:val="24"/>
    </w:rPr>
  </w:style>
  <w:style w:type="paragraph" w:customStyle="1" w:styleId="66">
    <w:name w:val="表内文字3"/>
    <w:basedOn w:val="1"/>
    <w:qFormat/>
    <w:uiPriority w:val="0"/>
    <w:pPr>
      <w:spacing w:line="0" w:lineRule="atLeast"/>
      <w:jc w:val="center"/>
    </w:pPr>
    <w:rPr>
      <w:rFonts w:ascii="宋体" w:cs="宋体"/>
      <w:kern w:val="0"/>
      <w:szCs w:val="20"/>
    </w:rPr>
  </w:style>
  <w:style w:type="character" w:customStyle="1" w:styleId="67">
    <w:name w:val="页眉 字符"/>
    <w:basedOn w:val="56"/>
    <w:link w:val="34"/>
    <w:qFormat/>
    <w:uiPriority w:val="0"/>
    <w:rPr>
      <w:kern w:val="2"/>
      <w:sz w:val="18"/>
      <w:szCs w:val="18"/>
    </w:rPr>
  </w:style>
  <w:style w:type="character" w:customStyle="1" w:styleId="68">
    <w:name w:val="批注框文本 字符"/>
    <w:basedOn w:val="56"/>
    <w:link w:val="32"/>
    <w:qFormat/>
    <w:uiPriority w:val="99"/>
    <w:rPr>
      <w:kern w:val="2"/>
      <w:sz w:val="18"/>
      <w:szCs w:val="18"/>
    </w:rPr>
  </w:style>
  <w:style w:type="character" w:customStyle="1" w:styleId="69">
    <w:name w:val="文档结构图 字符"/>
    <w:basedOn w:val="56"/>
    <w:link w:val="18"/>
    <w:qFormat/>
    <w:uiPriority w:val="99"/>
    <w:rPr>
      <w:rFonts w:ascii="宋体" w:eastAsia="宋体"/>
      <w:kern w:val="2"/>
      <w:sz w:val="18"/>
      <w:szCs w:val="18"/>
    </w:rPr>
  </w:style>
  <w:style w:type="paragraph" w:customStyle="1" w:styleId="70">
    <w:name w:val="Char4 Char Char Char Char Char Char1"/>
    <w:basedOn w:val="1"/>
    <w:qFormat/>
    <w:uiPriority w:val="0"/>
    <w:pPr>
      <w:adjustRightInd w:val="0"/>
      <w:spacing w:line="360" w:lineRule="auto"/>
      <w:ind w:firstLine="200" w:firstLineChars="200"/>
    </w:pPr>
    <w:rPr>
      <w:rFonts w:ascii="Times New Roman" w:hAnsi="Times New Roman" w:eastAsia="宋体" w:cs="Times New Roman"/>
      <w:szCs w:val="20"/>
    </w:rPr>
  </w:style>
  <w:style w:type="paragraph" w:styleId="71">
    <w:name w:val="List Paragraph"/>
    <w:basedOn w:val="1"/>
    <w:unhideWhenUsed/>
    <w:qFormat/>
    <w:uiPriority w:val="34"/>
    <w:pPr>
      <w:ind w:firstLine="420" w:firstLineChars="200"/>
    </w:pPr>
  </w:style>
  <w:style w:type="paragraph" w:customStyle="1" w:styleId="72">
    <w:name w:val="标题3"/>
    <w:basedOn w:val="7"/>
    <w:qFormat/>
    <w:uiPriority w:val="0"/>
    <w:pPr>
      <w:spacing w:before="0" w:after="0" w:line="360" w:lineRule="auto"/>
      <w:jc w:val="left"/>
      <w:outlineLvl w:val="9"/>
    </w:pPr>
    <w:rPr>
      <w:rFonts w:ascii="Times New Roman" w:hAnsi="Times New Roman" w:eastAsia="宋体" w:cs="Times New Roman"/>
      <w:sz w:val="24"/>
      <w:szCs w:val="24"/>
    </w:rPr>
  </w:style>
  <w:style w:type="character" w:customStyle="1" w:styleId="73">
    <w:name w:val="标题 3 字符"/>
    <w:basedOn w:val="56"/>
    <w:link w:val="7"/>
    <w:qFormat/>
    <w:uiPriority w:val="0"/>
    <w:rPr>
      <w:b/>
      <w:bCs/>
      <w:kern w:val="2"/>
      <w:sz w:val="32"/>
      <w:szCs w:val="32"/>
    </w:rPr>
  </w:style>
  <w:style w:type="character" w:customStyle="1" w:styleId="74">
    <w:name w:val="纯文本 字符"/>
    <w:link w:val="29"/>
    <w:qFormat/>
    <w:uiPriority w:val="0"/>
    <w:rPr>
      <w:rFonts w:ascii="宋体" w:hAnsi="Courier New" w:eastAsia="宋体"/>
      <w:kern w:val="2"/>
      <w:sz w:val="21"/>
      <w:szCs w:val="24"/>
    </w:rPr>
  </w:style>
  <w:style w:type="character" w:customStyle="1" w:styleId="75">
    <w:name w:val="报告书正文 Char Char"/>
    <w:link w:val="76"/>
    <w:qFormat/>
    <w:uiPriority w:val="0"/>
    <w:rPr>
      <w:rFonts w:eastAsia="宋体"/>
      <w:kern w:val="2"/>
      <w:sz w:val="24"/>
      <w:szCs w:val="24"/>
    </w:rPr>
  </w:style>
  <w:style w:type="paragraph" w:customStyle="1" w:styleId="76">
    <w:name w:val="报告书正文"/>
    <w:basedOn w:val="1"/>
    <w:link w:val="75"/>
    <w:qFormat/>
    <w:uiPriority w:val="0"/>
    <w:pPr>
      <w:spacing w:line="360" w:lineRule="auto"/>
      <w:textAlignment w:val="baseline"/>
    </w:pPr>
    <w:rPr>
      <w:rFonts w:eastAsia="宋体"/>
      <w:sz w:val="24"/>
    </w:rPr>
  </w:style>
  <w:style w:type="paragraph" w:customStyle="1" w:styleId="77">
    <w:name w:val="表名、图名"/>
    <w:basedOn w:val="1"/>
    <w:next w:val="1"/>
    <w:qFormat/>
    <w:uiPriority w:val="0"/>
    <w:pPr>
      <w:spacing w:line="360" w:lineRule="auto"/>
      <w:jc w:val="center"/>
    </w:pPr>
    <w:rPr>
      <w:rFonts w:ascii="Times New Roman" w:hAnsi="Times New Roman" w:eastAsia="黑体" w:cs="Times New Roman"/>
      <w:sz w:val="24"/>
      <w:szCs w:val="20"/>
    </w:rPr>
  </w:style>
  <w:style w:type="paragraph" w:customStyle="1" w:styleId="78">
    <w:name w:val="Default"/>
    <w:qFormat/>
    <w:uiPriority w:val="0"/>
    <w:pPr>
      <w:widowControl w:val="0"/>
      <w:autoSpaceDE w:val="0"/>
      <w:autoSpaceDN w:val="0"/>
    </w:pPr>
    <w:rPr>
      <w:rFonts w:ascii="宋体" w:hAnsi="宋体" w:eastAsia="宋体" w:cs="Times New Roman"/>
      <w:color w:val="000000"/>
      <w:sz w:val="24"/>
      <w:lang w:val="en-US" w:eastAsia="zh-CN" w:bidi="ar-SA"/>
    </w:rPr>
  </w:style>
  <w:style w:type="paragraph" w:customStyle="1" w:styleId="79">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rFonts w:ascii="Times New Roman" w:hAnsi="宋体" w:eastAsia="宋体" w:cs="Times New Roman"/>
      <w:kern w:val="0"/>
      <w:sz w:val="24"/>
      <w:szCs w:val="21"/>
      <w:lang w:val="zh-CN"/>
    </w:rPr>
  </w:style>
  <w:style w:type="character" w:customStyle="1" w:styleId="80">
    <w:name w:val="表格标题 Char Char"/>
    <w:link w:val="81"/>
    <w:qFormat/>
    <w:uiPriority w:val="0"/>
    <w:rPr>
      <w:rFonts w:ascii="宋体" w:eastAsia="宋体"/>
      <w:b/>
      <w:kern w:val="2"/>
      <w:sz w:val="21"/>
    </w:rPr>
  </w:style>
  <w:style w:type="paragraph" w:customStyle="1" w:styleId="81">
    <w:name w:val="表格标题"/>
    <w:basedOn w:val="1"/>
    <w:link w:val="80"/>
    <w:qFormat/>
    <w:uiPriority w:val="0"/>
    <w:pPr>
      <w:adjustRightInd w:val="0"/>
      <w:spacing w:line="300" w:lineRule="auto"/>
      <w:jc w:val="center"/>
      <w:textAlignment w:val="baseline"/>
    </w:pPr>
    <w:rPr>
      <w:rFonts w:ascii="宋体" w:eastAsia="宋体"/>
      <w:b/>
      <w:szCs w:val="20"/>
    </w:rPr>
  </w:style>
  <w:style w:type="character" w:customStyle="1" w:styleId="82">
    <w:name w:val="标题 1 字符"/>
    <w:basedOn w:val="56"/>
    <w:link w:val="5"/>
    <w:qFormat/>
    <w:uiPriority w:val="0"/>
    <w:rPr>
      <w:rFonts w:ascii="Cambria" w:hAnsi="Cambria" w:eastAsia="宋体" w:cs="Times New Roman"/>
      <w:b/>
      <w:bCs/>
      <w:kern w:val="44"/>
      <w:sz w:val="32"/>
      <w:szCs w:val="32"/>
    </w:rPr>
  </w:style>
  <w:style w:type="character" w:customStyle="1" w:styleId="83">
    <w:name w:val="标题 字符"/>
    <w:basedOn w:val="56"/>
    <w:link w:val="47"/>
    <w:qFormat/>
    <w:uiPriority w:val="0"/>
    <w:rPr>
      <w:rFonts w:eastAsia="宋体" w:asciiTheme="majorHAnsi" w:hAnsiTheme="majorHAnsi" w:cstheme="majorBidi"/>
      <w:b/>
      <w:bCs/>
      <w:kern w:val="2"/>
      <w:sz w:val="32"/>
      <w:szCs w:val="32"/>
    </w:rPr>
  </w:style>
  <w:style w:type="character" w:customStyle="1" w:styleId="84">
    <w:name w:val="页脚 字符"/>
    <w:link w:val="33"/>
    <w:qFormat/>
    <w:uiPriority w:val="99"/>
    <w:rPr>
      <w:kern w:val="2"/>
      <w:sz w:val="18"/>
      <w:szCs w:val="18"/>
    </w:rPr>
  </w:style>
  <w:style w:type="paragraph" w:customStyle="1" w:styleId="85">
    <w:name w:val="xl22"/>
    <w:basedOn w:val="1"/>
    <w:qFormat/>
    <w:uiPriority w:val="0"/>
    <w:pPr>
      <w:widowControl/>
      <w:spacing w:before="100" w:beforeAutospacing="1" w:after="100" w:afterAutospacing="1"/>
    </w:pPr>
    <w:rPr>
      <w:rFonts w:ascii="宋体" w:hAnsi="宋体" w:eastAsia="宋体" w:cs="Times New Roman"/>
      <w:kern w:val="0"/>
      <w:sz w:val="24"/>
      <w:szCs w:val="20"/>
    </w:rPr>
  </w:style>
  <w:style w:type="paragraph" w:customStyle="1" w:styleId="86">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character" w:styleId="87">
    <w:name w:val="Placeholder Text"/>
    <w:basedOn w:val="56"/>
    <w:unhideWhenUsed/>
    <w:qFormat/>
    <w:uiPriority w:val="0"/>
    <w:rPr>
      <w:color w:val="808080"/>
    </w:rPr>
  </w:style>
  <w:style w:type="character" w:customStyle="1" w:styleId="88">
    <w:name w:val="批注文字 字符"/>
    <w:basedOn w:val="56"/>
    <w:link w:val="20"/>
    <w:qFormat/>
    <w:uiPriority w:val="0"/>
    <w:rPr>
      <w:kern w:val="2"/>
      <w:sz w:val="21"/>
      <w:szCs w:val="24"/>
    </w:rPr>
  </w:style>
  <w:style w:type="character" w:customStyle="1" w:styleId="89">
    <w:name w:val="批注主题 字符"/>
    <w:basedOn w:val="88"/>
    <w:link w:val="48"/>
    <w:qFormat/>
    <w:uiPriority w:val="0"/>
    <w:rPr>
      <w:b/>
      <w:bCs/>
      <w:kern w:val="2"/>
      <w:sz w:val="21"/>
      <w:szCs w:val="24"/>
    </w:rPr>
  </w:style>
  <w:style w:type="paragraph" w:customStyle="1" w:styleId="90">
    <w:name w:val="样式2"/>
    <w:basedOn w:val="91"/>
    <w:qFormat/>
    <w:uiPriority w:val="0"/>
    <w:pPr>
      <w:jc w:val="both"/>
    </w:pPr>
    <w:rPr>
      <w:sz w:val="32"/>
      <w:u w:val="thick"/>
    </w:rPr>
  </w:style>
  <w:style w:type="paragraph" w:customStyle="1" w:styleId="91">
    <w:name w:val="样式1"/>
    <w:basedOn w:val="1"/>
    <w:qFormat/>
    <w:uiPriority w:val="0"/>
    <w:pPr>
      <w:spacing w:line="480" w:lineRule="auto"/>
      <w:jc w:val="center"/>
    </w:pPr>
    <w:rPr>
      <w:rFonts w:ascii="Times New Roman" w:hAnsi="Times New Roman" w:eastAsia="宋体" w:cs="Times New Roman"/>
      <w:b/>
      <w:sz w:val="36"/>
    </w:rPr>
  </w:style>
  <w:style w:type="paragraph" w:customStyle="1" w:styleId="92">
    <w:name w:val="Char4 Char Char Char Char Char Char11"/>
    <w:basedOn w:val="1"/>
    <w:qFormat/>
    <w:uiPriority w:val="0"/>
    <w:pPr>
      <w:adjustRightInd w:val="0"/>
      <w:spacing w:line="360" w:lineRule="auto"/>
      <w:ind w:firstLine="200" w:firstLineChars="200"/>
    </w:pPr>
    <w:rPr>
      <w:rFonts w:ascii="Times New Roman" w:hAnsi="Times New Roman" w:eastAsia="宋体" w:cs="Times New Roman"/>
      <w:szCs w:val="20"/>
    </w:rPr>
  </w:style>
  <w:style w:type="paragraph" w:customStyle="1" w:styleId="93">
    <w:name w:val="报告"/>
    <w:basedOn w:val="1"/>
    <w:link w:val="94"/>
    <w:qFormat/>
    <w:uiPriority w:val="0"/>
    <w:pPr>
      <w:adjustRightInd w:val="0"/>
      <w:spacing w:line="360" w:lineRule="auto"/>
      <w:ind w:firstLine="505"/>
      <w:textAlignment w:val="center"/>
    </w:pPr>
    <w:rPr>
      <w:rFonts w:ascii="TimesNewRoman" w:hAnsi="TimesNewRoman" w:eastAsia="宋体" w:cs="Times New Roman"/>
      <w:kern w:val="0"/>
      <w:sz w:val="24"/>
      <w:szCs w:val="20"/>
    </w:rPr>
  </w:style>
  <w:style w:type="character" w:customStyle="1" w:styleId="94">
    <w:name w:val="报告 Char"/>
    <w:link w:val="93"/>
    <w:qFormat/>
    <w:uiPriority w:val="0"/>
    <w:rPr>
      <w:rFonts w:ascii="TimesNewRoman" w:hAnsi="TimesNewRoman" w:eastAsia="宋体" w:cs="Times New Roman"/>
      <w:sz w:val="24"/>
    </w:rPr>
  </w:style>
  <w:style w:type="paragraph" w:customStyle="1" w:styleId="95">
    <w:name w:val="+正文"/>
    <w:basedOn w:val="1"/>
    <w:qFormat/>
    <w:uiPriority w:val="0"/>
    <w:pPr>
      <w:spacing w:line="360" w:lineRule="auto"/>
      <w:ind w:firstLine="200" w:firstLineChars="200"/>
    </w:pPr>
    <w:rPr>
      <w:rFonts w:ascii="Times New Roman" w:hAnsi="Times New Roman" w:eastAsia="宋体" w:cs="Times New Roman"/>
      <w:sz w:val="24"/>
      <w:szCs w:val="28"/>
    </w:rPr>
  </w:style>
  <w:style w:type="paragraph" w:customStyle="1" w:styleId="96">
    <w:name w:val="修订1"/>
    <w:hidden/>
    <w:semi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97">
    <w:name w:val="纯文本 Char2"/>
    <w:qFormat/>
    <w:uiPriority w:val="0"/>
    <w:rPr>
      <w:rFonts w:ascii="宋体" w:hAnsi="Courier New" w:eastAsia="宋体"/>
      <w:kern w:val="2"/>
      <w:sz w:val="21"/>
      <w:lang w:val="en-US" w:eastAsia="zh-CN" w:bidi="ar-SA"/>
    </w:rPr>
  </w:style>
  <w:style w:type="paragraph" w:customStyle="1" w:styleId="98">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paragraph" w:customStyle="1" w:styleId="99">
    <w:name w:val="样式 首行缩进:  2 字符"/>
    <w:basedOn w:val="1"/>
    <w:qFormat/>
    <w:uiPriority w:val="0"/>
    <w:pPr>
      <w:spacing w:line="440" w:lineRule="exact"/>
      <w:ind w:firstLine="200" w:firstLineChars="200"/>
    </w:pPr>
    <w:rPr>
      <w:rFonts w:ascii="Times New Roman" w:hAnsi="Times New Roman" w:eastAsia="宋体" w:cs="宋体"/>
      <w:sz w:val="24"/>
      <w:szCs w:val="20"/>
    </w:rPr>
  </w:style>
  <w:style w:type="paragraph" w:customStyle="1" w:styleId="100">
    <w:name w:val="表"/>
    <w:basedOn w:val="1"/>
    <w:qFormat/>
    <w:uiPriority w:val="0"/>
    <w:rPr>
      <w:rFonts w:ascii="Times New Roman" w:hAnsi="Times New Roman" w:eastAsia="宋体" w:cs="Times New Roman"/>
      <w:sz w:val="24"/>
      <w:szCs w:val="20"/>
    </w:rPr>
  </w:style>
  <w:style w:type="paragraph" w:customStyle="1" w:styleId="101">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02">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103">
    <w:name w:val="_Style 21"/>
    <w:basedOn w:val="1"/>
    <w:qFormat/>
    <w:uiPriority w:val="0"/>
    <w:rPr>
      <w:rFonts w:ascii="Times New Roman" w:hAnsi="Times New Roman" w:eastAsia="宋体" w:cs="Times New Roman"/>
      <w:szCs w:val="20"/>
    </w:rPr>
  </w:style>
  <w:style w:type="character" w:customStyle="1" w:styleId="104">
    <w:name w:val="正文文本 2 字符"/>
    <w:basedOn w:val="56"/>
    <w:link w:val="44"/>
    <w:qFormat/>
    <w:uiPriority w:val="0"/>
    <w:rPr>
      <w:kern w:val="2"/>
      <w:sz w:val="21"/>
      <w:szCs w:val="24"/>
    </w:rPr>
  </w:style>
  <w:style w:type="paragraph" w:customStyle="1" w:styleId="105">
    <w:name w:val="样式44"/>
    <w:basedOn w:val="1"/>
    <w:qFormat/>
    <w:uiPriority w:val="0"/>
    <w:pPr>
      <w:spacing w:before="120" w:after="120" w:line="360" w:lineRule="auto"/>
      <w:ind w:firstLine="480" w:firstLineChars="200"/>
    </w:pPr>
    <w:rPr>
      <w:rFonts w:ascii="Times New Roman" w:hAnsi="Times New Roman" w:eastAsia="宋体" w:cs="Times New Roman"/>
      <w:color w:val="000000"/>
      <w:sz w:val="24"/>
      <w:szCs w:val="20"/>
    </w:rPr>
  </w:style>
  <w:style w:type="character" w:customStyle="1" w:styleId="106">
    <w:name w:val="正文文本 Char1"/>
    <w:basedOn w:val="56"/>
    <w:qFormat/>
    <w:locked/>
    <w:uiPriority w:val="99"/>
    <w:rPr>
      <w:kern w:val="2"/>
      <w:sz w:val="21"/>
      <w:szCs w:val="24"/>
    </w:rPr>
  </w:style>
  <w:style w:type="character" w:customStyle="1" w:styleId="107">
    <w:name w:val="正文文本 字符"/>
    <w:basedOn w:val="56"/>
    <w:link w:val="24"/>
    <w:qFormat/>
    <w:uiPriority w:val="99"/>
    <w:rPr>
      <w:kern w:val="2"/>
      <w:sz w:val="21"/>
      <w:szCs w:val="24"/>
    </w:rPr>
  </w:style>
  <w:style w:type="paragraph" w:customStyle="1" w:styleId="108">
    <w:name w:val="表格文字"/>
    <w:basedOn w:val="24"/>
    <w:next w:val="1"/>
    <w:link w:val="109"/>
    <w:qFormat/>
    <w:uiPriority w:val="0"/>
    <w:pPr>
      <w:tabs>
        <w:tab w:val="left" w:pos="3720"/>
      </w:tabs>
      <w:autoSpaceDE w:val="0"/>
      <w:autoSpaceDN w:val="0"/>
      <w:adjustRightInd w:val="0"/>
      <w:spacing w:after="0"/>
      <w:jc w:val="center"/>
      <w:textAlignment w:val="bottom"/>
    </w:pPr>
    <w:rPr>
      <w:rFonts w:ascii="Calibri" w:hAnsi="Calibri" w:eastAsia="宋体" w:cs="Times New Roman"/>
      <w:kern w:val="0"/>
      <w:szCs w:val="20"/>
    </w:rPr>
  </w:style>
  <w:style w:type="character" w:customStyle="1" w:styleId="109">
    <w:name w:val="表格文字 Char"/>
    <w:link w:val="108"/>
    <w:qFormat/>
    <w:uiPriority w:val="0"/>
    <w:rPr>
      <w:rFonts w:ascii="Calibri" w:hAnsi="Calibri" w:eastAsia="宋体" w:cs="Times New Roman"/>
      <w:sz w:val="21"/>
    </w:rPr>
  </w:style>
  <w:style w:type="paragraph" w:customStyle="1" w:styleId="110">
    <w:name w:val="方案正文样式"/>
    <w:basedOn w:val="1"/>
    <w:link w:val="111"/>
    <w:qFormat/>
    <w:uiPriority w:val="0"/>
    <w:pPr>
      <w:adjustRightInd w:val="0"/>
      <w:snapToGrid w:val="0"/>
      <w:spacing w:before="120" w:line="360" w:lineRule="auto"/>
      <w:ind w:firstLine="454"/>
      <w:textAlignment w:val="baseline"/>
    </w:pPr>
    <w:rPr>
      <w:rFonts w:ascii="Times New Roman" w:hAnsi="Times New Roman" w:eastAsia="宋体" w:cs="Times New Roman"/>
      <w:snapToGrid w:val="0"/>
      <w:kern w:val="0"/>
      <w:sz w:val="24"/>
    </w:rPr>
  </w:style>
  <w:style w:type="character" w:customStyle="1" w:styleId="111">
    <w:name w:val="方案正文样式 Char"/>
    <w:link w:val="110"/>
    <w:qFormat/>
    <w:uiPriority w:val="0"/>
    <w:rPr>
      <w:rFonts w:ascii="Times New Roman" w:hAnsi="Times New Roman" w:eastAsia="宋体" w:cs="Times New Roman"/>
      <w:snapToGrid w:val="0"/>
      <w:sz w:val="24"/>
      <w:szCs w:val="24"/>
    </w:rPr>
  </w:style>
  <w:style w:type="character" w:customStyle="1" w:styleId="112">
    <w:name w:val="标准 Char"/>
    <w:link w:val="113"/>
    <w:qFormat/>
    <w:uiPriority w:val="0"/>
    <w:rPr>
      <w:kern w:val="2"/>
      <w:sz w:val="24"/>
      <w:szCs w:val="28"/>
    </w:rPr>
  </w:style>
  <w:style w:type="paragraph" w:customStyle="1" w:styleId="113">
    <w:name w:val="标准"/>
    <w:link w:val="112"/>
    <w:qFormat/>
    <w:uiPriority w:val="0"/>
    <w:pPr>
      <w:widowControl w:val="0"/>
      <w:spacing w:line="500" w:lineRule="exact"/>
      <w:ind w:firstLine="200" w:firstLineChars="200"/>
      <w:jc w:val="both"/>
    </w:pPr>
    <w:rPr>
      <w:rFonts w:asciiTheme="minorHAnsi" w:hAnsiTheme="minorHAnsi" w:eastAsiaTheme="minorEastAsia" w:cstheme="minorBidi"/>
      <w:kern w:val="2"/>
      <w:sz w:val="24"/>
      <w:szCs w:val="28"/>
      <w:lang w:val="en-US" w:eastAsia="zh-CN" w:bidi="ar-SA"/>
    </w:rPr>
  </w:style>
  <w:style w:type="character" w:customStyle="1" w:styleId="114">
    <w:name w:val="标题 2 Char"/>
    <w:basedOn w:val="56"/>
    <w:qFormat/>
    <w:uiPriority w:val="0"/>
    <w:rPr>
      <w:rFonts w:asciiTheme="majorHAnsi" w:hAnsiTheme="majorHAnsi" w:eastAsiaTheme="majorEastAsia" w:cstheme="majorBidi"/>
      <w:b/>
      <w:bCs/>
      <w:kern w:val="2"/>
      <w:sz w:val="32"/>
      <w:szCs w:val="32"/>
    </w:rPr>
  </w:style>
  <w:style w:type="character" w:customStyle="1" w:styleId="115">
    <w:name w:val="正文文本缩进 3 字符"/>
    <w:basedOn w:val="56"/>
    <w:link w:val="40"/>
    <w:qFormat/>
    <w:uiPriority w:val="0"/>
    <w:rPr>
      <w:rFonts w:ascii="Times New Roman" w:hAnsi="Times New Roman" w:eastAsia="宋体" w:cs="Times New Roman"/>
      <w:kern w:val="2"/>
      <w:sz w:val="16"/>
      <w:szCs w:val="16"/>
    </w:rPr>
  </w:style>
  <w:style w:type="paragraph" w:customStyle="1" w:styleId="116">
    <w:name w:val="正文样式 Char"/>
    <w:basedOn w:val="1"/>
    <w:qFormat/>
    <w:uiPriority w:val="0"/>
    <w:pPr>
      <w:adjustRightInd w:val="0"/>
      <w:snapToGrid w:val="0"/>
      <w:spacing w:line="460" w:lineRule="exact"/>
      <w:ind w:firstLine="200" w:firstLineChars="200"/>
    </w:pPr>
    <w:rPr>
      <w:rFonts w:ascii="Times New Roman" w:hAnsi="Times New Roman" w:eastAsia="宋体" w:cs="Times New Roman"/>
      <w:color w:val="000000"/>
      <w:sz w:val="26"/>
      <w:szCs w:val="26"/>
    </w:rPr>
  </w:style>
  <w:style w:type="character" w:customStyle="1" w:styleId="117">
    <w:name w:val="正文首行缩进 Char"/>
    <w:basedOn w:val="56"/>
    <w:qFormat/>
    <w:uiPriority w:val="99"/>
    <w:rPr>
      <w:kern w:val="2"/>
      <w:sz w:val="21"/>
      <w:szCs w:val="24"/>
    </w:rPr>
  </w:style>
  <w:style w:type="character" w:customStyle="1" w:styleId="118">
    <w:name w:val="正文文本首行缩进 字符"/>
    <w:basedOn w:val="106"/>
    <w:link w:val="49"/>
    <w:qFormat/>
    <w:uiPriority w:val="0"/>
    <w:rPr>
      <w:kern w:val="2"/>
      <w:sz w:val="21"/>
      <w:szCs w:val="24"/>
    </w:rPr>
  </w:style>
  <w:style w:type="character" w:customStyle="1" w:styleId="119">
    <w:name w:val="报告 Char Char"/>
    <w:qFormat/>
    <w:uiPriority w:val="0"/>
    <w:rPr>
      <w:rFonts w:eastAsia="宋体"/>
      <w:sz w:val="24"/>
      <w:lang w:val="en-US" w:eastAsia="zh-CN" w:bidi="ar-SA"/>
    </w:rPr>
  </w:style>
  <w:style w:type="character" w:customStyle="1" w:styleId="120">
    <w:name w:val="表格文字 Char Char"/>
    <w:qFormat/>
    <w:uiPriority w:val="0"/>
    <w:rPr>
      <w:rFonts w:eastAsia="宋体"/>
      <w:kern w:val="2"/>
      <w:sz w:val="18"/>
      <w:lang w:val="en-US" w:eastAsia="zh-CN" w:bidi="ar-SA"/>
    </w:rPr>
  </w:style>
  <w:style w:type="character" w:customStyle="1" w:styleId="121">
    <w:name w:val="标题 4 字符"/>
    <w:basedOn w:val="56"/>
    <w:link w:val="8"/>
    <w:qFormat/>
    <w:uiPriority w:val="9"/>
    <w:rPr>
      <w:rFonts w:asciiTheme="majorHAnsi" w:hAnsiTheme="majorHAnsi" w:eastAsiaTheme="majorEastAsia" w:cstheme="majorBidi"/>
      <w:b/>
      <w:bCs/>
      <w:kern w:val="2"/>
      <w:sz w:val="28"/>
      <w:szCs w:val="28"/>
    </w:rPr>
  </w:style>
  <w:style w:type="character" w:customStyle="1" w:styleId="122">
    <w:name w:val="表格 Char Char"/>
    <w:link w:val="123"/>
    <w:qFormat/>
    <w:uiPriority w:val="0"/>
    <w:rPr>
      <w:rFonts w:eastAsia="宋体"/>
      <w:snapToGrid w:val="0"/>
      <w:szCs w:val="24"/>
    </w:rPr>
  </w:style>
  <w:style w:type="paragraph" w:customStyle="1" w:styleId="123">
    <w:name w:val="表格"/>
    <w:basedOn w:val="1"/>
    <w:link w:val="122"/>
    <w:qFormat/>
    <w:uiPriority w:val="0"/>
    <w:pPr>
      <w:adjustRightInd w:val="0"/>
      <w:snapToGrid w:val="0"/>
      <w:jc w:val="center"/>
    </w:pPr>
    <w:rPr>
      <w:rFonts w:eastAsia="宋体"/>
      <w:snapToGrid w:val="0"/>
      <w:kern w:val="0"/>
      <w:sz w:val="20"/>
    </w:rPr>
  </w:style>
  <w:style w:type="character" w:customStyle="1" w:styleId="124">
    <w:name w:val="haydonli Char Char"/>
    <w:link w:val="125"/>
    <w:qFormat/>
    <w:uiPriority w:val="0"/>
    <w:rPr>
      <w:rFonts w:eastAsia="宋体"/>
      <w:kern w:val="2"/>
      <w:sz w:val="24"/>
      <w:szCs w:val="24"/>
    </w:rPr>
  </w:style>
  <w:style w:type="paragraph" w:customStyle="1" w:styleId="125">
    <w:name w:val="haydonli"/>
    <w:basedOn w:val="1"/>
    <w:link w:val="124"/>
    <w:qFormat/>
    <w:uiPriority w:val="0"/>
    <w:pPr>
      <w:snapToGrid w:val="0"/>
      <w:spacing w:line="360" w:lineRule="auto"/>
      <w:ind w:firstLine="200" w:firstLineChars="200"/>
    </w:pPr>
    <w:rPr>
      <w:rFonts w:eastAsia="宋体"/>
      <w:sz w:val="24"/>
    </w:rPr>
  </w:style>
  <w:style w:type="paragraph" w:customStyle="1" w:styleId="126">
    <w:name w:val="样式 小四 行距: 1.5 倍行距"/>
    <w:basedOn w:val="1"/>
    <w:qFormat/>
    <w:uiPriority w:val="0"/>
    <w:pPr>
      <w:spacing w:line="360" w:lineRule="auto"/>
      <w:ind w:firstLine="200" w:firstLineChars="200"/>
    </w:pPr>
    <w:rPr>
      <w:rFonts w:ascii="Times New Roman" w:hAnsi="Times New Roman" w:eastAsia="宋体" w:cs="宋体"/>
      <w:sz w:val="24"/>
      <w:szCs w:val="20"/>
    </w:rPr>
  </w:style>
  <w:style w:type="character" w:customStyle="1" w:styleId="127">
    <w:name w:val="标题 2 Char2"/>
    <w:qFormat/>
    <w:uiPriority w:val="0"/>
    <w:rPr>
      <w:rFonts w:ascii="Arial" w:hAnsi="Arial" w:eastAsia="黑体"/>
      <w:b/>
      <w:bCs/>
      <w:kern w:val="2"/>
      <w:sz w:val="32"/>
      <w:szCs w:val="32"/>
      <w:lang w:val="en-US" w:eastAsia="zh-CN" w:bidi="ar-SA"/>
    </w:rPr>
  </w:style>
  <w:style w:type="character" w:customStyle="1" w:styleId="128">
    <w:name w:val="正文文本缩进 2 字符"/>
    <w:basedOn w:val="56"/>
    <w:link w:val="2"/>
    <w:qFormat/>
    <w:uiPriority w:val="0"/>
    <w:rPr>
      <w:kern w:val="2"/>
      <w:sz w:val="21"/>
      <w:szCs w:val="24"/>
    </w:rPr>
  </w:style>
  <w:style w:type="character" w:customStyle="1" w:styleId="129">
    <w:name w:val="标题 5 字符"/>
    <w:basedOn w:val="56"/>
    <w:link w:val="9"/>
    <w:qFormat/>
    <w:uiPriority w:val="0"/>
    <w:rPr>
      <w:rFonts w:ascii="Times New Roman" w:hAnsi="Times New Roman" w:eastAsia="宋体" w:cs="Times New Roman"/>
      <w:b/>
      <w:bCs/>
      <w:kern w:val="2"/>
      <w:sz w:val="28"/>
      <w:szCs w:val="28"/>
    </w:rPr>
  </w:style>
  <w:style w:type="character" w:customStyle="1" w:styleId="130">
    <w:name w:val="标题 6 字符"/>
    <w:basedOn w:val="56"/>
    <w:link w:val="10"/>
    <w:qFormat/>
    <w:uiPriority w:val="0"/>
    <w:rPr>
      <w:rFonts w:ascii="Arial" w:hAnsi="Arial" w:eastAsia="黑体" w:cs="Times New Roman"/>
      <w:b/>
      <w:bCs/>
      <w:kern w:val="2"/>
      <w:sz w:val="24"/>
    </w:rPr>
  </w:style>
  <w:style w:type="character" w:customStyle="1" w:styleId="131">
    <w:name w:val="标题 7 字符"/>
    <w:basedOn w:val="56"/>
    <w:link w:val="11"/>
    <w:qFormat/>
    <w:uiPriority w:val="0"/>
    <w:rPr>
      <w:rFonts w:ascii="Times New Roman" w:hAnsi="Times New Roman" w:eastAsia="宋体" w:cs="Times New Roman"/>
      <w:b/>
      <w:bCs/>
      <w:kern w:val="2"/>
      <w:sz w:val="24"/>
    </w:rPr>
  </w:style>
  <w:style w:type="character" w:customStyle="1" w:styleId="132">
    <w:name w:val="标题 8 字符"/>
    <w:basedOn w:val="56"/>
    <w:link w:val="12"/>
    <w:qFormat/>
    <w:uiPriority w:val="0"/>
    <w:rPr>
      <w:rFonts w:ascii="Arial" w:hAnsi="Arial" w:eastAsia="黑体" w:cs="Times New Roman"/>
      <w:kern w:val="2"/>
      <w:sz w:val="24"/>
    </w:rPr>
  </w:style>
  <w:style w:type="character" w:customStyle="1" w:styleId="133">
    <w:name w:val="标题 9 字符"/>
    <w:basedOn w:val="56"/>
    <w:link w:val="13"/>
    <w:qFormat/>
    <w:uiPriority w:val="0"/>
    <w:rPr>
      <w:rFonts w:ascii="Arial" w:hAnsi="Arial" w:eastAsia="黑体" w:cs="Times New Roman"/>
      <w:kern w:val="2"/>
      <w:sz w:val="21"/>
      <w:szCs w:val="21"/>
    </w:rPr>
  </w:style>
  <w:style w:type="character" w:customStyle="1" w:styleId="134">
    <w:name w:val="注释标题 字符"/>
    <w:basedOn w:val="56"/>
    <w:link w:val="15"/>
    <w:qFormat/>
    <w:uiPriority w:val="0"/>
    <w:rPr>
      <w:rFonts w:ascii="Times New Roman" w:hAnsi="Times New Roman" w:eastAsia="宋体" w:cs="Times New Roman"/>
      <w:kern w:val="2"/>
      <w:sz w:val="21"/>
    </w:rPr>
  </w:style>
  <w:style w:type="character" w:customStyle="1" w:styleId="135">
    <w:name w:val="正文文本 3 字符"/>
    <w:basedOn w:val="56"/>
    <w:link w:val="23"/>
    <w:qFormat/>
    <w:uiPriority w:val="0"/>
    <w:rPr>
      <w:rFonts w:ascii="Times New Roman" w:hAnsi="Times New Roman" w:eastAsia="宋体" w:cs="Times New Roman"/>
      <w:kern w:val="2"/>
      <w:sz w:val="16"/>
      <w:szCs w:val="16"/>
    </w:rPr>
  </w:style>
  <w:style w:type="character" w:customStyle="1" w:styleId="136">
    <w:name w:val="日期 字符"/>
    <w:basedOn w:val="56"/>
    <w:link w:val="31"/>
    <w:qFormat/>
    <w:uiPriority w:val="0"/>
    <w:rPr>
      <w:rFonts w:ascii="宋体" w:hAnsi="宋体" w:eastAsia="宋体" w:cs="Times New Roman"/>
      <w:kern w:val="2"/>
      <w:sz w:val="28"/>
    </w:rPr>
  </w:style>
  <w:style w:type="character" w:customStyle="1" w:styleId="137">
    <w:name w:val="副标题 Char"/>
    <w:basedOn w:val="56"/>
    <w:qFormat/>
    <w:uiPriority w:val="11"/>
    <w:rPr>
      <w:rFonts w:eastAsia="宋体" w:asciiTheme="majorHAnsi" w:hAnsiTheme="majorHAnsi" w:cstheme="majorBidi"/>
      <w:b/>
      <w:bCs/>
      <w:kern w:val="28"/>
      <w:sz w:val="32"/>
      <w:szCs w:val="32"/>
    </w:rPr>
  </w:style>
  <w:style w:type="character" w:customStyle="1" w:styleId="138">
    <w:name w:val="HTML 预设格式 Char"/>
    <w:basedOn w:val="56"/>
    <w:qFormat/>
    <w:uiPriority w:val="99"/>
    <w:rPr>
      <w:rFonts w:ascii="Courier New" w:hAnsi="Courier New" w:cs="Courier New"/>
      <w:kern w:val="2"/>
    </w:rPr>
  </w:style>
  <w:style w:type="paragraph" w:customStyle="1" w:styleId="139">
    <w:name w:val="Char Ëhar Chaz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4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41">
    <w:name w:val="无间隔1"/>
    <w:qFormat/>
    <w:uiPriority w:val="1"/>
    <w:pPr>
      <w:widowControl w:val="0"/>
      <w:jc w:val="center"/>
    </w:pPr>
    <w:rPr>
      <w:rFonts w:ascii="Times New Roman" w:hAnsi="Times New Roman" w:eastAsia="宋体" w:cs="Times New Roman"/>
      <w:kern w:val="2"/>
      <w:sz w:val="22"/>
      <w:szCs w:val="22"/>
      <w:lang w:val="en-US" w:eastAsia="zh-CN" w:bidi="ar-SA"/>
    </w:rPr>
  </w:style>
  <w:style w:type="paragraph" w:customStyle="1" w:styleId="142">
    <w:name w:val="德胜正文"/>
    <w:basedOn w:val="1"/>
    <w:qFormat/>
    <w:uiPriority w:val="0"/>
    <w:pPr>
      <w:adjustRightInd w:val="0"/>
      <w:snapToGrid w:val="0"/>
      <w:spacing w:line="360" w:lineRule="auto"/>
      <w:ind w:firstLine="200" w:firstLineChars="200"/>
    </w:pPr>
    <w:rPr>
      <w:rFonts w:ascii="Times New Roman" w:hAnsi="Times New Roman" w:eastAsia="宋体" w:cs="Times New Roman"/>
      <w:snapToGrid w:val="0"/>
      <w:color w:val="0000FF"/>
      <w:kern w:val="0"/>
      <w:sz w:val="24"/>
      <w:szCs w:val="20"/>
    </w:rPr>
  </w:style>
  <w:style w:type="paragraph" w:customStyle="1" w:styleId="143">
    <w:name w:val="德胜表头"/>
    <w:basedOn w:val="142"/>
    <w:qFormat/>
    <w:uiPriority w:val="0"/>
    <w:pPr>
      <w:spacing w:line="240" w:lineRule="auto"/>
      <w:ind w:firstLine="0" w:firstLineChars="0"/>
      <w:jc w:val="center"/>
    </w:pPr>
    <w:rPr>
      <w:b/>
    </w:rPr>
  </w:style>
  <w:style w:type="paragraph" w:customStyle="1" w:styleId="144">
    <w:name w:val="表格2"/>
    <w:basedOn w:val="1"/>
    <w:semiHidden/>
    <w:qFormat/>
    <w:uiPriority w:val="0"/>
    <w:pPr>
      <w:adjustRightInd w:val="0"/>
      <w:snapToGrid w:val="0"/>
      <w:jc w:val="center"/>
    </w:pPr>
    <w:rPr>
      <w:rFonts w:ascii="Times New Roman" w:hAnsi="Times New Roman" w:eastAsia="Times New Roman" w:cs="Times New Roman"/>
      <w:bCs/>
      <w:szCs w:val="21"/>
    </w:rPr>
  </w:style>
  <w:style w:type="paragraph" w:customStyle="1" w:styleId="145">
    <w:name w:val="默认段落字体 Para Char Char Char Char"/>
    <w:basedOn w:val="1"/>
    <w:qFormat/>
    <w:uiPriority w:val="0"/>
    <w:pPr>
      <w:spacing w:beforeLines="100" w:afterLines="50" w:line="600" w:lineRule="exact"/>
      <w:ind w:firstLine="200" w:firstLineChars="200"/>
    </w:pPr>
    <w:rPr>
      <w:rFonts w:ascii="Times New Roman" w:hAnsi="Times New Roman" w:eastAsia="黑体" w:cs="Times New Roman"/>
      <w:sz w:val="28"/>
      <w:szCs w:val="20"/>
    </w:rPr>
  </w:style>
  <w:style w:type="paragraph" w:customStyle="1" w:styleId="146">
    <w:name w:val="二级无标题条"/>
    <w:basedOn w:val="1"/>
    <w:qFormat/>
    <w:uiPriority w:val="0"/>
    <w:rPr>
      <w:rFonts w:ascii="Times New Roman" w:hAnsi="Times New Roman" w:eastAsia="宋体" w:cs="Times New Roman"/>
    </w:rPr>
  </w:style>
  <w:style w:type="paragraph" w:customStyle="1" w:styleId="147">
    <w:name w:val="表格1"/>
    <w:basedOn w:val="1"/>
    <w:semiHidden/>
    <w:qFormat/>
    <w:uiPriority w:val="0"/>
    <w:pPr>
      <w:adjustRightInd w:val="0"/>
      <w:snapToGrid w:val="0"/>
      <w:spacing w:line="360" w:lineRule="auto"/>
      <w:jc w:val="center"/>
    </w:pPr>
    <w:rPr>
      <w:rFonts w:ascii="黑体" w:hAnsi="宋体" w:eastAsia="黑体" w:cs="Times New Roman"/>
      <w:szCs w:val="21"/>
    </w:rPr>
  </w:style>
  <w:style w:type="paragraph" w:customStyle="1" w:styleId="148">
    <w:name w:val="Char Ëhar Chaz Char Char Char Char4"/>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49">
    <w:name w:val="正文新 Char"/>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150">
    <w:name w:val="表格3"/>
    <w:basedOn w:val="147"/>
    <w:semiHidden/>
    <w:qFormat/>
    <w:uiPriority w:val="0"/>
  </w:style>
  <w:style w:type="paragraph" w:customStyle="1" w:styleId="151">
    <w:name w:val="Char Ëhar Chaz Char Char Char Char3"/>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152">
    <w:name w:val="Char Char5"/>
    <w:qFormat/>
    <w:uiPriority w:val="0"/>
    <w:rPr>
      <w:rFonts w:ascii="宋体" w:hAnsi="Courier New" w:eastAsia="宋体"/>
      <w:kern w:val="2"/>
      <w:sz w:val="28"/>
      <w:lang w:val="en-US" w:eastAsia="zh-CN" w:bidi="ar-SA"/>
    </w:rPr>
  </w:style>
  <w:style w:type="character" w:customStyle="1" w:styleId="153">
    <w:name w:val="Char Char19"/>
    <w:basedOn w:val="56"/>
    <w:qFormat/>
    <w:uiPriority w:val="0"/>
    <w:rPr>
      <w:rFonts w:ascii="宋体" w:hAnsi="宋体" w:eastAsia="宋体" w:cs="Times New Roman"/>
      <w:b/>
      <w:bCs/>
      <w:sz w:val="24"/>
      <w:szCs w:val="32"/>
    </w:rPr>
  </w:style>
  <w:style w:type="character" w:customStyle="1" w:styleId="154">
    <w:name w:val="标题 Char1"/>
    <w:basedOn w:val="56"/>
    <w:qFormat/>
    <w:uiPriority w:val="0"/>
    <w:rPr>
      <w:rFonts w:asciiTheme="majorHAnsi" w:hAnsiTheme="majorHAnsi" w:cstheme="majorBidi"/>
      <w:b/>
      <w:bCs/>
      <w:kern w:val="2"/>
      <w:sz w:val="32"/>
      <w:szCs w:val="32"/>
    </w:rPr>
  </w:style>
  <w:style w:type="paragraph" w:customStyle="1" w:styleId="155">
    <w:name w:val="默认段落字体 Para Char Char Char Char Char Char Char Char Char1 Char Char Char Char Char Char Char"/>
    <w:basedOn w:val="18"/>
    <w:qFormat/>
    <w:uiPriority w:val="0"/>
    <w:pPr>
      <w:shd w:val="clear" w:color="auto" w:fill="000080"/>
    </w:pPr>
    <w:rPr>
      <w:rFonts w:ascii="Tahoma" w:hAnsi="Tahoma" w:cs="Tahoma"/>
      <w:sz w:val="24"/>
      <w:szCs w:val="24"/>
    </w:rPr>
  </w:style>
  <w:style w:type="paragraph" w:customStyle="1" w:styleId="156">
    <w:name w:val="Char"/>
    <w:basedOn w:val="1"/>
    <w:qFormat/>
    <w:uiPriority w:val="99"/>
    <w:pPr>
      <w:tabs>
        <w:tab w:val="left" w:pos="360"/>
      </w:tabs>
    </w:pPr>
    <w:rPr>
      <w:rFonts w:ascii="Times New Roman" w:hAnsi="Times New Roman" w:eastAsia="宋体" w:cs="Times New Roman"/>
      <w:sz w:val="24"/>
    </w:rPr>
  </w:style>
  <w:style w:type="paragraph" w:customStyle="1" w:styleId="157">
    <w:name w:val="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58">
    <w:name w:val="Char Char Char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59">
    <w:name w:val="默认段落字体 Para Char"/>
    <w:basedOn w:val="1"/>
    <w:qFormat/>
    <w:uiPriority w:val="0"/>
    <w:rPr>
      <w:rFonts w:ascii="Times New Roman" w:hAnsi="Times New Roman" w:eastAsia="宋体" w:cs="Times New Roman"/>
    </w:rPr>
  </w:style>
  <w:style w:type="paragraph" w:customStyle="1" w:styleId="160">
    <w:name w:val="wtext"/>
    <w:basedOn w:val="1"/>
    <w:qFormat/>
    <w:uiPriority w:val="0"/>
    <w:pPr>
      <w:widowControl/>
      <w:spacing w:before="100" w:beforeAutospacing="1" w:after="100" w:afterAutospacing="1"/>
      <w:jc w:val="left"/>
    </w:pPr>
    <w:rPr>
      <w:rFonts w:ascii="宋体" w:hAnsi="宋体" w:eastAsia="宋体" w:cs="宋体"/>
      <w:color w:val="000000"/>
      <w:kern w:val="0"/>
      <w:sz w:val="24"/>
    </w:rPr>
  </w:style>
  <w:style w:type="paragraph" w:customStyle="1" w:styleId="161">
    <w:name w:val="二级无"/>
    <w:basedOn w:val="1"/>
    <w:qFormat/>
    <w:uiPriority w:val="0"/>
    <w:pPr>
      <w:widowControl/>
      <w:ind w:left="741"/>
      <w:jc w:val="left"/>
      <w:outlineLvl w:val="3"/>
    </w:pPr>
    <w:rPr>
      <w:rFonts w:ascii="宋体" w:hAnsi="Times New Roman" w:eastAsia="宋体" w:cs="Times New Roman"/>
      <w:kern w:val="0"/>
      <w:szCs w:val="21"/>
    </w:rPr>
  </w:style>
  <w:style w:type="paragraph" w:customStyle="1" w:styleId="162">
    <w:name w:val="样式 标题 3标题 3X.X.X36标题 3标题3（黑体、四号、6磅） + 小四 段前: 0 磅 段后: 0 磅 ..."/>
    <w:basedOn w:val="7"/>
    <w:qFormat/>
    <w:uiPriority w:val="0"/>
    <w:pPr>
      <w:spacing w:before="0" w:after="0" w:line="360" w:lineRule="auto"/>
    </w:pPr>
    <w:rPr>
      <w:rFonts w:ascii="Times New Roman" w:hAnsi="Times New Roman" w:eastAsia="宋体" w:cs="宋体"/>
      <w:sz w:val="24"/>
      <w:szCs w:val="20"/>
    </w:rPr>
  </w:style>
  <w:style w:type="paragraph" w:customStyle="1" w:styleId="163">
    <w:name w:val="Char Char Char"/>
    <w:basedOn w:val="1"/>
    <w:qFormat/>
    <w:uiPriority w:val="0"/>
    <w:rPr>
      <w:rFonts w:ascii="Tahoma" w:hAnsi="Tahoma" w:eastAsia="宋体" w:cs="Tahoma"/>
      <w:sz w:val="24"/>
    </w:rPr>
  </w:style>
  <w:style w:type="paragraph" w:styleId="164">
    <w:name w:val="No Spacing"/>
    <w:qFormat/>
    <w:uiPriority w:val="0"/>
    <w:pPr>
      <w:widowControl w:val="0"/>
      <w:jc w:val="center"/>
    </w:pPr>
    <w:rPr>
      <w:rFonts w:ascii="Calibri" w:hAnsi="Calibri" w:eastAsia="宋体" w:cs="Times New Roman"/>
      <w:kern w:val="2"/>
      <w:sz w:val="22"/>
      <w:szCs w:val="22"/>
      <w:lang w:val="en-US" w:eastAsia="zh-CN" w:bidi="ar-SA"/>
    </w:rPr>
  </w:style>
  <w:style w:type="character" w:customStyle="1" w:styleId="165">
    <w:name w:val="老吴表段前后 Char"/>
    <w:link w:val="166"/>
    <w:qFormat/>
    <w:uiPriority w:val="0"/>
    <w:rPr>
      <w:sz w:val="24"/>
    </w:rPr>
  </w:style>
  <w:style w:type="paragraph" w:customStyle="1" w:styleId="166">
    <w:name w:val="老吴表段前后"/>
    <w:basedOn w:val="1"/>
    <w:link w:val="165"/>
    <w:qFormat/>
    <w:uiPriority w:val="0"/>
    <w:pPr>
      <w:spacing w:before="20" w:after="20" w:line="420" w:lineRule="auto"/>
      <w:ind w:firstLine="200" w:firstLineChars="200"/>
    </w:pPr>
    <w:rPr>
      <w:kern w:val="0"/>
      <w:sz w:val="24"/>
      <w:szCs w:val="20"/>
    </w:rPr>
  </w:style>
  <w:style w:type="character" w:customStyle="1" w:styleId="167">
    <w:name w:val="德胜表格内容 Char"/>
    <w:link w:val="168"/>
    <w:qFormat/>
    <w:uiPriority w:val="0"/>
    <w:rPr>
      <w:rFonts w:ascii="Calibri" w:hAnsi="Calibri" w:cs="宋体"/>
      <w:snapToGrid w:val="0"/>
      <w:color w:val="0000FF"/>
      <w:szCs w:val="21"/>
    </w:rPr>
  </w:style>
  <w:style w:type="paragraph" w:customStyle="1" w:styleId="168">
    <w:name w:val="德胜表格内容"/>
    <w:basedOn w:val="1"/>
    <w:link w:val="167"/>
    <w:qFormat/>
    <w:uiPriority w:val="0"/>
    <w:pPr>
      <w:widowControl/>
      <w:adjustRightInd w:val="0"/>
      <w:snapToGrid w:val="0"/>
      <w:jc w:val="center"/>
    </w:pPr>
    <w:rPr>
      <w:rFonts w:ascii="Calibri" w:hAnsi="Calibri" w:cs="宋体"/>
      <w:snapToGrid w:val="0"/>
      <w:color w:val="0000FF"/>
      <w:kern w:val="0"/>
      <w:sz w:val="20"/>
      <w:szCs w:val="21"/>
    </w:rPr>
  </w:style>
  <w:style w:type="character" w:customStyle="1" w:styleId="169">
    <w:name w:val="表题 Char"/>
    <w:link w:val="170"/>
    <w:qFormat/>
    <w:uiPriority w:val="0"/>
    <w:rPr>
      <w:rFonts w:ascii="Arial" w:hAnsi="Arial" w:eastAsia="黑体"/>
      <w:b/>
      <w:sz w:val="24"/>
    </w:rPr>
  </w:style>
  <w:style w:type="paragraph" w:customStyle="1" w:styleId="170">
    <w:name w:val="表题"/>
    <w:basedOn w:val="1"/>
    <w:link w:val="169"/>
    <w:qFormat/>
    <w:uiPriority w:val="0"/>
    <w:pPr>
      <w:ind w:firstLine="200" w:firstLineChars="200"/>
      <w:jc w:val="center"/>
    </w:pPr>
    <w:rPr>
      <w:rFonts w:ascii="Arial" w:hAnsi="Arial" w:eastAsia="黑体"/>
      <w:b/>
      <w:kern w:val="0"/>
      <w:sz w:val="24"/>
      <w:szCs w:val="20"/>
    </w:rPr>
  </w:style>
  <w:style w:type="character" w:customStyle="1" w:styleId="171">
    <w:name w:val="正文文本缩进 字符"/>
    <w:link w:val="25"/>
    <w:qFormat/>
    <w:uiPriority w:val="0"/>
    <w:rPr>
      <w:kern w:val="2"/>
      <w:sz w:val="21"/>
      <w:szCs w:val="24"/>
    </w:rPr>
  </w:style>
  <w:style w:type="character" w:customStyle="1" w:styleId="172">
    <w:name w:val="标题1"/>
    <w:basedOn w:val="56"/>
    <w:qFormat/>
    <w:uiPriority w:val="0"/>
  </w:style>
  <w:style w:type="character" w:customStyle="1" w:styleId="173">
    <w:name w:val="纯文本 Char1"/>
    <w:qFormat/>
    <w:uiPriority w:val="0"/>
    <w:rPr>
      <w:rFonts w:ascii="宋体" w:hAnsi="Courier New" w:eastAsia="宋体"/>
      <w:kern w:val="2"/>
      <w:sz w:val="21"/>
      <w:lang w:val="en-US" w:eastAsia="zh-CN" w:bidi="ar-SA"/>
    </w:rPr>
  </w:style>
  <w:style w:type="character" w:customStyle="1" w:styleId="174">
    <w:name w:val="样式3 Char"/>
    <w:link w:val="175"/>
    <w:qFormat/>
    <w:uiPriority w:val="0"/>
    <w:rPr>
      <w:snapToGrid w:val="0"/>
      <w:color w:val="800000"/>
      <w:sz w:val="24"/>
      <w:u w:color="99CC00"/>
    </w:rPr>
  </w:style>
  <w:style w:type="paragraph" w:customStyle="1" w:styleId="175">
    <w:name w:val="样式3"/>
    <w:basedOn w:val="1"/>
    <w:link w:val="174"/>
    <w:qFormat/>
    <w:uiPriority w:val="0"/>
    <w:pPr>
      <w:adjustRightInd w:val="0"/>
      <w:snapToGrid w:val="0"/>
      <w:spacing w:line="480" w:lineRule="exact"/>
      <w:ind w:firstLine="480" w:firstLineChars="200"/>
    </w:pPr>
    <w:rPr>
      <w:snapToGrid w:val="0"/>
      <w:color w:val="800000"/>
      <w:kern w:val="0"/>
      <w:sz w:val="24"/>
      <w:szCs w:val="20"/>
      <w:u w:color="99CC00"/>
    </w:rPr>
  </w:style>
  <w:style w:type="character" w:customStyle="1" w:styleId="176">
    <w:name w:val="正文缩进 字符"/>
    <w:link w:val="16"/>
    <w:qFormat/>
    <w:uiPriority w:val="0"/>
    <w:rPr>
      <w:rFonts w:ascii="Arial" w:hAnsi="Arial" w:eastAsia="仿宋_GB2312"/>
      <w:kern w:val="2"/>
      <w:sz w:val="24"/>
      <w:szCs w:val="24"/>
    </w:rPr>
  </w:style>
  <w:style w:type="character" w:customStyle="1" w:styleId="177">
    <w:name w:val="apple-converted-space"/>
    <w:basedOn w:val="56"/>
    <w:qFormat/>
    <w:uiPriority w:val="0"/>
  </w:style>
  <w:style w:type="character" w:customStyle="1" w:styleId="178">
    <w:name w:val="列表 字符"/>
    <w:link w:val="38"/>
    <w:qFormat/>
    <w:uiPriority w:val="0"/>
    <w:rPr>
      <w:rFonts w:ascii="Times New Roman" w:hAnsi="Times New Roman" w:eastAsia="宋体" w:cs="Times New Roman"/>
      <w:szCs w:val="24"/>
    </w:rPr>
  </w:style>
  <w:style w:type="character" w:customStyle="1" w:styleId="179">
    <w:name w:val="图表标题 Char"/>
    <w:link w:val="180"/>
    <w:qFormat/>
    <w:uiPriority w:val="0"/>
    <w:rPr>
      <w:b/>
      <w:szCs w:val="24"/>
    </w:rPr>
  </w:style>
  <w:style w:type="paragraph" w:customStyle="1" w:styleId="180">
    <w:name w:val="图表标题"/>
    <w:next w:val="1"/>
    <w:link w:val="179"/>
    <w:qFormat/>
    <w:uiPriority w:val="0"/>
    <w:pPr>
      <w:jc w:val="center"/>
    </w:pPr>
    <w:rPr>
      <w:rFonts w:asciiTheme="minorHAnsi" w:hAnsiTheme="minorHAnsi" w:eastAsiaTheme="minorEastAsia" w:cstheme="minorBidi"/>
      <w:b/>
      <w:szCs w:val="24"/>
      <w:lang w:val="en-US" w:eastAsia="zh-CN" w:bidi="ar-SA"/>
    </w:rPr>
  </w:style>
  <w:style w:type="character" w:customStyle="1" w:styleId="181">
    <w:name w:val="表头 Char"/>
    <w:link w:val="182"/>
    <w:qFormat/>
    <w:uiPriority w:val="0"/>
    <w:rPr>
      <w:bCs/>
      <w:sz w:val="24"/>
    </w:rPr>
  </w:style>
  <w:style w:type="paragraph" w:customStyle="1" w:styleId="182">
    <w:name w:val="表头"/>
    <w:basedOn w:val="1"/>
    <w:link w:val="181"/>
    <w:qFormat/>
    <w:uiPriority w:val="0"/>
    <w:pPr>
      <w:widowControl/>
      <w:tabs>
        <w:tab w:val="left" w:pos="5520"/>
      </w:tabs>
      <w:snapToGrid w:val="0"/>
      <w:jc w:val="center"/>
    </w:pPr>
    <w:rPr>
      <w:bCs/>
      <w:kern w:val="0"/>
      <w:sz w:val="24"/>
      <w:szCs w:val="20"/>
    </w:rPr>
  </w:style>
  <w:style w:type="character" w:customStyle="1" w:styleId="183">
    <w:name w:val="表格 Char"/>
    <w:qFormat/>
    <w:uiPriority w:val="0"/>
    <w:rPr>
      <w:rFonts w:eastAsia="宋体"/>
      <w:kern w:val="2"/>
      <w:sz w:val="21"/>
      <w:szCs w:val="21"/>
      <w:lang w:val="en-US" w:eastAsia="zh-CN" w:bidi="ar-SA"/>
    </w:rPr>
  </w:style>
  <w:style w:type="character" w:customStyle="1" w:styleId="184">
    <w:name w:val="表图 Char"/>
    <w:link w:val="185"/>
    <w:qFormat/>
    <w:uiPriority w:val="0"/>
    <w:rPr>
      <w:szCs w:val="24"/>
    </w:rPr>
  </w:style>
  <w:style w:type="paragraph" w:customStyle="1" w:styleId="185">
    <w:name w:val="表图"/>
    <w:basedOn w:val="1"/>
    <w:link w:val="184"/>
    <w:qFormat/>
    <w:uiPriority w:val="0"/>
    <w:pPr>
      <w:widowControl/>
      <w:adjustRightInd w:val="0"/>
      <w:snapToGrid w:val="0"/>
      <w:spacing w:line="320" w:lineRule="atLeast"/>
      <w:jc w:val="center"/>
    </w:pPr>
    <w:rPr>
      <w:kern w:val="0"/>
      <w:sz w:val="20"/>
    </w:rPr>
  </w:style>
  <w:style w:type="paragraph" w:customStyle="1" w:styleId="186">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paragraph" w:customStyle="1" w:styleId="187">
    <w:name w:val="p0"/>
    <w:basedOn w:val="1"/>
    <w:qFormat/>
    <w:uiPriority w:val="0"/>
    <w:pPr>
      <w:widowControl/>
      <w:spacing w:line="365" w:lineRule="atLeast"/>
      <w:ind w:left="1"/>
      <w:textAlignment w:val="bottom"/>
    </w:pPr>
    <w:rPr>
      <w:rFonts w:ascii="Times New Roman" w:hAnsi="Times New Roman" w:eastAsia="宋体" w:cs="Times New Roman"/>
      <w:kern w:val="0"/>
      <w:sz w:val="20"/>
      <w:szCs w:val="20"/>
    </w:rPr>
  </w:style>
  <w:style w:type="paragraph" w:customStyle="1" w:styleId="188">
    <w:name w:val="Char Char Char Char3"/>
    <w:basedOn w:val="1"/>
    <w:qFormat/>
    <w:uiPriority w:val="0"/>
    <w:rPr>
      <w:rFonts w:ascii="Times New Roman" w:hAnsi="Times New Roman" w:eastAsia="宋体" w:cs="Times New Roman"/>
    </w:rPr>
  </w:style>
  <w:style w:type="character" w:customStyle="1" w:styleId="189">
    <w:name w:val="副标题 字符"/>
    <w:basedOn w:val="56"/>
    <w:link w:val="37"/>
    <w:qFormat/>
    <w:uiPriority w:val="11"/>
    <w:rPr>
      <w:rFonts w:ascii="Cambria" w:hAnsi="Cambria" w:eastAsia="宋体" w:cs="Times New Roman"/>
      <w:b/>
      <w:bCs/>
      <w:kern w:val="28"/>
      <w:sz w:val="32"/>
      <w:szCs w:val="32"/>
    </w:rPr>
  </w:style>
  <w:style w:type="character" w:customStyle="1" w:styleId="190">
    <w:name w:val="HTML 预设格式 字符"/>
    <w:basedOn w:val="56"/>
    <w:link w:val="45"/>
    <w:qFormat/>
    <w:uiPriority w:val="99"/>
    <w:rPr>
      <w:rFonts w:ascii="宋体" w:hAnsi="宋体" w:eastAsia="宋体" w:cs="宋体"/>
      <w:sz w:val="24"/>
      <w:szCs w:val="24"/>
    </w:rPr>
  </w:style>
  <w:style w:type="paragraph" w:customStyle="1" w:styleId="191">
    <w:name w:val="表格内容"/>
    <w:basedOn w:val="1"/>
    <w:link w:val="213"/>
    <w:qFormat/>
    <w:uiPriority w:val="0"/>
    <w:pPr>
      <w:widowControl/>
      <w:overflowPunct w:val="0"/>
      <w:adjustRightInd w:val="0"/>
      <w:spacing w:before="40" w:after="60" w:line="200" w:lineRule="atLeast"/>
      <w:jc w:val="left"/>
      <w:textAlignment w:val="baseline"/>
    </w:pPr>
    <w:rPr>
      <w:rFonts w:ascii="Arial" w:hAnsi="Arial" w:eastAsia="仿宋_GB2312" w:cs="Times New Roman"/>
      <w:kern w:val="0"/>
      <w:sz w:val="24"/>
      <w:szCs w:val="20"/>
      <w:lang w:eastAsia="en-US" w:bidi="en-US"/>
    </w:rPr>
  </w:style>
  <w:style w:type="paragraph" w:customStyle="1" w:styleId="192">
    <w:name w:val="样式 正文文本缩进 + 行距: 1.5 倍行距"/>
    <w:basedOn w:val="25"/>
    <w:qFormat/>
    <w:uiPriority w:val="0"/>
    <w:pPr>
      <w:spacing w:line="360" w:lineRule="auto"/>
      <w:ind w:left="0" w:leftChars="0" w:firstLine="560" w:firstLineChars="200"/>
    </w:pPr>
    <w:rPr>
      <w:rFonts w:ascii="Times New Roman" w:hAnsi="Times New Roman" w:eastAsia="宋体" w:cs="宋体"/>
      <w:kern w:val="0"/>
      <w:sz w:val="28"/>
      <w:szCs w:val="20"/>
    </w:rPr>
  </w:style>
  <w:style w:type="paragraph" w:customStyle="1" w:styleId="193">
    <w:name w:val="Char Ëhar Chaz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94">
    <w:name w:val="样式4"/>
    <w:basedOn w:val="1"/>
    <w:next w:val="1"/>
    <w:link w:val="319"/>
    <w:qFormat/>
    <w:uiPriority w:val="0"/>
    <w:pPr>
      <w:spacing w:line="440" w:lineRule="exact"/>
    </w:pPr>
    <w:rPr>
      <w:rFonts w:ascii="Times New Roman" w:hAnsi="Times New Roman" w:eastAsia="宋体" w:cs="Times New Roman"/>
      <w:sz w:val="24"/>
      <w:szCs w:val="20"/>
    </w:rPr>
  </w:style>
  <w:style w:type="paragraph" w:customStyle="1" w:styleId="195">
    <w:name w:val="Char Char Char Char1"/>
    <w:basedOn w:val="1"/>
    <w:qFormat/>
    <w:uiPriority w:val="0"/>
    <w:rPr>
      <w:rFonts w:ascii="Times New Roman" w:hAnsi="Times New Roman" w:eastAsia="宋体" w:cs="Times New Roman"/>
    </w:rPr>
  </w:style>
  <w:style w:type="paragraph" w:customStyle="1" w:styleId="196">
    <w:name w:val="样2"/>
    <w:basedOn w:val="1"/>
    <w:next w:val="1"/>
    <w:qFormat/>
    <w:uiPriority w:val="0"/>
    <w:pPr>
      <w:adjustRightInd w:val="0"/>
      <w:jc w:val="center"/>
      <w:textAlignment w:val="baseline"/>
    </w:pPr>
    <w:rPr>
      <w:rFonts w:ascii="Times New Roman" w:hAnsi="Times New Roman" w:eastAsia="宋体" w:cs="Times New Roman"/>
      <w:kern w:val="0"/>
      <w:szCs w:val="20"/>
    </w:rPr>
  </w:style>
  <w:style w:type="paragraph" w:customStyle="1" w:styleId="197">
    <w:name w:val="无悬挂正文5号"/>
    <w:basedOn w:val="1"/>
    <w:qFormat/>
    <w:uiPriority w:val="0"/>
    <w:pPr>
      <w:adjustRightInd w:val="0"/>
      <w:jc w:val="center"/>
      <w:textAlignment w:val="baseline"/>
    </w:pPr>
    <w:rPr>
      <w:rFonts w:ascii="Times New Roman" w:hAnsi="Times New Roman" w:eastAsia="宋体" w:cs="Times New Roman"/>
    </w:rPr>
  </w:style>
  <w:style w:type="paragraph" w:customStyle="1" w:styleId="198">
    <w:name w:val="报告书"/>
    <w:basedOn w:val="1"/>
    <w:qFormat/>
    <w:uiPriority w:val="0"/>
    <w:pPr>
      <w:widowControl/>
      <w:autoSpaceDE w:val="0"/>
      <w:autoSpaceDN w:val="0"/>
      <w:adjustRightInd w:val="0"/>
      <w:spacing w:line="360" w:lineRule="auto"/>
      <w:ind w:firstLine="505"/>
      <w:jc w:val="left"/>
      <w:textAlignment w:val="bottom"/>
    </w:pPr>
    <w:rPr>
      <w:rFonts w:ascii="Calibri" w:hAnsi="Calibri" w:eastAsia="宋体" w:cs="Times New Roman"/>
      <w:kern w:val="0"/>
      <w:sz w:val="24"/>
      <w:szCs w:val="20"/>
      <w:lang w:eastAsia="en-US" w:bidi="en-US"/>
    </w:rPr>
  </w:style>
  <w:style w:type="paragraph" w:customStyle="1" w:styleId="199">
    <w:name w:val="1 Char Char Char Char Char Char Char Char Char Char"/>
    <w:basedOn w:val="1"/>
    <w:qFormat/>
    <w:uiPriority w:val="0"/>
    <w:rPr>
      <w:rFonts w:ascii="Courier New" w:hAnsi="Courier New" w:eastAsia="仿宋_GB2312" w:cs="Courier New"/>
      <w:szCs w:val="20"/>
    </w:rPr>
  </w:style>
  <w:style w:type="paragraph" w:customStyle="1" w:styleId="200">
    <w:name w:val="Char Char Char Char2"/>
    <w:basedOn w:val="1"/>
    <w:qFormat/>
    <w:uiPriority w:val="0"/>
    <w:rPr>
      <w:rFonts w:ascii="Times New Roman" w:hAnsi="Times New Roman" w:eastAsia="宋体" w:cs="Times New Roman"/>
    </w:rPr>
  </w:style>
  <w:style w:type="paragraph" w:customStyle="1" w:styleId="201">
    <w:name w:val="Char Char Char Char"/>
    <w:basedOn w:val="1"/>
    <w:qFormat/>
    <w:uiPriority w:val="0"/>
    <w:rPr>
      <w:rFonts w:ascii="Times New Roman" w:hAnsi="Times New Roman" w:eastAsia="宋体" w:cs="Times New Roman"/>
    </w:rPr>
  </w:style>
  <w:style w:type="paragraph" w:customStyle="1" w:styleId="202">
    <w:name w:val="zhang正文"/>
    <w:basedOn w:val="33"/>
    <w:qFormat/>
    <w:uiPriority w:val="0"/>
    <w:pPr>
      <w:tabs>
        <w:tab w:val="clear" w:pos="4153"/>
        <w:tab w:val="clear" w:pos="8306"/>
      </w:tabs>
      <w:autoSpaceDE w:val="0"/>
      <w:autoSpaceDN w:val="0"/>
      <w:adjustRightInd w:val="0"/>
      <w:spacing w:line="560" w:lineRule="exact"/>
      <w:ind w:firstLine="192" w:firstLineChars="192"/>
      <w:jc w:val="both"/>
      <w:textAlignment w:val="baseline"/>
    </w:pPr>
    <w:rPr>
      <w:rFonts w:ascii="Times New Roman" w:hAnsi="Times New Roman" w:eastAsia="宋体" w:cs="Times New Roman"/>
      <w:kern w:val="0"/>
      <w:sz w:val="28"/>
      <w:szCs w:val="20"/>
    </w:rPr>
  </w:style>
  <w:style w:type="paragraph" w:customStyle="1" w:styleId="203">
    <w:name w:val="表文字"/>
    <w:basedOn w:val="1"/>
    <w:qFormat/>
    <w:uiPriority w:val="0"/>
    <w:pPr>
      <w:widowControl/>
      <w:spacing w:line="240" w:lineRule="atLeast"/>
      <w:jc w:val="center"/>
    </w:pPr>
    <w:rPr>
      <w:rFonts w:ascii="宋体" w:hAnsi="宋体" w:eastAsia="宋体" w:cs="Times New Roman"/>
      <w:kern w:val="0"/>
      <w:sz w:val="24"/>
      <w:szCs w:val="28"/>
      <w:lang w:eastAsia="en-US" w:bidi="en-US"/>
    </w:rPr>
  </w:style>
  <w:style w:type="paragraph" w:customStyle="1" w:styleId="204">
    <w:name w:val="样式 小四 段前: 7.8 磅 段后: 7.8 磅 行距: 1.5 倍行距"/>
    <w:basedOn w:val="1"/>
    <w:qFormat/>
    <w:uiPriority w:val="0"/>
    <w:pPr>
      <w:adjustRightInd w:val="0"/>
      <w:snapToGrid w:val="0"/>
      <w:spacing w:line="360" w:lineRule="auto"/>
      <w:ind w:firstLine="480" w:firstLineChars="200"/>
    </w:pPr>
    <w:rPr>
      <w:rFonts w:ascii="Times New Roman" w:hAnsi="宋体" w:eastAsia="宋体" w:cs="Times New Roman"/>
      <w:snapToGrid w:val="0"/>
      <w:kern w:val="0"/>
      <w:sz w:val="24"/>
    </w:rPr>
  </w:style>
  <w:style w:type="paragraph" w:customStyle="1" w:styleId="205">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06">
    <w:name w:val="Char Ëhar Chaz Char Char Char Char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07">
    <w:name w:val="Char Char Char Char4"/>
    <w:basedOn w:val="1"/>
    <w:qFormat/>
    <w:uiPriority w:val="0"/>
    <w:rPr>
      <w:rFonts w:ascii="Times New Roman" w:hAnsi="Times New Roman" w:eastAsia="宋体" w:cs="Times New Roman"/>
    </w:rPr>
  </w:style>
  <w:style w:type="paragraph" w:customStyle="1" w:styleId="208">
    <w:name w:val="正文式样"/>
    <w:basedOn w:val="1"/>
    <w:link w:val="209"/>
    <w:qFormat/>
    <w:uiPriority w:val="0"/>
    <w:pPr>
      <w:tabs>
        <w:tab w:val="left" w:pos="980"/>
      </w:tabs>
      <w:spacing w:line="360" w:lineRule="auto"/>
      <w:ind w:firstLine="200" w:firstLineChars="200"/>
      <w:jc w:val="left"/>
    </w:pPr>
    <w:rPr>
      <w:rFonts w:ascii="Times New Roman" w:hAnsi="Times New Roman" w:eastAsia="宋体" w:cs="Times New Roman"/>
      <w:snapToGrid w:val="0"/>
      <w:sz w:val="24"/>
    </w:rPr>
  </w:style>
  <w:style w:type="character" w:customStyle="1" w:styleId="209">
    <w:name w:val="正文式样 Char"/>
    <w:link w:val="208"/>
    <w:qFormat/>
    <w:uiPriority w:val="0"/>
    <w:rPr>
      <w:rFonts w:ascii="Times New Roman" w:hAnsi="Times New Roman" w:eastAsia="宋体" w:cs="Times New Roman"/>
      <w:snapToGrid w:val="0"/>
      <w:kern w:val="2"/>
      <w:sz w:val="24"/>
      <w:szCs w:val="24"/>
    </w:rPr>
  </w:style>
  <w:style w:type="paragraph" w:customStyle="1" w:styleId="210">
    <w:name w:val="Char1"/>
    <w:basedOn w:val="1"/>
    <w:qFormat/>
    <w:uiPriority w:val="0"/>
    <w:rPr>
      <w:rFonts w:ascii="Times New Roman" w:hAnsi="Times New Roman" w:eastAsia="宋体" w:cs="Times New Roman"/>
      <w:sz w:val="24"/>
    </w:rPr>
  </w:style>
  <w:style w:type="character" w:customStyle="1" w:styleId="211">
    <w:name w:val="p141"/>
    <w:basedOn w:val="56"/>
    <w:qFormat/>
    <w:uiPriority w:val="0"/>
    <w:rPr>
      <w:color w:val="333333"/>
      <w:sz w:val="21"/>
      <w:szCs w:val="21"/>
    </w:rPr>
  </w:style>
  <w:style w:type="paragraph" w:customStyle="1" w:styleId="212">
    <w:name w:val="Char2"/>
    <w:basedOn w:val="1"/>
    <w:qFormat/>
    <w:uiPriority w:val="0"/>
    <w:rPr>
      <w:rFonts w:ascii="Times New Roman" w:hAnsi="Times New Roman" w:eastAsia="宋体" w:cs="Times New Roman"/>
      <w:sz w:val="24"/>
    </w:rPr>
  </w:style>
  <w:style w:type="character" w:customStyle="1" w:styleId="213">
    <w:name w:val="表格内容 Char"/>
    <w:basedOn w:val="56"/>
    <w:link w:val="191"/>
    <w:qFormat/>
    <w:uiPriority w:val="0"/>
    <w:rPr>
      <w:rFonts w:ascii="Arial" w:hAnsi="Arial" w:eastAsia="仿宋_GB2312" w:cs="Times New Roman"/>
      <w:sz w:val="24"/>
      <w:lang w:eastAsia="en-US" w:bidi="en-US"/>
    </w:rPr>
  </w:style>
  <w:style w:type="paragraph" w:customStyle="1" w:styleId="214">
    <w:name w:val="表格图名"/>
    <w:basedOn w:val="1"/>
    <w:link w:val="215"/>
    <w:qFormat/>
    <w:uiPriority w:val="0"/>
    <w:pPr>
      <w:jc w:val="center"/>
    </w:pPr>
    <w:rPr>
      <w:rFonts w:ascii="Times New Roman" w:hAnsi="Times New Roman" w:eastAsia="宋体" w:cs="Times New Roman"/>
      <w:b/>
      <w:sz w:val="24"/>
      <w:szCs w:val="22"/>
    </w:rPr>
  </w:style>
  <w:style w:type="character" w:customStyle="1" w:styleId="215">
    <w:name w:val="表格图名 Char"/>
    <w:basedOn w:val="56"/>
    <w:link w:val="214"/>
    <w:qFormat/>
    <w:uiPriority w:val="0"/>
    <w:rPr>
      <w:rFonts w:ascii="Times New Roman" w:hAnsi="Times New Roman" w:eastAsia="宋体" w:cs="Times New Roman"/>
      <w:b/>
      <w:kern w:val="2"/>
      <w:sz w:val="24"/>
      <w:szCs w:val="22"/>
    </w:rPr>
  </w:style>
  <w:style w:type="paragraph" w:customStyle="1" w:styleId="216">
    <w:name w:val="正文版式"/>
    <w:basedOn w:val="1"/>
    <w:link w:val="217"/>
    <w:qFormat/>
    <w:uiPriority w:val="0"/>
    <w:pPr>
      <w:spacing w:line="500" w:lineRule="exact"/>
      <w:ind w:firstLine="200" w:firstLineChars="200"/>
    </w:pPr>
    <w:rPr>
      <w:rFonts w:ascii="Times New Roman" w:hAnsi="Times New Roman" w:eastAsia="宋体"/>
      <w:sz w:val="24"/>
      <w:szCs w:val="22"/>
    </w:rPr>
  </w:style>
  <w:style w:type="character" w:customStyle="1" w:styleId="217">
    <w:name w:val="正文版式 Char"/>
    <w:basedOn w:val="56"/>
    <w:link w:val="216"/>
    <w:qFormat/>
    <w:uiPriority w:val="0"/>
    <w:rPr>
      <w:rFonts w:ascii="Times New Roman" w:hAnsi="Times New Roman" w:eastAsia="宋体"/>
      <w:kern w:val="2"/>
      <w:sz w:val="24"/>
      <w:szCs w:val="22"/>
    </w:rPr>
  </w:style>
  <w:style w:type="paragraph" w:customStyle="1" w:styleId="218">
    <w:name w:val="表名图名"/>
    <w:basedOn w:val="10"/>
    <w:link w:val="219"/>
    <w:qFormat/>
    <w:uiPriority w:val="0"/>
    <w:pPr>
      <w:keepNext w:val="0"/>
      <w:keepLines w:val="0"/>
      <w:tabs>
        <w:tab w:val="clear" w:pos="964"/>
        <w:tab w:val="clear" w:pos="1152"/>
      </w:tabs>
      <w:spacing w:before="0" w:after="0" w:line="320" w:lineRule="exact"/>
      <w:ind w:left="0" w:firstLine="0"/>
      <w:jc w:val="center"/>
    </w:pPr>
    <w:rPr>
      <w:rFonts w:ascii="Times New Roman" w:hAnsi="Times New Roman" w:eastAsia="宋体"/>
      <w:sz w:val="21"/>
      <w:szCs w:val="24"/>
    </w:rPr>
  </w:style>
  <w:style w:type="character" w:customStyle="1" w:styleId="219">
    <w:name w:val="表名图名 Char"/>
    <w:basedOn w:val="130"/>
    <w:link w:val="218"/>
    <w:qFormat/>
    <w:uiPriority w:val="0"/>
    <w:rPr>
      <w:rFonts w:ascii="Times New Roman" w:hAnsi="Times New Roman" w:eastAsia="宋体" w:cs="Times New Roman"/>
      <w:kern w:val="2"/>
      <w:sz w:val="21"/>
      <w:szCs w:val="24"/>
    </w:rPr>
  </w:style>
  <w:style w:type="paragraph" w:customStyle="1" w:styleId="220">
    <w:name w:val="样式6"/>
    <w:basedOn w:val="175"/>
    <w:qFormat/>
    <w:uiPriority w:val="0"/>
    <w:pPr>
      <w:spacing w:line="460" w:lineRule="exact"/>
      <w:ind w:firstLine="1200" w:firstLineChars="500"/>
    </w:pPr>
    <w:rPr>
      <w:rFonts w:ascii="Arial" w:hAnsi="Arial" w:eastAsia="宋体" w:cs="Arial"/>
      <w:color w:val="auto"/>
      <w:kern w:val="2"/>
      <w:szCs w:val="24"/>
    </w:rPr>
  </w:style>
  <w:style w:type="character" w:customStyle="1" w:styleId="221">
    <w:name w:val="样式17 Char Char"/>
    <w:link w:val="222"/>
    <w:qFormat/>
    <w:uiPriority w:val="0"/>
    <w:rPr>
      <w:kern w:val="2"/>
      <w:sz w:val="21"/>
      <w:szCs w:val="21"/>
    </w:rPr>
  </w:style>
  <w:style w:type="paragraph" w:customStyle="1" w:styleId="222">
    <w:name w:val="样式17"/>
    <w:basedOn w:val="1"/>
    <w:link w:val="221"/>
    <w:qFormat/>
    <w:uiPriority w:val="0"/>
    <w:pPr>
      <w:spacing w:line="320" w:lineRule="exact"/>
      <w:jc w:val="center"/>
    </w:pPr>
    <w:rPr>
      <w:szCs w:val="21"/>
    </w:rPr>
  </w:style>
  <w:style w:type="character" w:customStyle="1" w:styleId="223">
    <w:name w:val="热电厂正文 Char"/>
    <w:link w:val="224"/>
    <w:qFormat/>
    <w:uiPriority w:val="0"/>
    <w:rPr>
      <w:kern w:val="2"/>
      <w:sz w:val="24"/>
    </w:rPr>
  </w:style>
  <w:style w:type="paragraph" w:customStyle="1" w:styleId="224">
    <w:name w:val="热电厂正文"/>
    <w:basedOn w:val="1"/>
    <w:link w:val="223"/>
    <w:qFormat/>
    <w:uiPriority w:val="0"/>
    <w:pPr>
      <w:spacing w:line="440" w:lineRule="exact"/>
      <w:ind w:firstLine="480" w:firstLineChars="200"/>
    </w:pPr>
    <w:rPr>
      <w:sz w:val="24"/>
      <w:szCs w:val="20"/>
    </w:rPr>
  </w:style>
  <w:style w:type="paragraph" w:customStyle="1" w:styleId="225">
    <w:name w:val="4"/>
    <w:basedOn w:val="1"/>
    <w:next w:val="25"/>
    <w:qFormat/>
    <w:uiPriority w:val="0"/>
    <w:pPr>
      <w:ind w:firstLine="540"/>
    </w:pPr>
    <w:rPr>
      <w:rFonts w:ascii="宋体" w:hAnsi="Times New Roman" w:eastAsia="宋体" w:cs="Times New Roman"/>
      <w:sz w:val="28"/>
      <w:szCs w:val="20"/>
    </w:rPr>
  </w:style>
  <w:style w:type="paragraph" w:customStyle="1" w:styleId="226">
    <w:name w:val="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227">
    <w:name w:val="ca-111"/>
    <w:qFormat/>
    <w:uiPriority w:val="0"/>
    <w:rPr>
      <w:rFonts w:hint="eastAsia" w:ascii="宋体" w:hAnsi="宋体" w:eastAsia="宋体"/>
      <w:sz w:val="24"/>
      <w:szCs w:val="24"/>
    </w:rPr>
  </w:style>
  <w:style w:type="character" w:customStyle="1" w:styleId="228">
    <w:name w:val="Char Char Char Char11"/>
    <w:qFormat/>
    <w:uiPriority w:val="0"/>
    <w:rPr>
      <w:rFonts w:ascii="宋体" w:eastAsia="宋体"/>
      <w:kern w:val="2"/>
      <w:sz w:val="24"/>
      <w:lang w:val="en-US" w:eastAsia="zh-CN"/>
    </w:rPr>
  </w:style>
  <w:style w:type="character" w:customStyle="1" w:styleId="229">
    <w:name w:val="viewthreadtxt"/>
    <w:basedOn w:val="56"/>
    <w:qFormat/>
    <w:uiPriority w:val="0"/>
  </w:style>
  <w:style w:type="character" w:customStyle="1" w:styleId="230">
    <w:name w:val="px14"/>
    <w:basedOn w:val="56"/>
    <w:qFormat/>
    <w:uiPriority w:val="0"/>
  </w:style>
  <w:style w:type="character" w:customStyle="1" w:styleId="231">
    <w:name w:val="style101"/>
    <w:qFormat/>
    <w:uiPriority w:val="0"/>
    <w:rPr>
      <w:color w:val="000000"/>
    </w:rPr>
  </w:style>
  <w:style w:type="character" w:customStyle="1" w:styleId="232">
    <w:name w:val="style4"/>
    <w:basedOn w:val="56"/>
    <w:qFormat/>
    <w:uiPriority w:val="0"/>
  </w:style>
  <w:style w:type="character" w:customStyle="1" w:styleId="233">
    <w:name w:val="style211"/>
    <w:qFormat/>
    <w:uiPriority w:val="0"/>
    <w:rPr>
      <w:color w:val="000000"/>
    </w:rPr>
  </w:style>
  <w:style w:type="character" w:customStyle="1" w:styleId="234">
    <w:name w:val="正文文本首行缩进 2 字符"/>
    <w:link w:val="50"/>
    <w:qFormat/>
    <w:uiPriority w:val="0"/>
    <w:rPr>
      <w:rFonts w:eastAsia="宋体"/>
      <w:kern w:val="2"/>
      <w:sz w:val="21"/>
      <w:szCs w:val="24"/>
    </w:rPr>
  </w:style>
  <w:style w:type="character" w:customStyle="1" w:styleId="235">
    <w:name w:val="3zw1"/>
    <w:qFormat/>
    <w:uiPriority w:val="0"/>
    <w:rPr>
      <w:color w:val="000000"/>
      <w:sz w:val="21"/>
      <w:szCs w:val="21"/>
    </w:rPr>
  </w:style>
  <w:style w:type="character" w:customStyle="1" w:styleId="236">
    <w:name w:val="unnamed2"/>
    <w:basedOn w:val="56"/>
    <w:qFormat/>
    <w:uiPriority w:val="0"/>
  </w:style>
  <w:style w:type="character" w:customStyle="1" w:styleId="237">
    <w:name w:val="正文(首行缩进)宋旭峰 Char Char"/>
    <w:link w:val="238"/>
    <w:qFormat/>
    <w:uiPriority w:val="0"/>
    <w:rPr>
      <w:rFonts w:ascii="宋体" w:hAnsi="宋体" w:cs="宋体"/>
      <w:snapToGrid w:val="0"/>
      <w:color w:val="0000FF"/>
      <w:sz w:val="24"/>
      <w:szCs w:val="24"/>
    </w:rPr>
  </w:style>
  <w:style w:type="paragraph" w:customStyle="1" w:styleId="238">
    <w:name w:val="正文(首行缩进)宋旭峰"/>
    <w:basedOn w:val="16"/>
    <w:link w:val="237"/>
    <w:qFormat/>
    <w:uiPriority w:val="0"/>
    <w:pPr>
      <w:widowControl w:val="0"/>
      <w:spacing w:line="360" w:lineRule="auto"/>
      <w:ind w:firstLine="480" w:firstLineChars="200"/>
      <w:contextualSpacing/>
      <w:jc w:val="both"/>
    </w:pPr>
    <w:rPr>
      <w:rFonts w:ascii="宋体" w:hAnsi="宋体" w:cs="宋体" w:eastAsiaTheme="minorEastAsia"/>
      <w:snapToGrid w:val="0"/>
      <w:color w:val="0000FF"/>
      <w:kern w:val="0"/>
    </w:rPr>
  </w:style>
  <w:style w:type="character" w:customStyle="1" w:styleId="239">
    <w:name w:val="称呼 字符"/>
    <w:basedOn w:val="56"/>
    <w:link w:val="22"/>
    <w:qFormat/>
    <w:uiPriority w:val="0"/>
    <w:rPr>
      <w:rFonts w:ascii="Times New Roman" w:hAnsi="Times New Roman" w:eastAsia="宋体" w:cs="Times New Roman"/>
      <w:kern w:val="2"/>
      <w:sz w:val="21"/>
    </w:rPr>
  </w:style>
  <w:style w:type="character" w:customStyle="1" w:styleId="240">
    <w:name w:val="正文首行缩进 2 Char1"/>
    <w:basedOn w:val="171"/>
    <w:semiHidden/>
    <w:qFormat/>
    <w:uiPriority w:val="0"/>
    <w:rPr>
      <w:kern w:val="2"/>
      <w:sz w:val="21"/>
      <w:szCs w:val="24"/>
    </w:rPr>
  </w:style>
  <w:style w:type="paragraph" w:customStyle="1" w:styleId="241">
    <w:name w:val="表格 32"/>
    <w:basedOn w:val="1"/>
    <w:qFormat/>
    <w:uiPriority w:val="0"/>
    <w:pPr>
      <w:autoSpaceDE w:val="0"/>
      <w:autoSpaceDN w:val="0"/>
      <w:adjustRightInd w:val="0"/>
      <w:jc w:val="center"/>
      <w:textAlignment w:val="baseline"/>
    </w:pPr>
    <w:rPr>
      <w:rFonts w:ascii="Times New Roman" w:hAnsi="Times New Roman" w:eastAsia="楷体_GB2312" w:cs="Times New Roman"/>
      <w:kern w:val="0"/>
      <w:sz w:val="24"/>
      <w:szCs w:val="20"/>
    </w:rPr>
  </w:style>
  <w:style w:type="paragraph" w:customStyle="1" w:styleId="242">
    <w:name w:val="正文1"/>
    <w:basedOn w:val="29"/>
    <w:qFormat/>
    <w:uiPriority w:val="0"/>
    <w:pPr>
      <w:adjustRightInd w:val="0"/>
      <w:snapToGrid w:val="0"/>
      <w:jc w:val="center"/>
    </w:pPr>
    <w:rPr>
      <w:rFonts w:ascii="Times New Roman" w:hAnsi="Times New Roman" w:cs="Times New Roman"/>
      <w:sz w:val="18"/>
      <w:szCs w:val="20"/>
    </w:rPr>
  </w:style>
  <w:style w:type="paragraph" w:customStyle="1" w:styleId="243">
    <w:name w:val="8--"/>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244">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245">
    <w:name w:val="正文标准样式"/>
    <w:basedOn w:val="1"/>
    <w:qFormat/>
    <w:uiPriority w:val="0"/>
    <w:pPr>
      <w:adjustRightInd w:val="0"/>
      <w:spacing w:line="300" w:lineRule="auto"/>
      <w:ind w:firstLine="482"/>
      <w:textAlignment w:val="baseline"/>
    </w:pPr>
    <w:rPr>
      <w:rFonts w:ascii="Times New Roman" w:hAnsi="Times New Roman" w:eastAsia="宋体" w:cs="Times New Roman"/>
      <w:kern w:val="0"/>
      <w:sz w:val="24"/>
      <w:szCs w:val="20"/>
    </w:rPr>
  </w:style>
  <w:style w:type="paragraph" w:customStyle="1" w:styleId="246">
    <w:name w:val="样式1正文 Char Char"/>
    <w:basedOn w:val="1"/>
    <w:qFormat/>
    <w:uiPriority w:val="0"/>
    <w:pPr>
      <w:spacing w:line="640" w:lineRule="exact"/>
      <w:ind w:firstLine="520" w:firstLineChars="200"/>
      <w:jc w:val="left"/>
    </w:pPr>
    <w:rPr>
      <w:rFonts w:ascii="宋体" w:hAnsi="宋体" w:eastAsia="宋体" w:cs="Times New Roman"/>
      <w:spacing w:val="-10"/>
      <w:sz w:val="28"/>
      <w:szCs w:val="20"/>
      <w:lang w:val="en-GB"/>
    </w:rPr>
  </w:style>
  <w:style w:type="paragraph" w:customStyle="1" w:styleId="247">
    <w:name w:val="Char3 Char Char Char"/>
    <w:basedOn w:val="1"/>
    <w:qFormat/>
    <w:uiPriority w:val="0"/>
    <w:rPr>
      <w:rFonts w:ascii="Times New Roman" w:hAnsi="Times New Roman" w:eastAsia="宋体" w:cs="Times New Roman"/>
      <w:szCs w:val="20"/>
    </w:rPr>
  </w:style>
  <w:style w:type="paragraph" w:customStyle="1" w:styleId="248">
    <w:name w:val="1.1"/>
    <w:basedOn w:val="1"/>
    <w:qFormat/>
    <w:uiPriority w:val="0"/>
    <w:pPr>
      <w:spacing w:beforeLines="50" w:after="120" w:line="360" w:lineRule="auto"/>
      <w:outlineLvl w:val="0"/>
    </w:pPr>
    <w:rPr>
      <w:rFonts w:ascii="Times New Roman" w:hAnsi="Times New Roman" w:eastAsia="华文中宋" w:cs="Times New Roman"/>
      <w:sz w:val="24"/>
    </w:rPr>
  </w:style>
  <w:style w:type="paragraph" w:customStyle="1" w:styleId="249">
    <w:name w:val="正文123"/>
    <w:basedOn w:val="50"/>
    <w:qFormat/>
    <w:uiPriority w:val="0"/>
    <w:pPr>
      <w:ind w:left="0" w:leftChars="0" w:firstLine="200"/>
    </w:pPr>
    <w:rPr>
      <w:sz w:val="28"/>
    </w:rPr>
  </w:style>
  <w:style w:type="paragraph" w:customStyle="1" w:styleId="250">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251">
    <w:name w:val="样式9"/>
    <w:basedOn w:val="1"/>
    <w:qFormat/>
    <w:uiPriority w:val="0"/>
    <w:pPr>
      <w:spacing w:beforeLines="50" w:afterLines="50" w:line="460" w:lineRule="exact"/>
      <w:ind w:firstLine="480" w:firstLineChars="200"/>
    </w:pPr>
    <w:rPr>
      <w:rFonts w:ascii="宋体" w:hAnsi="Times New Roman" w:eastAsia="宋体" w:cs="Times New Roman"/>
      <w:sz w:val="24"/>
      <w:szCs w:val="20"/>
    </w:rPr>
  </w:style>
  <w:style w:type="paragraph" w:customStyle="1" w:styleId="252">
    <w:name w:val="样式 表头 + 自动设置 Char"/>
    <w:basedOn w:val="182"/>
    <w:qFormat/>
    <w:uiPriority w:val="0"/>
    <w:pPr>
      <w:widowControl w:val="0"/>
      <w:tabs>
        <w:tab w:val="left" w:pos="2520"/>
        <w:tab w:val="clear" w:pos="5520"/>
      </w:tabs>
      <w:snapToGrid/>
      <w:spacing w:beforeLines="100" w:afterLines="50" w:line="240" w:lineRule="exact"/>
      <w:outlineLvl w:val="4"/>
    </w:pPr>
    <w:rPr>
      <w:rFonts w:ascii="黑体" w:hAnsi="宋体" w:eastAsia="黑体" w:cs="Times New Roman"/>
      <w:color w:val="000000"/>
      <w:kern w:val="2"/>
      <w:position w:val="10"/>
      <w:sz w:val="21"/>
      <w:szCs w:val="24"/>
    </w:rPr>
  </w:style>
  <w:style w:type="paragraph" w:customStyle="1" w:styleId="253">
    <w:name w:val="样式 正文文本缩进正文文字缩进正文文字缩进1 + 首行缩进:  0.98 厘米 Char"/>
    <w:basedOn w:val="25"/>
    <w:qFormat/>
    <w:uiPriority w:val="0"/>
    <w:pPr>
      <w:snapToGrid w:val="0"/>
      <w:spacing w:line="360" w:lineRule="auto"/>
      <w:ind w:left="0" w:leftChars="0"/>
    </w:pPr>
    <w:rPr>
      <w:rFonts w:ascii="宋体" w:hAnsi="宋体" w:eastAsia="宋体" w:cs="Times New Roman"/>
      <w:b/>
      <w:kern w:val="0"/>
      <w:sz w:val="24"/>
    </w:rPr>
  </w:style>
  <w:style w:type="paragraph" w:customStyle="1" w:styleId="254">
    <w:name w:val="1表格"/>
    <w:basedOn w:val="1"/>
    <w:qFormat/>
    <w:uiPriority w:val="0"/>
    <w:pPr>
      <w:snapToGrid w:val="0"/>
      <w:spacing w:line="160" w:lineRule="atLeast"/>
      <w:jc w:val="center"/>
    </w:pPr>
    <w:rPr>
      <w:rFonts w:ascii="Times New Roman" w:hAnsi="Times New Roman" w:eastAsia="仿宋_GB2312" w:cs="Times New Roman"/>
      <w:szCs w:val="20"/>
    </w:rPr>
  </w:style>
  <w:style w:type="paragraph" w:customStyle="1" w:styleId="255">
    <w:name w:val="Char Char Char Char5"/>
    <w:basedOn w:val="1"/>
    <w:semiHidden/>
    <w:qFormat/>
    <w:uiPriority w:val="0"/>
    <w:pPr>
      <w:spacing w:line="540" w:lineRule="exact"/>
    </w:pPr>
    <w:rPr>
      <w:rFonts w:ascii="楷体_GB2312" w:hAnsi="Times New Roman" w:eastAsia="楷体_GB2312" w:cs="Times New Roman"/>
      <w:kern w:val="0"/>
      <w:sz w:val="28"/>
    </w:rPr>
  </w:style>
  <w:style w:type="paragraph" w:customStyle="1" w:styleId="256">
    <w:name w:val="Char Char3"/>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257">
    <w:name w:val="表格 23"/>
    <w:basedOn w:val="1"/>
    <w:qFormat/>
    <w:uiPriority w:val="0"/>
    <w:pPr>
      <w:spacing w:beforeLines="50" w:line="300" w:lineRule="auto"/>
      <w:jc w:val="center"/>
    </w:pPr>
    <w:rPr>
      <w:rFonts w:ascii="Times New Roman" w:hAnsi="Times New Roman" w:eastAsia="宋体" w:cs="Times New Roman"/>
      <w:szCs w:val="21"/>
    </w:rPr>
  </w:style>
  <w:style w:type="paragraph" w:customStyle="1" w:styleId="258">
    <w:name w:val="1文章"/>
    <w:basedOn w:val="1"/>
    <w:qFormat/>
    <w:uiPriority w:val="0"/>
    <w:pPr>
      <w:snapToGrid w:val="0"/>
      <w:spacing w:line="360" w:lineRule="auto"/>
      <w:ind w:firstLine="573"/>
    </w:pPr>
    <w:rPr>
      <w:rFonts w:ascii="Times New Roman" w:hAnsi="Times New Roman" w:eastAsia="仿宋_GB2312" w:cs="Times New Roman"/>
      <w:sz w:val="28"/>
      <w:szCs w:val="20"/>
    </w:rPr>
  </w:style>
  <w:style w:type="paragraph" w:customStyle="1" w:styleId="259">
    <w:name w:val="Char Char Char3 Char Char Char Char Char Char Char Char Char Char"/>
    <w:basedOn w:val="1"/>
    <w:qFormat/>
    <w:uiPriority w:val="0"/>
    <w:rPr>
      <w:rFonts w:ascii="Times New Roman" w:hAnsi="Times New Roman" w:eastAsia="宋体" w:cs="Times New Roman"/>
      <w:szCs w:val="20"/>
    </w:rPr>
  </w:style>
  <w:style w:type="paragraph" w:customStyle="1" w:styleId="260">
    <w:name w:val="表格正文"/>
    <w:basedOn w:val="1"/>
    <w:qFormat/>
    <w:uiPriority w:val="0"/>
    <w:pPr>
      <w:adjustRightInd w:val="0"/>
      <w:spacing w:line="0" w:lineRule="atLeast"/>
      <w:textAlignment w:val="baseline"/>
    </w:pPr>
    <w:rPr>
      <w:rFonts w:ascii="Times New Roman" w:hAnsi="Times New Roman" w:eastAsia="宋体" w:cs="Times New Roman"/>
      <w:szCs w:val="20"/>
    </w:rPr>
  </w:style>
  <w:style w:type="paragraph" w:customStyle="1" w:styleId="261">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262">
    <w:name w:val="1表格头"/>
    <w:basedOn w:val="254"/>
    <w:qFormat/>
    <w:uiPriority w:val="0"/>
    <w:rPr>
      <w:sz w:val="24"/>
    </w:rPr>
  </w:style>
  <w:style w:type="paragraph" w:customStyle="1" w:styleId="263">
    <w:name w:val="xl30"/>
    <w:basedOn w:val="1"/>
    <w:qFormat/>
    <w:uiPriority w:val="0"/>
    <w:pPr>
      <w:widowControl/>
      <w:pBdr>
        <w:left w:val="single" w:color="auto" w:sz="12" w:space="0"/>
        <w:right w:val="single" w:color="auto" w:sz="4" w:space="0"/>
      </w:pBdr>
      <w:spacing w:before="100" w:after="100"/>
      <w:jc w:val="center"/>
    </w:pPr>
    <w:rPr>
      <w:rFonts w:ascii="宋体" w:hAnsi="宋体" w:eastAsia="宋体" w:cs="Times New Roman"/>
      <w:kern w:val="0"/>
      <w:sz w:val="24"/>
      <w:szCs w:val="20"/>
    </w:rPr>
  </w:style>
  <w:style w:type="paragraph" w:customStyle="1" w:styleId="264">
    <w:name w:val="Char11"/>
    <w:basedOn w:val="1"/>
    <w:qFormat/>
    <w:uiPriority w:val="0"/>
    <w:rPr>
      <w:rFonts w:ascii="Times New Roman" w:hAnsi="Times New Roman" w:eastAsia="宋体" w:cs="Times New Roman"/>
      <w:sz w:val="24"/>
    </w:rPr>
  </w:style>
  <w:style w:type="paragraph" w:customStyle="1" w:styleId="265">
    <w:name w:val="xl25"/>
    <w:basedOn w:val="1"/>
    <w:qFormat/>
    <w:uiPriority w:val="0"/>
    <w:pPr>
      <w:widowControl/>
      <w:spacing w:before="100" w:beforeAutospacing="1" w:after="100" w:afterAutospacing="1"/>
      <w:jc w:val="center"/>
    </w:pPr>
    <w:rPr>
      <w:rFonts w:ascii="宋体" w:hAnsi="宋体" w:eastAsia="宋体" w:cs="Times New Roman"/>
      <w:kern w:val="0"/>
      <w:szCs w:val="21"/>
    </w:rPr>
  </w:style>
  <w:style w:type="paragraph" w:customStyle="1" w:styleId="266">
    <w:name w:val="Char3"/>
    <w:basedOn w:val="1"/>
    <w:qFormat/>
    <w:uiPriority w:val="0"/>
    <w:rPr>
      <w:rFonts w:ascii="Times New Roman" w:hAnsi="Times New Roman" w:eastAsia="宋体" w:cs="Times New Roman"/>
    </w:rPr>
  </w:style>
  <w:style w:type="paragraph" w:customStyle="1" w:styleId="267">
    <w:name w:val="xl39"/>
    <w:basedOn w:val="1"/>
    <w:qFormat/>
    <w:uiPriority w:val="0"/>
    <w:pPr>
      <w:widowControl/>
      <w:pBdr>
        <w:top w:val="single" w:color="auto" w:sz="12" w:space="0"/>
        <w:left w:val="single" w:color="auto" w:sz="12" w:space="0"/>
        <w:bottom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268">
    <w:name w:val="Char Char Char Char Char Char Char Char Char Char Char Char Char"/>
    <w:basedOn w:val="1"/>
    <w:qFormat/>
    <w:uiPriority w:val="0"/>
    <w:rPr>
      <w:rFonts w:ascii="Times New Roman" w:hAnsi="Times New Roman" w:eastAsia="宋体" w:cs="Times New Roman"/>
      <w:sz w:val="24"/>
    </w:rPr>
  </w:style>
  <w:style w:type="paragraph" w:customStyle="1" w:styleId="269">
    <w:name w:val="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70">
    <w:name w:val="表1表2"/>
    <w:basedOn w:val="1"/>
    <w:qFormat/>
    <w:uiPriority w:val="0"/>
    <w:pPr>
      <w:autoSpaceDE w:val="0"/>
      <w:autoSpaceDN w:val="0"/>
      <w:adjustRightInd w:val="0"/>
      <w:jc w:val="center"/>
      <w:textAlignment w:val="center"/>
    </w:pPr>
    <w:rPr>
      <w:rFonts w:ascii="Times New Roman" w:hAnsi="Times New Roman" w:eastAsia="仿宋_GB2312" w:cs="Times New Roman"/>
      <w:kern w:val="0"/>
    </w:rPr>
  </w:style>
  <w:style w:type="paragraph" w:customStyle="1" w:styleId="271">
    <w:name w:val="中文报告书"/>
    <w:basedOn w:val="1"/>
    <w:qFormat/>
    <w:uiPriority w:val="0"/>
    <w:pPr>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272">
    <w:name w:val="xl4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273">
    <w:name w:val="流程图"/>
    <w:basedOn w:val="1"/>
    <w:qFormat/>
    <w:uiPriority w:val="0"/>
    <w:pPr>
      <w:tabs>
        <w:tab w:val="center" w:pos="0"/>
      </w:tabs>
    </w:pPr>
    <w:rPr>
      <w:rFonts w:ascii="Times New Roman" w:hAnsi="Times New Roman" w:eastAsia="楷体_GB2312" w:cs="Times New Roman"/>
      <w:sz w:val="24"/>
      <w:szCs w:val="20"/>
    </w:rPr>
  </w:style>
  <w:style w:type="paragraph" w:customStyle="1" w:styleId="274">
    <w:name w:val="Char1 Char Char Char"/>
    <w:basedOn w:val="1"/>
    <w:qFormat/>
    <w:uiPriority w:val="0"/>
    <w:rPr>
      <w:rFonts w:ascii="Times New Roman" w:hAnsi="Times New Roman" w:eastAsia="宋体" w:cs="Times New Roman"/>
    </w:rPr>
  </w:style>
  <w:style w:type="paragraph" w:customStyle="1" w:styleId="275">
    <w:name w:val="报告正文"/>
    <w:basedOn w:val="1"/>
    <w:qFormat/>
    <w:uiPriority w:val="0"/>
    <w:pPr>
      <w:ind w:firstLine="200"/>
    </w:pPr>
    <w:rPr>
      <w:rFonts w:ascii="Times New Roman" w:hAnsi="Times New Roman" w:eastAsia="仿宋_GB2312" w:cs="Times New Roman"/>
      <w:sz w:val="28"/>
      <w:szCs w:val="20"/>
    </w:rPr>
  </w:style>
  <w:style w:type="paragraph" w:customStyle="1" w:styleId="276">
    <w:name w:val="0"/>
    <w:basedOn w:val="1"/>
    <w:qFormat/>
    <w:uiPriority w:val="0"/>
    <w:pPr>
      <w:widowControl/>
      <w:snapToGrid w:val="0"/>
      <w:jc w:val="left"/>
    </w:pPr>
    <w:rPr>
      <w:rFonts w:ascii="Times New Roman" w:hAnsi="Times New Roman" w:eastAsia="宋体" w:cs="Times New Roman"/>
      <w:kern w:val="0"/>
      <w:sz w:val="20"/>
      <w:szCs w:val="20"/>
    </w:rPr>
  </w:style>
  <w:style w:type="paragraph" w:customStyle="1" w:styleId="277">
    <w:name w:val="Char4 Char Char Char Char Char Char12"/>
    <w:basedOn w:val="1"/>
    <w:qFormat/>
    <w:uiPriority w:val="0"/>
    <w:pPr>
      <w:spacing w:line="360" w:lineRule="auto"/>
      <w:ind w:firstLine="200" w:firstLineChars="200"/>
    </w:pPr>
    <w:rPr>
      <w:rFonts w:ascii="宋体" w:hAnsi="宋体" w:eastAsia="宋体" w:cs="宋体"/>
      <w:sz w:val="24"/>
    </w:rPr>
  </w:style>
  <w:style w:type="paragraph" w:customStyle="1" w:styleId="278">
    <w:name w:val="表号"/>
    <w:basedOn w:val="21"/>
    <w:qFormat/>
    <w:uiPriority w:val="0"/>
    <w:pPr>
      <w:spacing w:line="400" w:lineRule="exact"/>
      <w:ind w:left="0" w:leftChars="0"/>
      <w:jc w:val="center"/>
    </w:pPr>
    <w:rPr>
      <w:rFonts w:ascii="黑体" w:hAnsi="宋体" w:eastAsia="黑体"/>
      <w:bCs/>
      <w:color w:val="000000"/>
      <w:szCs w:val="21"/>
    </w:rPr>
  </w:style>
  <w:style w:type="paragraph" w:customStyle="1" w:styleId="279">
    <w:name w:val="xyb自建正文"/>
    <w:basedOn w:val="1"/>
    <w:qFormat/>
    <w:uiPriority w:val="0"/>
    <w:pPr>
      <w:spacing w:line="360" w:lineRule="auto"/>
      <w:ind w:firstLine="480" w:firstLineChars="200"/>
      <w:textAlignment w:val="baseline"/>
    </w:pPr>
    <w:rPr>
      <w:rFonts w:ascii="Times New Roman" w:hAnsi="Times New Roman" w:eastAsia="宋体" w:cs="Times New Roman"/>
      <w:snapToGrid w:val="0"/>
      <w:color w:val="0000FF"/>
      <w:kern w:val="0"/>
      <w:sz w:val="24"/>
      <w:szCs w:val="20"/>
    </w:rPr>
  </w:style>
  <w:style w:type="paragraph" w:customStyle="1" w:styleId="280">
    <w:name w:val="Char Char Char1 Char"/>
    <w:basedOn w:val="1"/>
    <w:qFormat/>
    <w:uiPriority w:val="0"/>
    <w:rPr>
      <w:rFonts w:ascii="Times New Roman" w:hAnsi="Times New Roman" w:eastAsia="宋体" w:cs="Times New Roman"/>
      <w:sz w:val="24"/>
    </w:rPr>
  </w:style>
  <w:style w:type="paragraph" w:customStyle="1" w:styleId="281">
    <w:name w:val="用户1"/>
    <w:basedOn w:val="1"/>
    <w:qFormat/>
    <w:uiPriority w:val="0"/>
    <w:pPr>
      <w:spacing w:line="500" w:lineRule="exact"/>
      <w:ind w:firstLine="635"/>
    </w:pPr>
    <w:rPr>
      <w:rFonts w:ascii="Times New Roman" w:hAnsi="Times New Roman" w:eastAsia="楷体_GB2312" w:cs="Times New Roman"/>
      <w:sz w:val="32"/>
      <w:szCs w:val="20"/>
    </w:rPr>
  </w:style>
  <w:style w:type="character" w:customStyle="1" w:styleId="282">
    <w:name w:val="font31"/>
    <w:qFormat/>
    <w:uiPriority w:val="0"/>
    <w:rPr>
      <w:rFonts w:hint="eastAsia" w:ascii="宋体" w:hAnsi="宋体" w:eastAsia="宋体" w:cs="宋体"/>
      <w:b/>
      <w:color w:val="000000"/>
      <w:sz w:val="21"/>
      <w:szCs w:val="21"/>
      <w:u w:val="none"/>
    </w:rPr>
  </w:style>
  <w:style w:type="character" w:customStyle="1" w:styleId="283">
    <w:name w:val="font21"/>
    <w:qFormat/>
    <w:uiPriority w:val="0"/>
    <w:rPr>
      <w:rFonts w:hint="default" w:ascii="Times New Roman" w:hAnsi="Times New Roman" w:cs="Times New Roman"/>
      <w:b/>
      <w:color w:val="000000"/>
      <w:sz w:val="21"/>
      <w:szCs w:val="21"/>
      <w:u w:val="none"/>
    </w:rPr>
  </w:style>
  <w:style w:type="character" w:customStyle="1" w:styleId="284">
    <w:name w:val="font11"/>
    <w:qFormat/>
    <w:uiPriority w:val="0"/>
    <w:rPr>
      <w:rFonts w:hint="default" w:ascii="Times New Roman" w:hAnsi="Times New Roman" w:cs="Times New Roman"/>
      <w:color w:val="000000"/>
      <w:sz w:val="22"/>
      <w:szCs w:val="22"/>
      <w:u w:val="none"/>
    </w:rPr>
  </w:style>
  <w:style w:type="paragraph" w:customStyle="1" w:styleId="285">
    <w:name w:val="正文正文"/>
    <w:basedOn w:val="1"/>
    <w:next w:val="252"/>
    <w:qFormat/>
    <w:uiPriority w:val="0"/>
    <w:pPr>
      <w:spacing w:line="360" w:lineRule="auto"/>
      <w:ind w:firstLine="200" w:firstLineChars="200"/>
    </w:pPr>
    <w:rPr>
      <w:rFonts w:ascii="Times New Roman" w:hAnsi="Times New Roman" w:eastAsia="宋体" w:cs="Times New Roman"/>
      <w:kern w:val="0"/>
      <w:sz w:val="24"/>
      <w:szCs w:val="20"/>
    </w:rPr>
  </w:style>
  <w:style w:type="paragraph" w:customStyle="1" w:styleId="286">
    <w:name w:val="ZW"/>
    <w:basedOn w:val="25"/>
    <w:qFormat/>
    <w:uiPriority w:val="0"/>
    <w:pPr>
      <w:spacing w:line="360" w:lineRule="auto"/>
      <w:ind w:left="-88" w:leftChars="0" w:firstLine="480" w:firstLineChars="200"/>
    </w:pPr>
    <w:rPr>
      <w:rFonts w:ascii="Times New Roman" w:hAnsi="Times New Roman" w:eastAsia="宋体" w:cs="Times New Roman"/>
      <w:bCs/>
      <w:sz w:val="24"/>
    </w:rPr>
  </w:style>
  <w:style w:type="paragraph" w:customStyle="1" w:styleId="287">
    <w:name w:val="BIAOTI"/>
    <w:basedOn w:val="1"/>
    <w:qFormat/>
    <w:uiPriority w:val="99"/>
    <w:pPr>
      <w:ind w:firstLine="422" w:firstLineChars="200"/>
      <w:jc w:val="center"/>
    </w:pPr>
    <w:rPr>
      <w:rFonts w:ascii="Times New Roman" w:hAnsi="Times New Roman" w:eastAsia="宋体" w:cs="Times New Roman"/>
      <w:b/>
      <w:bCs/>
      <w:szCs w:val="21"/>
    </w:rPr>
  </w:style>
  <w:style w:type="paragraph" w:customStyle="1" w:styleId="288">
    <w:name w:val="BIAOGE"/>
    <w:basedOn w:val="287"/>
    <w:qFormat/>
    <w:uiPriority w:val="0"/>
    <w:pPr>
      <w:ind w:firstLine="0" w:firstLineChars="0"/>
    </w:pPr>
    <w:rPr>
      <w:b w:val="0"/>
    </w:rPr>
  </w:style>
  <w:style w:type="character" w:customStyle="1" w:styleId="289">
    <w:name w:val="zz正文 Char Char"/>
    <w:link w:val="290"/>
    <w:qFormat/>
    <w:locked/>
    <w:uiPriority w:val="0"/>
    <w:rPr>
      <w:rFonts w:ascii="宋体"/>
      <w:sz w:val="24"/>
      <w:szCs w:val="24"/>
    </w:rPr>
  </w:style>
  <w:style w:type="paragraph" w:customStyle="1" w:styleId="290">
    <w:name w:val="zz正文"/>
    <w:basedOn w:val="1"/>
    <w:link w:val="289"/>
    <w:qFormat/>
    <w:uiPriority w:val="0"/>
    <w:pPr>
      <w:spacing w:line="360" w:lineRule="auto"/>
    </w:pPr>
    <w:rPr>
      <w:rFonts w:ascii="宋体"/>
      <w:kern w:val="0"/>
      <w:sz w:val="24"/>
    </w:rPr>
  </w:style>
  <w:style w:type="paragraph" w:customStyle="1" w:styleId="291">
    <w:name w:val="Normal Indent1"/>
    <w:basedOn w:val="1"/>
    <w:qFormat/>
    <w:uiPriority w:val="0"/>
    <w:pPr>
      <w:ind w:firstLine="420" w:firstLineChars="200"/>
    </w:pPr>
    <w:rPr>
      <w:rFonts w:ascii="Times New Roman" w:hAnsi="Times New Roman" w:eastAsia="宋体" w:cs="Times New Roman"/>
      <w:sz w:val="24"/>
      <w:szCs w:val="20"/>
    </w:rPr>
  </w:style>
  <w:style w:type="paragraph" w:customStyle="1" w:styleId="292">
    <w:name w:val="正文首行缩进1"/>
    <w:basedOn w:val="24"/>
    <w:qFormat/>
    <w:uiPriority w:val="0"/>
    <w:pPr>
      <w:adjustRightInd w:val="0"/>
      <w:spacing w:line="312" w:lineRule="atLeast"/>
      <w:ind w:firstLine="420"/>
      <w:textAlignment w:val="baseline"/>
    </w:pPr>
    <w:rPr>
      <w:rFonts w:ascii="Calibri" w:hAnsi="Calibri" w:eastAsia="宋体" w:cs="Times New Roman"/>
      <w:szCs w:val="22"/>
    </w:rPr>
  </w:style>
  <w:style w:type="paragraph" w:customStyle="1" w:styleId="293">
    <w:name w:val="乐山-正文 Char"/>
    <w:basedOn w:val="1"/>
    <w:next w:val="1"/>
    <w:link w:val="294"/>
    <w:qFormat/>
    <w:uiPriority w:val="0"/>
    <w:pPr>
      <w:spacing w:line="440" w:lineRule="exact"/>
      <w:ind w:firstLine="200" w:firstLineChars="200"/>
    </w:pPr>
    <w:rPr>
      <w:rFonts w:ascii="Arial" w:hAnsi="Arial" w:eastAsia="华文细黑" w:cs="Times New Roman"/>
      <w:szCs w:val="20"/>
    </w:rPr>
  </w:style>
  <w:style w:type="character" w:customStyle="1" w:styleId="294">
    <w:name w:val="乐山-正文 Char Char"/>
    <w:link w:val="293"/>
    <w:qFormat/>
    <w:uiPriority w:val="0"/>
    <w:rPr>
      <w:rFonts w:ascii="Arial" w:hAnsi="Arial" w:eastAsia="华文细黑" w:cs="Times New Roman"/>
      <w:kern w:val="2"/>
      <w:sz w:val="21"/>
    </w:rPr>
  </w:style>
  <w:style w:type="paragraph" w:customStyle="1" w:styleId="295">
    <w:name w:val="KK正文"/>
    <w:basedOn w:val="46"/>
    <w:link w:val="296"/>
    <w:qFormat/>
    <w:uiPriority w:val="0"/>
    <w:pPr>
      <w:spacing w:before="0" w:beforeAutospacing="0" w:after="0" w:afterAutospacing="0" w:line="360" w:lineRule="exact"/>
      <w:ind w:firstLine="200" w:firstLineChars="200"/>
      <w:jc w:val="both"/>
    </w:pPr>
    <w:rPr>
      <w:rFonts w:ascii="Times New Roman" w:hAnsi="Times New Roman" w:cs="Times New Roman"/>
    </w:rPr>
  </w:style>
  <w:style w:type="character" w:customStyle="1" w:styleId="296">
    <w:name w:val="KK正文 Char"/>
    <w:link w:val="295"/>
    <w:qFormat/>
    <w:uiPriority w:val="0"/>
    <w:rPr>
      <w:rFonts w:ascii="Times New Roman" w:hAnsi="Times New Roman" w:eastAsia="宋体" w:cs="Times New Roman"/>
      <w:sz w:val="24"/>
      <w:szCs w:val="24"/>
    </w:rPr>
  </w:style>
  <w:style w:type="paragraph" w:customStyle="1" w:styleId="297">
    <w:name w:val="列出段落1"/>
    <w:basedOn w:val="1"/>
    <w:qFormat/>
    <w:uiPriority w:val="34"/>
    <w:pPr>
      <w:adjustRightInd w:val="0"/>
      <w:ind w:firstLine="420" w:firstLineChars="200"/>
      <w:jc w:val="left"/>
      <w:textAlignment w:val="baseline"/>
    </w:pPr>
    <w:rPr>
      <w:rFonts w:ascii="Times New Roman" w:hAnsi="Times New Roman" w:eastAsia="宋体" w:cs="Times New Roman"/>
      <w:kern w:val="0"/>
      <w:szCs w:val="20"/>
    </w:rPr>
  </w:style>
  <w:style w:type="character" w:customStyle="1" w:styleId="298">
    <w:name w:val="宜渝路正文 Char Char"/>
    <w:basedOn w:val="56"/>
    <w:link w:val="299"/>
    <w:qFormat/>
    <w:uiPriority w:val="0"/>
    <w:rPr>
      <w:rFonts w:ascii="宋体" w:hAnsi="宋体"/>
      <w:sz w:val="24"/>
      <w:szCs w:val="24"/>
    </w:rPr>
  </w:style>
  <w:style w:type="paragraph" w:customStyle="1" w:styleId="299">
    <w:name w:val="宜渝路正文"/>
    <w:basedOn w:val="1"/>
    <w:link w:val="298"/>
    <w:qFormat/>
    <w:uiPriority w:val="0"/>
    <w:pPr>
      <w:spacing w:line="360" w:lineRule="auto"/>
      <w:ind w:firstLine="480" w:firstLineChars="200"/>
    </w:pPr>
    <w:rPr>
      <w:rFonts w:ascii="宋体" w:hAnsi="宋体"/>
      <w:kern w:val="0"/>
      <w:sz w:val="24"/>
    </w:rPr>
  </w:style>
  <w:style w:type="paragraph" w:customStyle="1" w:styleId="300">
    <w:name w:val="纯文本1"/>
    <w:basedOn w:val="1"/>
    <w:qFormat/>
    <w:uiPriority w:val="0"/>
    <w:rPr>
      <w:rFonts w:ascii="宋体" w:hAnsi="Courier New"/>
      <w:szCs w:val="22"/>
    </w:rPr>
  </w:style>
  <w:style w:type="paragraph" w:customStyle="1" w:styleId="301">
    <w:name w:val="二章表格标题"/>
    <w:basedOn w:val="1"/>
    <w:qFormat/>
    <w:uiPriority w:val="0"/>
    <w:pPr>
      <w:spacing w:beforeLines="20" w:line="360" w:lineRule="auto"/>
      <w:jc w:val="center"/>
    </w:pPr>
    <w:rPr>
      <w:rFonts w:ascii="Times New Roman" w:hAnsi="Times New Roman" w:eastAsia="黑体" w:cs="Times New Roman"/>
      <w:sz w:val="24"/>
    </w:rPr>
  </w:style>
  <w:style w:type="paragraph" w:customStyle="1" w:styleId="302">
    <w:name w:val="正文缩进1"/>
    <w:basedOn w:val="1"/>
    <w:qFormat/>
    <w:uiPriority w:val="0"/>
    <w:pPr>
      <w:adjustRightInd w:val="0"/>
      <w:spacing w:line="312" w:lineRule="atLeast"/>
      <w:ind w:firstLine="420"/>
      <w:textAlignment w:val="baseline"/>
    </w:pPr>
    <w:rPr>
      <w:rFonts w:ascii="Times New Roman" w:hAnsi="Times New Roman" w:eastAsia="宋体" w:cs="Times New Roman"/>
      <w:kern w:val="0"/>
      <w:sz w:val="28"/>
      <w:szCs w:val="20"/>
    </w:rPr>
  </w:style>
  <w:style w:type="paragraph" w:customStyle="1" w:styleId="303">
    <w:name w:val="KK表图标题"/>
    <w:qFormat/>
    <w:uiPriority w:val="0"/>
    <w:pPr>
      <w:spacing w:beforeLines="50" w:afterLines="50"/>
      <w:jc w:val="center"/>
    </w:pPr>
    <w:rPr>
      <w:rFonts w:ascii="Times New Roman" w:hAnsi="Times New Roman" w:eastAsia="宋体" w:cs="Times New Roman"/>
      <w:b/>
      <w:sz w:val="21"/>
      <w:szCs w:val="24"/>
      <w:lang w:val="en-US" w:eastAsia="zh-CN" w:bidi="ar-SA"/>
    </w:rPr>
  </w:style>
  <w:style w:type="paragraph" w:customStyle="1" w:styleId="304">
    <w:name w:val="使用"/>
    <w:basedOn w:val="2"/>
    <w:qFormat/>
    <w:uiPriority w:val="0"/>
    <w:pPr>
      <w:spacing w:after="0" w:line="360" w:lineRule="auto"/>
      <w:ind w:left="0" w:leftChars="0" w:firstLine="560" w:firstLineChars="200"/>
    </w:pPr>
    <w:rPr>
      <w:rFonts w:ascii="宋体" w:hAnsi="宋体" w:eastAsia="宋体" w:cs="Times New Roman"/>
      <w:color w:val="000000"/>
      <w:kern w:val="0"/>
      <w:sz w:val="28"/>
    </w:rPr>
  </w:style>
  <w:style w:type="paragraph" w:customStyle="1" w:styleId="305">
    <w:name w:val="1、表内字"/>
    <w:basedOn w:val="1"/>
    <w:qFormat/>
    <w:uiPriority w:val="0"/>
    <w:pPr>
      <w:jc w:val="center"/>
    </w:pPr>
    <w:rPr>
      <w:rFonts w:ascii="Times New Roman" w:hAnsi="Times New Roman" w:eastAsia="宋体" w:cs="Times New Roman"/>
      <w:szCs w:val="21"/>
    </w:rPr>
  </w:style>
  <w:style w:type="paragraph" w:customStyle="1" w:styleId="306">
    <w:name w:val="1、图名"/>
    <w:basedOn w:val="16"/>
    <w:qFormat/>
    <w:uiPriority w:val="0"/>
    <w:pPr>
      <w:widowControl w:val="0"/>
      <w:ind w:firstLine="0"/>
      <w:jc w:val="center"/>
    </w:pPr>
    <w:rPr>
      <w:rFonts w:ascii="Times New Roman" w:hAnsi="Times New Roman" w:eastAsia="宋体" w:cs="Times New Roman"/>
      <w:b/>
      <w:sz w:val="21"/>
      <w:szCs w:val="21"/>
    </w:rPr>
  </w:style>
  <w:style w:type="paragraph" w:customStyle="1" w:styleId="307">
    <w:name w:val="真·表头"/>
    <w:basedOn w:val="1"/>
    <w:qFormat/>
    <w:uiPriority w:val="0"/>
    <w:pPr>
      <w:adjustRightInd w:val="0"/>
      <w:snapToGrid w:val="0"/>
      <w:spacing w:beforeLines="50" w:line="360" w:lineRule="auto"/>
      <w:jc w:val="center"/>
    </w:pPr>
    <w:rPr>
      <w:rFonts w:ascii="Times New Roman" w:hAnsi="Times New Roman" w:eastAsia="黑体" w:cs="Times New Roman"/>
      <w:sz w:val="24"/>
      <w:szCs w:val="30"/>
    </w:rPr>
  </w:style>
  <w:style w:type="character" w:customStyle="1" w:styleId="308">
    <w:name w:val="表格内容 Char Char Char Char Char"/>
    <w:qFormat/>
    <w:uiPriority w:val="0"/>
    <w:rPr>
      <w:rFonts w:ascii="Times New Roman" w:hAnsi="Times New Roman" w:eastAsia="宋体" w:cs="Times New Roman"/>
      <w:bCs/>
      <w:sz w:val="21"/>
      <w:szCs w:val="20"/>
    </w:rPr>
  </w:style>
  <w:style w:type="paragraph" w:customStyle="1" w:styleId="309">
    <w:name w:val="真·正文"/>
    <w:basedOn w:val="1"/>
    <w:next w:val="254"/>
    <w:qFormat/>
    <w:uiPriority w:val="0"/>
    <w:pPr>
      <w:adjustRightInd w:val="0"/>
      <w:snapToGrid w:val="0"/>
      <w:spacing w:line="360" w:lineRule="auto"/>
      <w:ind w:firstLine="200" w:firstLineChars="200"/>
      <w:jc w:val="left"/>
    </w:pPr>
    <w:rPr>
      <w:rFonts w:ascii="Times New Roman" w:hAnsi="Times New Roman" w:eastAsia="宋体" w:cs="Times New Roman"/>
      <w:sz w:val="24"/>
      <w:szCs w:val="21"/>
    </w:rPr>
  </w:style>
  <w:style w:type="table" w:customStyle="1" w:styleId="310">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311">
    <w:name w:val="Table Paragraph"/>
    <w:basedOn w:val="1"/>
    <w:qFormat/>
    <w:uiPriority w:val="1"/>
    <w:pPr>
      <w:jc w:val="left"/>
    </w:pPr>
    <w:rPr>
      <w:kern w:val="0"/>
      <w:sz w:val="22"/>
      <w:szCs w:val="22"/>
      <w:lang w:eastAsia="en-US"/>
    </w:rPr>
  </w:style>
  <w:style w:type="character" w:customStyle="1" w:styleId="312">
    <w:name w:val="表文 Char2"/>
    <w:basedOn w:val="56"/>
    <w:link w:val="313"/>
    <w:qFormat/>
    <w:uiPriority w:val="0"/>
    <w:rPr>
      <w:rFonts w:ascii="华文中宋" w:hAnsi="华文中宋" w:eastAsia="华文中宋" w:cs="Times New Roman"/>
      <w:szCs w:val="24"/>
    </w:rPr>
  </w:style>
  <w:style w:type="paragraph" w:customStyle="1" w:styleId="313">
    <w:name w:val="表文"/>
    <w:basedOn w:val="1"/>
    <w:link w:val="312"/>
    <w:qFormat/>
    <w:uiPriority w:val="0"/>
    <w:pPr>
      <w:spacing w:line="400" w:lineRule="exact"/>
      <w:jc w:val="center"/>
    </w:pPr>
    <w:rPr>
      <w:rFonts w:ascii="华文中宋" w:hAnsi="华文中宋" w:eastAsia="华文中宋" w:cs="Times New Roman"/>
      <w:kern w:val="0"/>
      <w:sz w:val="20"/>
    </w:rPr>
  </w:style>
  <w:style w:type="paragraph" w:customStyle="1" w:styleId="314">
    <w:name w:val="样式 段后: 15.6 磅"/>
    <w:basedOn w:val="1"/>
    <w:qFormat/>
    <w:uiPriority w:val="0"/>
    <w:pPr>
      <w:widowControl/>
      <w:adjustRightInd w:val="0"/>
      <w:snapToGrid w:val="0"/>
      <w:spacing w:line="300" w:lineRule="auto"/>
      <w:ind w:firstLine="480" w:firstLineChars="200"/>
      <w:jc w:val="left"/>
    </w:pPr>
    <w:rPr>
      <w:rFonts w:ascii="Times New Roman" w:hAnsi="Times New Roman" w:eastAsia="宋体" w:cs="宋体"/>
      <w:kern w:val="0"/>
      <w:sz w:val="24"/>
      <w:szCs w:val="20"/>
    </w:rPr>
  </w:style>
  <w:style w:type="paragraph" w:customStyle="1" w:styleId="315">
    <w:name w:val="样式5"/>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316">
    <w:name w:val="标题003"/>
    <w:basedOn w:val="1"/>
    <w:qFormat/>
    <w:uiPriority w:val="0"/>
    <w:pPr>
      <w:spacing w:before="120" w:line="440" w:lineRule="exact"/>
      <w:outlineLvl w:val="2"/>
    </w:pPr>
    <w:rPr>
      <w:rFonts w:ascii="Times New Roman" w:hAnsi="Times New Roman" w:eastAsia="宋体" w:cs="Times New Roman"/>
      <w:b/>
      <w:sz w:val="27"/>
      <w:szCs w:val="20"/>
    </w:rPr>
  </w:style>
  <w:style w:type="paragraph" w:customStyle="1" w:styleId="317">
    <w:name w:val="1标题3级"/>
    <w:basedOn w:val="1"/>
    <w:qFormat/>
    <w:uiPriority w:val="0"/>
    <w:pPr>
      <w:snapToGrid w:val="0"/>
      <w:spacing w:line="360" w:lineRule="auto"/>
    </w:pPr>
    <w:rPr>
      <w:rFonts w:ascii="Times New Roman" w:hAnsi="Times New Roman" w:eastAsia="仿宋_GB2312" w:cs="Times New Roman"/>
      <w:sz w:val="28"/>
      <w:szCs w:val="20"/>
    </w:rPr>
  </w:style>
  <w:style w:type="paragraph" w:customStyle="1" w:styleId="318">
    <w:name w:val="!正文"/>
    <w:basedOn w:val="1"/>
    <w:qFormat/>
    <w:uiPriority w:val="0"/>
    <w:pPr>
      <w:spacing w:line="360" w:lineRule="auto"/>
      <w:ind w:firstLine="200" w:firstLineChars="200"/>
    </w:pPr>
    <w:rPr>
      <w:rFonts w:ascii="Times New Roman" w:hAnsi="Times New Roman" w:eastAsia="宋体" w:cs="Times New Roman"/>
      <w:sz w:val="24"/>
      <w:szCs w:val="22"/>
    </w:rPr>
  </w:style>
  <w:style w:type="character" w:customStyle="1" w:styleId="319">
    <w:name w:val="样式4 Char Char"/>
    <w:basedOn w:val="56"/>
    <w:link w:val="194"/>
    <w:qFormat/>
    <w:uiPriority w:val="0"/>
    <w:rPr>
      <w:rFonts w:ascii="Times New Roman" w:hAnsi="Times New Roman" w:eastAsia="宋体" w:cs="Times New Roman"/>
      <w:kern w:val="2"/>
      <w:sz w:val="24"/>
    </w:rPr>
  </w:style>
  <w:style w:type="paragraph" w:customStyle="1" w:styleId="320">
    <w:name w:val="段落"/>
    <w:basedOn w:val="1"/>
    <w:qFormat/>
    <w:uiPriority w:val="0"/>
    <w:pPr>
      <w:spacing w:line="360" w:lineRule="auto"/>
      <w:ind w:firstLine="480" w:firstLineChars="200"/>
    </w:pPr>
    <w:rPr>
      <w:rFonts w:ascii="Times New Roman" w:hAnsi="Times New Roman" w:eastAsia="宋体" w:cs="Times New Roman"/>
      <w:bCs/>
      <w:color w:val="000000"/>
      <w:sz w:val="24"/>
      <w:szCs w:val="21"/>
    </w:rPr>
  </w:style>
  <w:style w:type="paragraph" w:customStyle="1" w:styleId="321">
    <w:name w:val="修订2"/>
    <w:hidden/>
    <w:unhideWhenUsed/>
    <w:qFormat/>
    <w:uiPriority w:val="99"/>
    <w:rPr>
      <w:rFonts w:asciiTheme="minorHAnsi" w:hAnsiTheme="minorHAnsi" w:eastAsiaTheme="minorEastAsia" w:cstheme="minorBidi"/>
      <w:kern w:val="2"/>
      <w:sz w:val="21"/>
      <w:szCs w:val="24"/>
      <w:lang w:val="en-US" w:eastAsia="zh-CN" w:bidi="ar-SA"/>
    </w:rPr>
  </w:style>
  <w:style w:type="table" w:customStyle="1" w:styleId="322">
    <w:name w:val="网格型1"/>
    <w:basedOn w:val="51"/>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3">
    <w:name w:val="章标题"/>
    <w:basedOn w:val="1"/>
    <w:next w:val="324"/>
    <w:qFormat/>
    <w:uiPriority w:val="0"/>
    <w:pPr>
      <w:widowControl/>
      <w:spacing w:before="158" w:after="153" w:line="323" w:lineRule="atLeast"/>
      <w:ind w:right="-120"/>
      <w:jc w:val="center"/>
      <w:textAlignment w:val="baseline"/>
    </w:pPr>
    <w:rPr>
      <w:color w:val="FF0000"/>
      <w:kern w:val="0"/>
      <w:sz w:val="18"/>
      <w:szCs w:val="18"/>
    </w:rPr>
  </w:style>
  <w:style w:type="paragraph" w:customStyle="1" w:styleId="324">
    <w:name w:val="节标题"/>
    <w:basedOn w:val="1"/>
    <w:next w:val="1"/>
    <w:qFormat/>
    <w:uiPriority w:val="0"/>
    <w:pPr>
      <w:widowControl/>
      <w:spacing w:line="289" w:lineRule="atLeast"/>
      <w:jc w:val="center"/>
      <w:textAlignment w:val="baseline"/>
    </w:pPr>
    <w:rPr>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918"/>
    <customShpInfo spid="_x0000_s391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944A93-4EFE-4142-B926-25EE5E56065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75</Pages>
  <Words>8261</Words>
  <Characters>47093</Characters>
  <Lines>392</Lines>
  <Paragraphs>110</Paragraphs>
  <TotalTime>3</TotalTime>
  <ScaleCrop>false</ScaleCrop>
  <LinksUpToDate>false</LinksUpToDate>
  <CharactersWithSpaces>55244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2018-09-19T04:17:00Z</dcterms:created>
  <dc:creator>Administrator</dc:creator>
  <cp:lastModifiedBy>YJHuang</cp:lastModifiedBy>
  <cp:lastPrinted>2018-02-07T11:13:00Z</cp:lastPrinted>
  <dcterms:modified xsi:type="dcterms:W3CDTF">2020-07-10T10:29:10Z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