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color w:val="000000" w:themeColor="text1"/>
          <w:kern w:val="44"/>
          <w:sz w:val="44"/>
          <w:szCs w:val="44"/>
          <w:lang w:val="en-US" w:eastAsia="zh-CN" w:bidi="ar-SA"/>
          <w14:textFill>
            <w14:solidFill>
              <w14:schemeClr w14:val="tx1"/>
            </w14:solidFill>
          </w14:textFill>
        </w:rPr>
      </w:pPr>
      <w:bookmarkStart w:id="0" w:name="_GoBack"/>
      <w:bookmarkEnd w:id="0"/>
      <w:r>
        <w:rPr>
          <w:rFonts w:hint="eastAsia" w:ascii="方正小标宋简体" w:hAnsi="方正小标宋简体" w:eastAsia="方正小标宋简体" w:cs="方正小标宋简体"/>
          <w:b w:val="0"/>
          <w:bCs/>
          <w:color w:val="000000" w:themeColor="text1"/>
          <w:kern w:val="44"/>
          <w:sz w:val="44"/>
          <w:szCs w:val="44"/>
          <w:lang w:val="en-US" w:eastAsia="zh-CN" w:bidi="ar-SA"/>
          <w14:textFill>
            <w14:solidFill>
              <w14:schemeClr w14:val="tx1"/>
            </w14:solidFill>
          </w14:textFill>
        </w:rPr>
        <w:t>松潘县县级储备粮轮换管理办法</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pPr>
      <w:r>
        <w:rPr>
          <w:rFonts w:hint="eastAsia"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t>（征求意见稿）</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320" w:firstLineChars="100"/>
        <w:jc w:val="center"/>
        <w:textAlignment w:val="auto"/>
        <w:rPr>
          <w:rFonts w:ascii="黑体" w:eastAsia="黑体"/>
          <w:color w:val="000000"/>
          <w:sz w:val="32"/>
          <w:szCs w:val="32"/>
        </w:rPr>
      </w:pPr>
      <w:r>
        <w:rPr>
          <w:rFonts w:hint="eastAsia" w:ascii="黑体" w:eastAsia="黑体"/>
          <w:color w:val="000000"/>
          <w:sz w:val="32"/>
          <w:szCs w:val="32"/>
          <w:lang w:val="en-US" w:eastAsia="zh-CN"/>
        </w:rPr>
        <w:t xml:space="preserve">第一章 </w:t>
      </w:r>
      <w:r>
        <w:rPr>
          <w:rFonts w:ascii="黑体" w:eastAsia="黑体"/>
          <w:color w:val="000000"/>
          <w:sz w:val="32"/>
          <w:szCs w:val="32"/>
        </w:rPr>
        <w:t>总</w:t>
      </w:r>
      <w:r>
        <w:rPr>
          <w:rFonts w:hint="eastAsia" w:ascii="黑体" w:eastAsia="黑体"/>
          <w:color w:val="000000"/>
          <w:sz w:val="32"/>
          <w:szCs w:val="32"/>
          <w:lang w:val="en-US" w:eastAsia="zh-CN"/>
        </w:rPr>
        <w:t xml:space="preserve"> </w:t>
      </w:r>
      <w:r>
        <w:rPr>
          <w:rFonts w:ascii="黑体" w:eastAsia="黑体"/>
          <w:color w:val="000000"/>
          <w:sz w:val="32"/>
          <w:szCs w:val="32"/>
        </w:rPr>
        <w:t>则</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default"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pPr>
      <w:r>
        <w:rPr>
          <w:rFonts w:hint="default"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t>第一条</w:t>
      </w:r>
      <w:r>
        <w:rPr>
          <w:rFonts w:hint="eastAsia"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t xml:space="preserve"> </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为加强县级储备粮（含原粮、成品粮及成品粮油，下同）轮换管理，实现轮换工作制度化、规范化，确保县级储备粮数量真实、质量良好、储存安全，按照《阿坝州州级储备粮管理暂行办法》《阿坝州州级储备粮轮换管理暂行办法》《松潘县县级储备粮食管理办法（修订）》规定，制定本办法。</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pPr>
      <w:r>
        <w:rPr>
          <w:rFonts w:hint="default"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t>第二条</w:t>
      </w:r>
      <w:r>
        <w:rPr>
          <w:rFonts w:hint="eastAsia"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t xml:space="preserve"> </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县</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级储备粮轮换，是指在保持储备规模不变的前提下，以符合质量要求的新粮等量替换库存粮食的活动</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pPr>
      <w:r>
        <w:rPr>
          <w:rFonts w:hint="default"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t>第三条</w:t>
      </w:r>
      <w:r>
        <w:rPr>
          <w:rFonts w:hint="eastAsia"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t xml:space="preserve"> </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县</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级储备粮轮换应当服从全</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县</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粮食宏观调控政策，遵循保持粮食市场基本稳定、节约成本、提高效率的原则，执行“库存成本定期变动、实物推陈储新、均衡轮换”的轮换制度，任何单位和个人不得擅自轮换</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黑体" w:hAnsi="黑体" w:eastAsia="黑体" w:cs="黑体"/>
          <w:b w:val="0"/>
          <w:bCs/>
          <w:color w:val="000000" w:themeColor="text1"/>
          <w:kern w:val="44"/>
          <w:sz w:val="32"/>
          <w:szCs w:val="32"/>
          <w:lang w:val="en-US" w:eastAsia="zh-CN" w:bidi="ar-SA"/>
          <w14:textFill>
            <w14:solidFill>
              <w14:schemeClr w14:val="tx1"/>
            </w14:solidFill>
          </w14:textFill>
        </w:rPr>
      </w:pPr>
      <w:r>
        <w:rPr>
          <w:rFonts w:hint="eastAsia" w:ascii="黑体" w:hAnsi="黑体" w:eastAsia="黑体" w:cs="黑体"/>
          <w:b w:val="0"/>
          <w:bCs/>
          <w:color w:val="000000" w:themeColor="text1"/>
          <w:kern w:val="44"/>
          <w:sz w:val="32"/>
          <w:szCs w:val="32"/>
          <w:lang w:val="en-US" w:eastAsia="zh-CN" w:bidi="ar-SA"/>
          <w14:textFill>
            <w14:solidFill>
              <w14:schemeClr w14:val="tx1"/>
            </w14:solidFill>
          </w14:textFill>
        </w:rPr>
        <w:t>第二章 轮换方式</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default"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pPr>
      <w:r>
        <w:rPr>
          <w:rFonts w:hint="eastAsia"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t xml:space="preserve">第四条 </w:t>
      </w:r>
      <w:r>
        <w:rPr>
          <w:rFonts w:hint="default" w:ascii="Times New Roman" w:hAnsi="Times New Roman" w:eastAsia="仿宋_GB2312" w:cs="Times New Roman"/>
          <w:color w:val="000000"/>
          <w:sz w:val="32"/>
          <w:szCs w:val="32"/>
          <w:lang w:eastAsia="zh-CN"/>
        </w:rPr>
        <w:t>县</w:t>
      </w:r>
      <w:r>
        <w:rPr>
          <w:rFonts w:hint="default" w:ascii="Times New Roman" w:hAnsi="Times New Roman" w:eastAsia="仿宋_GB2312" w:cs="Times New Roman"/>
          <w:color w:val="000000"/>
          <w:sz w:val="32"/>
          <w:szCs w:val="32"/>
          <w:lang w:bidi="ar-SA"/>
        </w:rPr>
        <w:t>级储备原粮、成品粮、菜籽油实行计划轮换和</w:t>
      </w:r>
      <w:r>
        <w:rPr>
          <w:rFonts w:hint="default" w:ascii="Times New Roman" w:hAnsi="Times New Roman" w:eastAsia="仿宋_GB2312" w:cs="Times New Roman"/>
          <w:color w:val="000000"/>
          <w:sz w:val="32"/>
          <w:szCs w:val="32"/>
          <w:lang w:eastAsia="zh-CN" w:bidi="ar-SA"/>
        </w:rPr>
        <w:t>静态管理</w:t>
      </w:r>
      <w:r>
        <w:rPr>
          <w:rFonts w:hint="default" w:ascii="Times New Roman" w:hAnsi="Times New Roman" w:eastAsia="仿宋_GB2312" w:cs="Times New Roman"/>
          <w:color w:val="000000"/>
          <w:sz w:val="32"/>
          <w:szCs w:val="32"/>
          <w:lang w:bidi="ar-SA"/>
        </w:rPr>
        <w:t>。</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计划轮换由承储企业根据储存年限和品质情况提出申请，达到储存年限的</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县</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级储备原粮、成品粮油必须全部纳入年度轮换计划。</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松潘县</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发展和改革</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局</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（以下简称</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县</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发改</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局）</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审核年度轮换计划，会同</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松潘县</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财政局（以下简称</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县</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财政局</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、中国农业发展银行</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松潘县支</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行（以下简称农发行</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松潘县支</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行</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下达执行。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pP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除紧急动用</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和轮换架空期</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外，承储企业任何时点实物库存不得低于承储计划的</w:t>
      </w:r>
      <w:r>
        <w:rPr>
          <w:rFonts w:hint="default" w:ascii="Times New Roman" w:hAnsi="Times New Roman" w:eastAsia="仿宋_GB2312" w:cs="Times New Roman"/>
          <w:color w:val="000000"/>
          <w:sz w:val="32"/>
          <w:szCs w:val="32"/>
          <w:lang w:val="en-US" w:eastAsia="zh-CN" w:bidi="ar-SA"/>
        </w:rPr>
        <w:t>70%</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pPr>
      <w:r>
        <w:rPr>
          <w:rFonts w:hint="default"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t>第五条</w:t>
      </w:r>
      <w:r>
        <w:rPr>
          <w:rFonts w:hint="eastAsia"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t xml:space="preserve"> </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县</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级储备粮达到轮换周期规定年限的必须进行轮换，原则上为：</w:t>
      </w:r>
      <w:r>
        <w:rPr>
          <w:rFonts w:hint="default" w:ascii="Times New Roman" w:hAnsi="Times New Roman" w:eastAsia="仿宋_GB2312" w:cs="Times New Roman"/>
          <w:color w:val="000000"/>
          <w:sz w:val="32"/>
          <w:szCs w:val="32"/>
          <w:lang w:val="en-US" w:eastAsia="zh-CN" w:bidi="ar-SA"/>
        </w:rPr>
        <w:t>稻谷3年、小麦（青稞）4年、玉米2年、大米2年</w:t>
      </w:r>
      <w:r>
        <w:rPr>
          <w:rFonts w:hint="eastAsia" w:ascii="Times New Roman" w:hAnsi="Times New Roman" w:eastAsia="仿宋_GB2312" w:cs="Times New Roman"/>
          <w:color w:val="000000"/>
          <w:sz w:val="32"/>
          <w:szCs w:val="32"/>
          <w:lang w:val="en-US" w:eastAsia="zh-CN" w:bidi="ar-SA"/>
        </w:rPr>
        <w:t>、</w:t>
      </w:r>
      <w:r>
        <w:rPr>
          <w:rFonts w:hint="default" w:ascii="Times New Roman" w:hAnsi="Times New Roman" w:eastAsia="仿宋_GB2312" w:cs="Times New Roman"/>
          <w:color w:val="000000"/>
          <w:sz w:val="32"/>
          <w:szCs w:val="32"/>
          <w:lang w:bidi="ar-SA"/>
        </w:rPr>
        <w:t>面粉6个月、菜籽油18个月</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pPr>
      <w:r>
        <w:rPr>
          <w:rFonts w:hint="default"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t>第六条</w:t>
      </w:r>
      <w:r>
        <w:rPr>
          <w:rFonts w:hint="eastAsia"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t xml:space="preserve"> </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根据粮油储存品质判定规则相关国家标准评价结果，不宜存的粮食必须进行轮换</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接近不宜存的，要按照先入先出、确保储存安全、提质增效的原则进行轮换</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pPr>
      <w:r>
        <w:rPr>
          <w:rFonts w:hint="default"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t>第七条</w:t>
      </w:r>
      <w:r>
        <w:rPr>
          <w:rFonts w:hint="eastAsia"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t xml:space="preserve"> </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县</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级储备粮轮换原则上采取同品种、同库点轮换。如遇特殊情况需要异品种、异库点轮换的，需经</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县</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发改</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局</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县</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财政局、农发行</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松潘县支</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行批准</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default"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jc w:val="center"/>
        <w:textAlignment w:val="auto"/>
        <w:rPr>
          <w:rFonts w:hint="eastAsia" w:ascii="黑体" w:hAnsi="黑体" w:eastAsia="黑体" w:cs="黑体"/>
          <w:b w:val="0"/>
          <w:bCs/>
          <w:color w:val="000000" w:themeColor="text1"/>
          <w:kern w:val="44"/>
          <w:sz w:val="32"/>
          <w:szCs w:val="32"/>
          <w:lang w:val="en-US" w:eastAsia="zh-CN" w:bidi="ar-SA"/>
          <w14:textFill>
            <w14:solidFill>
              <w14:schemeClr w14:val="tx1"/>
            </w14:solidFill>
          </w14:textFill>
        </w:rPr>
      </w:pPr>
      <w:r>
        <w:rPr>
          <w:rFonts w:hint="eastAsia" w:ascii="黑体" w:hAnsi="黑体" w:eastAsia="黑体" w:cs="黑体"/>
          <w:b w:val="0"/>
          <w:bCs/>
          <w:color w:val="000000" w:themeColor="text1"/>
          <w:kern w:val="44"/>
          <w:sz w:val="32"/>
          <w:szCs w:val="32"/>
          <w:lang w:val="en-US" w:eastAsia="zh-CN" w:bidi="ar-SA"/>
          <w14:textFill>
            <w14:solidFill>
              <w14:schemeClr w14:val="tx1"/>
            </w14:solidFill>
          </w14:textFill>
        </w:rPr>
        <w:t>第三章 计划与执行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jc w:val="both"/>
        <w:textAlignment w:val="auto"/>
        <w:rPr>
          <w:rFonts w:hint="default"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pPr>
      <w:r>
        <w:rPr>
          <w:rFonts w:hint="default"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t>第八条</w:t>
      </w:r>
      <w:r>
        <w:rPr>
          <w:rFonts w:hint="eastAsia"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t xml:space="preserve"> </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计划轮换由承储企业于每年</w:t>
      </w:r>
      <w:r>
        <w:rPr>
          <w:rFonts w:hint="default" w:ascii="Times New Roman" w:hAnsi="Times New Roman" w:eastAsia="仿宋_GB2312" w:cs="Times New Roman"/>
          <w:color w:val="000000"/>
          <w:sz w:val="32"/>
          <w:szCs w:val="32"/>
          <w:lang w:val="en-US" w:eastAsia="zh-CN" w:bidi="ar-SA"/>
        </w:rPr>
        <w:t>11</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月底前提出下年度轮换计划建议，报县粮食行政管理部门。</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县</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发改</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局</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会同</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县</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财政局、农发行</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松潘县支</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行审核后，原则上在每年</w:t>
      </w:r>
      <w:r>
        <w:rPr>
          <w:rFonts w:hint="default" w:ascii="Times New Roman" w:hAnsi="Times New Roman" w:eastAsia="仿宋_GB2312" w:cs="Times New Roman"/>
          <w:color w:val="000000"/>
          <w:sz w:val="32"/>
          <w:szCs w:val="32"/>
          <w:lang w:val="en-US" w:eastAsia="zh-CN" w:bidi="ar-SA"/>
        </w:rPr>
        <w:t>12</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月底前将下年度分品种、分库点轮换计划下达给各承储企业</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pPr>
      <w:r>
        <w:rPr>
          <w:rFonts w:hint="default"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t>第九条</w:t>
      </w:r>
      <w:r>
        <w:rPr>
          <w:rFonts w:hint="eastAsia"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t xml:space="preserve"> </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根据全</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县</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粮食市场形势变化或调控需要，</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县</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发改</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局</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会同</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县</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财政局、农发行</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松潘县支</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行可对</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县</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级储备粮轮换计划进行调整。</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pPr>
      <w:r>
        <w:rPr>
          <w:rFonts w:hint="default"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t>第十条</w:t>
      </w:r>
      <w:r>
        <w:rPr>
          <w:rFonts w:hint="eastAsia"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t xml:space="preserve"> </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县</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级储备原粮轮换除直接收购外，其余购销全部通过网上交易平台公开竞价交易方式进行。确因政府宏观调控、粮食质量安全等因素需采取</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邀</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标、定向及其他方式交易的，须经</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县</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发改</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局</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批准。</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县</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级储备成品粮油轮换，可采取网上交易或线下交易方式进行</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。县</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级储备粮轮换需在规定的时间内完成</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pP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轮换应充分体现公开、公平、公正原则，做到全程留痕备查，相关凭证、资料至少保留</w:t>
      </w:r>
      <w:r>
        <w:rPr>
          <w:rFonts w:hint="default" w:ascii="Times New Roman" w:hAnsi="Times New Roman" w:eastAsia="仿宋_GB2312" w:cs="Times New Roman"/>
          <w:color w:val="000000"/>
          <w:sz w:val="32"/>
          <w:szCs w:val="32"/>
          <w:lang w:val="en-US" w:eastAsia="zh-CN" w:bidi="ar-SA"/>
        </w:rPr>
        <w:t>6</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年。</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pPr>
      <w:r>
        <w:rPr>
          <w:rFonts w:hint="default"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t>第十一条</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 xml:space="preserve"> 县</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级储备粮轮入，主要以当年产新粮食为主，在当年未产新前轮入的，可轮入前一年生产粮食。入库的</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县</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级储备粮，原粮须符合国家标准三级及以上，</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菜籽油</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须符合国家标准二级及以上，大米须符合国家标准三级及以上，小麦粉须符合国家标准特制二等及以上，符合食品卫生安全标准。以上标准为</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县</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级储备粮入库的最低标准，承储企业可根据具体情况自主确定不低于该标准的储备粮入库</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pPr>
      <w:r>
        <w:rPr>
          <w:rFonts w:hint="default"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t>第十二条</w:t>
      </w:r>
      <w:r>
        <w:rPr>
          <w:rFonts w:hint="eastAsia"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t xml:space="preserve"> </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承储企业每季度结束后的次月</w:t>
      </w:r>
      <w:r>
        <w:rPr>
          <w:rFonts w:hint="default" w:ascii="Times New Roman" w:hAnsi="Times New Roman" w:eastAsia="仿宋_GB2312" w:cs="Times New Roman"/>
          <w:color w:val="000000"/>
          <w:sz w:val="32"/>
          <w:szCs w:val="32"/>
          <w:lang w:val="en-US" w:eastAsia="zh-CN" w:bidi="ar-SA"/>
        </w:rPr>
        <w:t>5</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日前将</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县</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级储备粮轮换完成情况报县发改局、粮食和物资储备中心。</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pPr>
      <w:r>
        <w:rPr>
          <w:rFonts w:hint="default"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t>第十三条</w:t>
      </w:r>
      <w:r>
        <w:rPr>
          <w:rFonts w:hint="eastAsia"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t xml:space="preserve"> </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承储企业存储的</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县</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级储备粮实行计划轮换方式的，轮换架空期原则上不超过</w:t>
      </w:r>
      <w:r>
        <w:rPr>
          <w:rFonts w:hint="default" w:ascii="Times New Roman" w:hAnsi="Times New Roman" w:eastAsia="仿宋_GB2312" w:cs="Times New Roman"/>
          <w:color w:val="000000"/>
          <w:sz w:val="32"/>
          <w:szCs w:val="32"/>
          <w:lang w:val="en-US" w:eastAsia="zh-CN" w:bidi="ar-SA"/>
        </w:rPr>
        <w:t>4</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个月，确需延长架空期的，须报经</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县</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发改</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局</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批准，但延长架空期不得超过</w:t>
      </w:r>
      <w:r>
        <w:rPr>
          <w:rFonts w:hint="default" w:ascii="Times New Roman" w:hAnsi="Times New Roman" w:eastAsia="仿宋_GB2312" w:cs="Times New Roman"/>
          <w:color w:val="000000"/>
          <w:sz w:val="32"/>
          <w:szCs w:val="32"/>
          <w:lang w:val="en-US" w:eastAsia="zh-CN" w:bidi="ar-SA"/>
        </w:rPr>
        <w:t>2</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个月。超过规定轮换架空期的，延长期内不享受保管费用和利息补贴</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pPr>
      <w:r>
        <w:rPr>
          <w:rFonts w:hint="default"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t>第十四条</w:t>
      </w:r>
      <w:r>
        <w:rPr>
          <w:rFonts w:hint="eastAsia"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t xml:space="preserve"> </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承储企业存储的</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县</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级储备粮实行自主轮换的，采取“先购后销、边购边销”的方式进行，原则上</w:t>
      </w:r>
      <w:r>
        <w:rPr>
          <w:rFonts w:hint="default" w:ascii="Times New Roman" w:hAnsi="Times New Roman" w:eastAsia="仿宋_GB2312" w:cs="Times New Roman"/>
          <w:color w:val="000000"/>
          <w:sz w:val="32"/>
          <w:szCs w:val="32"/>
          <w:lang w:val="en-US" w:eastAsia="zh-CN" w:bidi="ar-SA"/>
        </w:rPr>
        <w:t>1</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个月内完成轮换，确需延长的，须报经</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县</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发改</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局</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批准，但延长不得超过</w:t>
      </w:r>
      <w:r>
        <w:rPr>
          <w:rFonts w:hint="default" w:ascii="Times New Roman" w:hAnsi="Times New Roman" w:eastAsia="仿宋_GB2312" w:cs="Times New Roman"/>
          <w:color w:val="000000"/>
          <w:sz w:val="32"/>
          <w:szCs w:val="32"/>
          <w:lang w:val="en-US" w:eastAsia="zh-CN" w:bidi="ar-SA"/>
        </w:rPr>
        <w:t>1</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个月。超过规定轮换的，延长期内不享受保管费用和利息补贴</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jc w:val="center"/>
        <w:textAlignment w:val="auto"/>
        <w:rPr>
          <w:rFonts w:hint="eastAsia" w:ascii="黑体" w:hAnsi="黑体" w:eastAsia="黑体" w:cs="黑体"/>
          <w:b w:val="0"/>
          <w:bCs/>
          <w:color w:val="000000" w:themeColor="text1"/>
          <w:kern w:val="44"/>
          <w:sz w:val="32"/>
          <w:szCs w:val="32"/>
          <w:lang w:val="en-US" w:eastAsia="zh-CN" w:bidi="ar-SA"/>
          <w14:textFill>
            <w14:solidFill>
              <w14:schemeClr w14:val="tx1"/>
            </w14:solidFill>
          </w14:textFill>
        </w:rPr>
      </w:pPr>
      <w:r>
        <w:rPr>
          <w:rFonts w:hint="eastAsia" w:ascii="黑体" w:hAnsi="黑体" w:eastAsia="黑体" w:cs="黑体"/>
          <w:b w:val="0"/>
          <w:bCs/>
          <w:color w:val="000000" w:themeColor="text1"/>
          <w:kern w:val="44"/>
          <w:sz w:val="32"/>
          <w:szCs w:val="32"/>
          <w:lang w:val="en-US" w:eastAsia="zh-CN" w:bidi="ar-SA"/>
          <w14:textFill>
            <w14:solidFill>
              <w14:schemeClr w14:val="tx1"/>
            </w14:solidFill>
          </w14:textFill>
        </w:rPr>
        <w:t>第四章 轮换验收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jc w:val="both"/>
        <w:textAlignment w:val="auto"/>
        <w:rPr>
          <w:rFonts w:hint="default"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3" w:firstLineChars="200"/>
        <w:jc w:val="both"/>
        <w:textAlignment w:val="auto"/>
        <w:rPr>
          <w:rFonts w:hint="default"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pPr>
      <w:r>
        <w:rPr>
          <w:rFonts w:hint="default"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t>第十五条</w:t>
      </w:r>
      <w:r>
        <w:rPr>
          <w:rFonts w:hint="eastAsia"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kern w:val="2"/>
          <w:sz w:val="32"/>
          <w:szCs w:val="32"/>
          <w:lang w:val="en-US" w:eastAsia="zh-CN" w:bidi="ar-SA"/>
        </w:rPr>
        <w:t>县级储备粮入库数量验收由县发改局会同县财政局、</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农发行</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松潘县支</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行</w:t>
      </w:r>
      <w:r>
        <w:rPr>
          <w:rFonts w:hint="eastAsia" w:ascii="仿宋_GB2312" w:hAnsi="仿宋_GB2312" w:eastAsia="仿宋_GB2312" w:cs="仿宋_GB2312"/>
          <w:color w:val="000000"/>
          <w:kern w:val="2"/>
          <w:sz w:val="32"/>
          <w:szCs w:val="32"/>
          <w:lang w:val="en-US" w:eastAsia="zh-CN" w:bidi="ar-SA"/>
        </w:rPr>
        <w:t>进行。质量验收委托具有资质的粮食质量检验机构进行。未经质量安全检验的粮食，不得入库和销售出库。</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数量、质量验收均合格后方可确认为</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县</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级储备粮</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pPr>
      <w:r>
        <w:rPr>
          <w:rFonts w:hint="default"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t>第十六条</w:t>
      </w:r>
      <w:r>
        <w:rPr>
          <w:rFonts w:hint="eastAsia"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t xml:space="preserve"> </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县</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级储备粮入库前，需由</w:t>
      </w:r>
      <w:r>
        <w:rPr>
          <w:rFonts w:hint="eastAsia" w:ascii="仿宋_GB2312" w:hAnsi="仿宋_GB2312" w:eastAsia="仿宋_GB2312" w:cs="仿宋_GB2312"/>
          <w:color w:val="000000"/>
          <w:kern w:val="2"/>
          <w:sz w:val="32"/>
          <w:szCs w:val="32"/>
          <w:lang w:val="en-US" w:eastAsia="zh-CN" w:bidi="ar-SA"/>
        </w:rPr>
        <w:t>县发改局会同县财政局、</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农发行</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松潘县支</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行进行仓空容、空货位验收。未进行验收的，其储存的粮油不能作为</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县</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级储备粮。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3" w:firstLineChars="200"/>
        <w:jc w:val="both"/>
        <w:textAlignment w:val="auto"/>
        <w:rPr>
          <w:rFonts w:hint="eastAsia"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pPr>
      <w:r>
        <w:rPr>
          <w:rFonts w:hint="default"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t>第十七条</w:t>
      </w:r>
      <w:r>
        <w:rPr>
          <w:rFonts w:hint="eastAsia"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t xml:space="preserve"> </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承储企业在</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县</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级储备粮入库时要逐车称量（成品粮可按照抽包验斤</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逐批次检验，入库完毕后要进行质量检验</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销售出库时要进行质量检验</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3" w:firstLineChars="200"/>
        <w:jc w:val="both"/>
        <w:textAlignment w:val="auto"/>
        <w:rPr>
          <w:rFonts w:hint="eastAsia"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pPr>
      <w:r>
        <w:rPr>
          <w:rFonts w:hint="default"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t>第十八条</w:t>
      </w:r>
      <w:r>
        <w:rPr>
          <w:rFonts w:hint="eastAsia"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t xml:space="preserve"> </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数量验收中要对承储企业轮换计划执行全过程的材料逐一核对，对数量进行现场测量，用图表标明测量仓间或货位，留下影像资料，现场出具验收结果，并经企业负责人签字确认。</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3" w:firstLineChars="200"/>
        <w:jc w:val="both"/>
        <w:textAlignment w:val="auto"/>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pPr>
      <w:r>
        <w:rPr>
          <w:rFonts w:hint="default"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t>第十九条</w:t>
      </w:r>
      <w:r>
        <w:rPr>
          <w:rFonts w:hint="eastAsia"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kern w:val="2"/>
          <w:sz w:val="32"/>
          <w:szCs w:val="32"/>
          <w:lang w:val="en-US" w:eastAsia="zh-CN" w:bidi="ar-SA"/>
        </w:rPr>
        <w:t>县发改局会同县财政局、</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农发行</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松潘县支</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行在验收</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时</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要根据轮换计划和数量验收情况进行质量抽样，用图表标明抽样仓间和点位，留下影像资料，</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送检</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后要</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要求</w:t>
      </w:r>
      <w:r>
        <w:rPr>
          <w:rFonts w:hint="eastAsia" w:ascii="仿宋_GB2312" w:hAnsi="仿宋_GB2312" w:eastAsia="仿宋_GB2312" w:cs="仿宋_GB2312"/>
          <w:color w:val="000000"/>
          <w:kern w:val="2"/>
          <w:sz w:val="32"/>
          <w:szCs w:val="32"/>
          <w:lang w:val="en-US" w:eastAsia="zh-CN" w:bidi="ar-SA"/>
        </w:rPr>
        <w:t>具有资质的粮食质量检验机构</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及时出具质量检验报告。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center"/>
        <w:textAlignment w:val="auto"/>
        <w:rPr>
          <w:rFonts w:hint="default" w:ascii="黑体" w:hAnsi="黑体" w:eastAsia="黑体" w:cs="黑体"/>
          <w:b w:val="0"/>
          <w:bCs/>
          <w:color w:val="000000" w:themeColor="text1"/>
          <w:kern w:val="44"/>
          <w:sz w:val="32"/>
          <w:szCs w:val="32"/>
          <w:lang w:val="en-US" w:eastAsia="zh-CN" w:bidi="ar-SA"/>
          <w14:textFill>
            <w14:solidFill>
              <w14:schemeClr w14:val="tx1"/>
            </w14:solidFill>
          </w14:textFill>
        </w:rPr>
      </w:pPr>
      <w:r>
        <w:rPr>
          <w:rFonts w:hint="default" w:ascii="黑体" w:hAnsi="黑体" w:eastAsia="黑体" w:cs="黑体"/>
          <w:b w:val="0"/>
          <w:bCs/>
          <w:color w:val="000000" w:themeColor="text1"/>
          <w:kern w:val="44"/>
          <w:sz w:val="32"/>
          <w:szCs w:val="32"/>
          <w:lang w:val="en-US" w:eastAsia="zh-CN" w:bidi="ar-SA"/>
          <w14:textFill>
            <w14:solidFill>
              <w14:schemeClr w14:val="tx1"/>
            </w14:solidFill>
          </w14:textFill>
        </w:rPr>
        <w:t>第五章</w:t>
      </w:r>
      <w:r>
        <w:rPr>
          <w:rFonts w:hint="eastAsia" w:ascii="黑体" w:hAnsi="黑体" w:eastAsia="黑体" w:cs="黑体"/>
          <w:b w:val="0"/>
          <w:bCs/>
          <w:color w:val="000000" w:themeColor="text1"/>
          <w:kern w:val="44"/>
          <w:sz w:val="32"/>
          <w:szCs w:val="32"/>
          <w:lang w:val="en-US" w:eastAsia="zh-CN" w:bidi="ar-SA"/>
          <w14:textFill>
            <w14:solidFill>
              <w14:schemeClr w14:val="tx1"/>
            </w14:solidFill>
          </w14:textFill>
        </w:rPr>
        <w:t xml:space="preserve"> </w:t>
      </w:r>
      <w:r>
        <w:rPr>
          <w:rFonts w:hint="default" w:ascii="黑体" w:hAnsi="黑体" w:eastAsia="黑体" w:cs="黑体"/>
          <w:b w:val="0"/>
          <w:bCs/>
          <w:color w:val="000000" w:themeColor="text1"/>
          <w:kern w:val="44"/>
          <w:sz w:val="32"/>
          <w:szCs w:val="32"/>
          <w:lang w:val="en-US" w:eastAsia="zh-CN" w:bidi="ar-SA"/>
          <w14:textFill>
            <w14:solidFill>
              <w14:schemeClr w14:val="tx1"/>
            </w14:solidFill>
          </w14:textFill>
        </w:rPr>
        <w:t>轮换资金和费用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jc w:val="both"/>
        <w:textAlignment w:val="auto"/>
        <w:rPr>
          <w:rFonts w:hint="default"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3" w:firstLineChars="200"/>
        <w:jc w:val="both"/>
        <w:textAlignment w:val="auto"/>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pPr>
      <w:r>
        <w:rPr>
          <w:rFonts w:hint="default"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t>第二十条</w:t>
      </w:r>
      <w:r>
        <w:rPr>
          <w:rFonts w:hint="eastAsia"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t xml:space="preserve"> </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县</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级储备粮轮换所需贷款与粮食库存值增减挂钩并专户管理、专款专用、库贷一致。承储企业根据下达的轮换计划文件并按照农发行</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松潘县支</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行相关规定申请贷款。农发行</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松潘县支</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行要及时足额提供轮换所需信贷资金，并收回无储备库存对应的贷款。</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3" w:firstLineChars="200"/>
        <w:textAlignment w:val="auto"/>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pPr>
      <w:r>
        <w:rPr>
          <w:rFonts w:hint="default"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t>第二十一条</w:t>
      </w:r>
      <w:r>
        <w:rPr>
          <w:rFonts w:hint="eastAsia"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t xml:space="preserve"> </w:t>
      </w:r>
      <w:r>
        <w:rPr>
          <w:rFonts w:hint="eastAsia" w:ascii="Times New Roman" w:hAnsi="Times New Roman" w:eastAsia="仿宋_GB2312" w:cs="Times New Roman"/>
          <w:color w:val="000000"/>
          <w:sz w:val="32"/>
          <w:szCs w:val="32"/>
          <w:lang w:eastAsia="zh-CN"/>
        </w:rPr>
        <w:t>县财政局</w:t>
      </w:r>
      <w:r>
        <w:rPr>
          <w:rFonts w:hint="default" w:ascii="Times New Roman" w:hAnsi="Times New Roman" w:eastAsia="仿宋_GB2312" w:cs="Times New Roman"/>
          <w:color w:val="000000"/>
          <w:sz w:val="32"/>
          <w:szCs w:val="32"/>
          <w:lang w:eastAsia="zh-CN"/>
        </w:rPr>
        <w:t>将县级粮食储备相关费用纳入财政年初预算，包括同期利率贷款利息、轮换保管费用等。</w:t>
      </w:r>
      <w:r>
        <w:rPr>
          <w:rFonts w:hint="default" w:ascii="Times New Roman" w:hAnsi="Times New Roman" w:eastAsia="仿宋_GB2312" w:cs="Times New Roman"/>
          <w:color w:val="000000"/>
          <w:sz w:val="32"/>
          <w:szCs w:val="32"/>
          <w:lang w:eastAsia="zh-CN" w:bidi="ar-SA"/>
        </w:rPr>
        <w:t>轮换保管费原粮</w:t>
      </w:r>
      <w:r>
        <w:rPr>
          <w:rFonts w:hint="default" w:ascii="Times New Roman" w:hAnsi="Times New Roman" w:eastAsia="仿宋_GB2312" w:cs="Times New Roman"/>
          <w:color w:val="000000"/>
          <w:kern w:val="2"/>
          <w:sz w:val="32"/>
          <w:szCs w:val="32"/>
          <w:lang w:val="en-US" w:eastAsia="zh-CN" w:bidi="ar-SA"/>
        </w:rPr>
        <w:t>0.3</w:t>
      </w:r>
      <w:r>
        <w:rPr>
          <w:rFonts w:hint="default" w:ascii="Times New Roman" w:hAnsi="Times New Roman" w:eastAsia="仿宋_GB2312" w:cs="Times New Roman"/>
          <w:color w:val="000000"/>
          <w:sz w:val="32"/>
          <w:szCs w:val="32"/>
          <w:lang w:val="en-US" w:eastAsia="zh-CN"/>
        </w:rPr>
        <w:t>元/年.斤</w:t>
      </w:r>
      <w:r>
        <w:rPr>
          <w:rFonts w:hint="default" w:ascii="Times New Roman" w:hAnsi="Times New Roman" w:eastAsia="仿宋_GB2312" w:cs="Times New Roman"/>
          <w:color w:val="000000"/>
          <w:sz w:val="32"/>
          <w:szCs w:val="32"/>
          <w:lang w:eastAsia="zh-CN" w:bidi="ar-SA"/>
        </w:rPr>
        <w:t>，食用油</w:t>
      </w:r>
      <w:r>
        <w:rPr>
          <w:rFonts w:hint="default" w:ascii="Times New Roman" w:hAnsi="Times New Roman" w:eastAsia="仿宋_GB2312" w:cs="Times New Roman"/>
          <w:color w:val="000000"/>
          <w:sz w:val="32"/>
          <w:szCs w:val="32"/>
          <w:lang w:val="en-US" w:eastAsia="zh-CN" w:bidi="ar-SA"/>
        </w:rPr>
        <w:t>0.5元/年.斤，用于</w:t>
      </w:r>
      <w:r>
        <w:rPr>
          <w:rFonts w:hint="default" w:ascii="Times New Roman" w:hAnsi="Times New Roman" w:eastAsia="仿宋_GB2312" w:cs="Times New Roman"/>
          <w:color w:val="000000"/>
          <w:sz w:val="32"/>
          <w:szCs w:val="32"/>
          <w:lang w:bidi="ar-SA"/>
        </w:rPr>
        <w:t>轮换</w:t>
      </w:r>
      <w:r>
        <w:rPr>
          <w:rFonts w:hint="default" w:ascii="Times New Roman" w:hAnsi="Times New Roman" w:eastAsia="仿宋_GB2312" w:cs="Times New Roman"/>
          <w:color w:val="000000"/>
          <w:sz w:val="32"/>
          <w:szCs w:val="32"/>
          <w:lang w:eastAsia="zh-CN" w:bidi="ar-SA"/>
        </w:rPr>
        <w:t>的</w:t>
      </w:r>
      <w:r>
        <w:rPr>
          <w:rFonts w:hint="default" w:ascii="Times New Roman" w:hAnsi="Times New Roman" w:eastAsia="仿宋_GB2312" w:cs="Times New Roman"/>
          <w:color w:val="000000"/>
          <w:sz w:val="32"/>
          <w:szCs w:val="32"/>
          <w:lang w:bidi="ar-SA"/>
        </w:rPr>
        <w:t>费用不得低于60%</w:t>
      </w:r>
      <w:r>
        <w:rPr>
          <w:rFonts w:hint="default" w:ascii="Times New Roman" w:hAnsi="Times New Roman" w:eastAsia="仿宋_GB2312" w:cs="Times New Roman"/>
          <w:color w:val="000000"/>
          <w:sz w:val="32"/>
          <w:szCs w:val="32"/>
          <w:lang w:eastAsia="zh-CN" w:bidi="ar-SA"/>
        </w:rPr>
        <w:t>。</w:t>
      </w:r>
      <w:r>
        <w:rPr>
          <w:rFonts w:hint="default" w:ascii="Times New Roman" w:hAnsi="Times New Roman" w:eastAsia="仿宋_GB2312" w:cs="Times New Roman"/>
          <w:color w:val="000000"/>
          <w:sz w:val="32"/>
          <w:szCs w:val="32"/>
          <w:lang w:eastAsia="zh-CN"/>
        </w:rPr>
        <w:t>成本核定根据签订合同金额向中国农业发展银行松潘县支行申请贷款解决</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i w:val="0"/>
          <w:iCs w:val="0"/>
          <w:caps w:val="0"/>
          <w:color w:val="000000"/>
          <w:spacing w:val="0"/>
          <w:sz w:val="32"/>
          <w:szCs w:val="32"/>
          <w:shd w:val="clear" w:fill="FFFFFF"/>
          <w:lang w:eastAsia="zh-CN"/>
        </w:rPr>
        <w:t>储备粮食轮换时实</w:t>
      </w:r>
      <w:r>
        <w:rPr>
          <w:rFonts w:hint="default" w:ascii="Times New Roman" w:hAnsi="Times New Roman" w:eastAsia="仿宋_GB2312" w:cs="Times New Roman"/>
          <w:i w:val="0"/>
          <w:iCs w:val="0"/>
          <w:caps w:val="0"/>
          <w:color w:val="000000"/>
          <w:spacing w:val="0"/>
          <w:sz w:val="32"/>
          <w:szCs w:val="32"/>
          <w:shd w:val="clear" w:fill="FFFFFF"/>
        </w:rPr>
        <w:t>新陈价差</w:t>
      </w:r>
      <w:r>
        <w:rPr>
          <w:rFonts w:hint="default" w:ascii="Times New Roman" w:hAnsi="Times New Roman" w:eastAsia="仿宋_GB2312" w:cs="Times New Roman"/>
          <w:i w:val="0"/>
          <w:iCs w:val="0"/>
          <w:caps w:val="0"/>
          <w:color w:val="000000"/>
          <w:spacing w:val="0"/>
          <w:sz w:val="32"/>
          <w:szCs w:val="32"/>
          <w:shd w:val="clear" w:fill="FFFFFF"/>
          <w:lang w:eastAsia="zh-CN"/>
        </w:rPr>
        <w:t>亏损由县财政补贴。</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3" w:firstLineChars="200"/>
        <w:jc w:val="both"/>
        <w:textAlignment w:val="auto"/>
        <w:rPr>
          <w:rFonts w:hint="default" w:ascii="Times New Roman" w:hAnsi="Times New Roman" w:eastAsia="仿宋_GB2312" w:cs="Times New Roman"/>
          <w:color w:val="000000"/>
          <w:sz w:val="32"/>
          <w:szCs w:val="32"/>
        </w:rPr>
      </w:pPr>
      <w:r>
        <w:rPr>
          <w:rFonts w:hint="default"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t>第二十二条</w:t>
      </w:r>
      <w:r>
        <w:rPr>
          <w:rFonts w:hint="eastAsia"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t xml:space="preserve"> </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县</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级储备粮费用补贴标准的制定和调整，由</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县</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财政局会同</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县</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发改</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局</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，结合</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县</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级储备粮管理实际情况和</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县</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本级财政承受能力确定，并报</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县</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政府批准后执行</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3" w:firstLineChars="200"/>
        <w:jc w:val="both"/>
        <w:textAlignment w:val="auto"/>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pPr>
      <w:r>
        <w:rPr>
          <w:rFonts w:hint="default"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t>第二十三条</w:t>
      </w:r>
      <w:r>
        <w:rPr>
          <w:rFonts w:hint="eastAsia"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t xml:space="preserve"> </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县</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级储备粮费用和利息补贴，由</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县</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财政局按季度及时足额拨付县粮食主管部门或</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县级</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储备粮承储企业。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3" w:firstLineChars="200"/>
        <w:jc w:val="both"/>
        <w:textAlignment w:val="auto"/>
        <w:rPr>
          <w:rFonts w:hint="eastAsia"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center"/>
        <w:textAlignment w:val="auto"/>
        <w:rPr>
          <w:rFonts w:hint="default" w:ascii="黑体" w:hAnsi="黑体" w:eastAsia="黑体" w:cs="黑体"/>
          <w:b w:val="0"/>
          <w:bCs/>
          <w:color w:val="000000" w:themeColor="text1"/>
          <w:kern w:val="44"/>
          <w:sz w:val="32"/>
          <w:szCs w:val="32"/>
          <w:lang w:val="en-US" w:eastAsia="zh-CN" w:bidi="ar-SA"/>
          <w14:textFill>
            <w14:solidFill>
              <w14:schemeClr w14:val="tx1"/>
            </w14:solidFill>
          </w14:textFill>
        </w:rPr>
      </w:pPr>
      <w:r>
        <w:rPr>
          <w:rFonts w:hint="default" w:ascii="黑体" w:hAnsi="黑体" w:eastAsia="黑体" w:cs="黑体"/>
          <w:b w:val="0"/>
          <w:bCs/>
          <w:color w:val="000000" w:themeColor="text1"/>
          <w:kern w:val="44"/>
          <w:sz w:val="32"/>
          <w:szCs w:val="32"/>
          <w:lang w:val="en-US" w:eastAsia="zh-CN" w:bidi="ar-SA"/>
          <w14:textFill>
            <w14:solidFill>
              <w14:schemeClr w14:val="tx1"/>
            </w14:solidFill>
          </w14:textFill>
        </w:rPr>
        <w:t>第六章</w:t>
      </w:r>
      <w:r>
        <w:rPr>
          <w:rFonts w:hint="eastAsia" w:ascii="黑体" w:hAnsi="黑体" w:eastAsia="黑体" w:cs="黑体"/>
          <w:b w:val="0"/>
          <w:bCs/>
          <w:color w:val="000000" w:themeColor="text1"/>
          <w:kern w:val="44"/>
          <w:sz w:val="32"/>
          <w:szCs w:val="32"/>
          <w:lang w:val="en-US" w:eastAsia="zh-CN" w:bidi="ar-SA"/>
          <w14:textFill>
            <w14:solidFill>
              <w14:schemeClr w14:val="tx1"/>
            </w14:solidFill>
          </w14:textFill>
        </w:rPr>
        <w:t xml:space="preserve"> </w:t>
      </w:r>
      <w:r>
        <w:rPr>
          <w:rFonts w:hint="default" w:ascii="黑体" w:hAnsi="黑体" w:eastAsia="黑体" w:cs="黑体"/>
          <w:b w:val="0"/>
          <w:bCs/>
          <w:color w:val="000000" w:themeColor="text1"/>
          <w:kern w:val="44"/>
          <w:sz w:val="32"/>
          <w:szCs w:val="32"/>
          <w:lang w:val="en-US" w:eastAsia="zh-CN" w:bidi="ar-SA"/>
          <w14:textFill>
            <w14:solidFill>
              <w14:schemeClr w14:val="tx1"/>
            </w14:solidFill>
          </w14:textFill>
        </w:rPr>
        <w:t>违规责任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3" w:firstLineChars="200"/>
        <w:jc w:val="both"/>
        <w:textAlignment w:val="auto"/>
        <w:rPr>
          <w:rFonts w:hint="default"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3" w:firstLineChars="200"/>
        <w:jc w:val="both"/>
        <w:textAlignment w:val="auto"/>
        <w:rPr>
          <w:rFonts w:hint="default"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pPr>
      <w:r>
        <w:rPr>
          <w:rFonts w:hint="default"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t>第二十四条</w:t>
      </w:r>
      <w:r>
        <w:rPr>
          <w:rFonts w:hint="eastAsia"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t xml:space="preserve"> </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相关部门、单位及其工作人员违反本办法规定的，由相关部门按职能分工责令改正；对直接负责的主管人员和其他直接责任人员，依法依规子以严肃处理</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3" w:firstLineChars="200"/>
        <w:jc w:val="both"/>
        <w:textAlignment w:val="auto"/>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pPr>
      <w:r>
        <w:rPr>
          <w:rFonts w:hint="default"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t>第二十五条</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 xml:space="preserve"> 县</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级储备粮承储企业违反本办法规定实行失信联合惩戒，有下列行为之一的（因政府调控市场或不可抗力原因除外），由</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县</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发改</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局</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县</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财政局、农发行</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松潘县支</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行分别或联合责令整改、通报。造成</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县</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级储备粮损失的，责令赔偿。按照管理权限对直接负责的主管人员和其他直接责任人员依法依规子以严肃处理。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一</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未实行</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县</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级储备粮专仓储存、专人保管、专账记载，或者</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县</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级储备粮账账不符、账实不符的</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二</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发现</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县</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级储备粮数量、质量和储存安全出现问题不及时处理，或者不及时报告的</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三</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未经批准擅自轮换</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县</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级储备粮的</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四</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擅自延长轮换架空期的</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五</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未按期完成轮换任务的；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六</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未轮报轮</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“转圈</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轮换的；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七</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轮入的</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县</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级储备粮质量不符合规定标准、以陈顶新、掺杂掺假、以次充好的；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八</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擅自更换</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县</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级储备粮轮换品种或储存地点的；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九</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延误轮换或管理不善造成</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县</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级储备粮陈化、霉变的</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十</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挤占挪用农业发展银行贷款、套取财政补贴等行为的</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十一</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未按要求上报相关资料，或者对资料造假的</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十二</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w:t>
      </w:r>
      <w:r>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违反法律、法规、规章规定的其他行为</w:t>
      </w:r>
      <w:r>
        <w:rPr>
          <w:rFonts w:hint="eastAsia"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3" w:firstLineChars="200"/>
        <w:jc w:val="both"/>
        <w:textAlignment w:val="auto"/>
        <w:rPr>
          <w:rFonts w:hint="default"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center"/>
        <w:textAlignment w:val="auto"/>
        <w:rPr>
          <w:rFonts w:hint="eastAsia" w:ascii="黑体" w:hAnsi="黑体" w:eastAsia="黑体" w:cs="黑体"/>
          <w:b w:val="0"/>
          <w:bCs/>
          <w:color w:val="000000" w:themeColor="text1"/>
          <w:kern w:val="44"/>
          <w:sz w:val="32"/>
          <w:szCs w:val="32"/>
          <w:lang w:val="en-US" w:eastAsia="zh-CN" w:bidi="ar-SA"/>
          <w14:textFill>
            <w14:solidFill>
              <w14:schemeClr w14:val="tx1"/>
            </w14:solidFill>
          </w14:textFill>
        </w:rPr>
      </w:pPr>
      <w:r>
        <w:rPr>
          <w:rFonts w:hint="eastAsia" w:ascii="黑体" w:hAnsi="黑体" w:eastAsia="黑体" w:cs="黑体"/>
          <w:b w:val="0"/>
          <w:bCs/>
          <w:color w:val="000000" w:themeColor="text1"/>
          <w:kern w:val="44"/>
          <w:sz w:val="32"/>
          <w:szCs w:val="32"/>
          <w:lang w:val="en-US" w:eastAsia="zh-CN" w:bidi="ar-SA"/>
          <w14:textFill>
            <w14:solidFill>
              <w14:schemeClr w14:val="tx1"/>
            </w14:solidFill>
          </w14:textFill>
        </w:rPr>
        <w:t>第七章 附侧</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3" w:firstLineChars="200"/>
        <w:jc w:val="both"/>
        <w:textAlignment w:val="auto"/>
        <w:rPr>
          <w:rFonts w:hint="default"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3" w:firstLineChars="200"/>
        <w:jc w:val="both"/>
        <w:textAlignment w:val="auto"/>
        <w:rPr>
          <w:rFonts w:hint="default" w:ascii="仿宋_GB2312" w:hAnsi="仿宋_GB2312" w:eastAsia="仿宋_GB2312" w:cs="仿宋_GB2312"/>
          <w:b w:val="0"/>
          <w:bCs/>
          <w:color w:val="000000" w:themeColor="text1"/>
          <w:kern w:val="44"/>
          <w:sz w:val="32"/>
          <w:szCs w:val="32"/>
          <w:lang w:val="en-US" w:eastAsia="zh-CN" w:bidi="ar-SA"/>
          <w14:textFill>
            <w14:solidFill>
              <w14:schemeClr w14:val="tx1"/>
            </w14:solidFill>
          </w14:textFill>
        </w:rPr>
      </w:pPr>
      <w:r>
        <w:rPr>
          <w:rFonts w:hint="default"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t>第二十六条</w:t>
      </w:r>
      <w:r>
        <w:rPr>
          <w:rFonts w:hint="eastAsia"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t xml:space="preserve"> </w:t>
      </w:r>
      <w:r>
        <w:rPr>
          <w:rFonts w:hint="default" w:ascii="Times New Roman" w:hAnsi="Times New Roman" w:eastAsia="仿宋_GB2312" w:cs="Times New Roman"/>
          <w:color w:val="000000"/>
          <w:sz w:val="32"/>
          <w:szCs w:val="32"/>
          <w:lang w:eastAsia="zh-CN"/>
        </w:rPr>
        <w:t>本办法</w:t>
      </w:r>
      <w:r>
        <w:rPr>
          <w:rFonts w:hint="eastAsia" w:ascii="Times New Roman" w:hAnsi="Times New Roman" w:eastAsia="仿宋_GB2312" w:cs="Times New Roman"/>
          <w:color w:val="000000"/>
          <w:sz w:val="32"/>
          <w:szCs w:val="32"/>
          <w:lang w:eastAsia="zh-CN"/>
        </w:rPr>
        <w:t>自</w:t>
      </w:r>
      <w:r>
        <w:rPr>
          <w:rFonts w:hint="eastAsia" w:ascii="Times New Roman" w:hAnsi="Times New Roman" w:eastAsia="仿宋_GB2312" w:cs="Times New Roman"/>
          <w:color w:val="000000"/>
          <w:kern w:val="0"/>
          <w:sz w:val="32"/>
          <w:szCs w:val="32"/>
          <w:lang w:val="en-US" w:eastAsia="zh-CN" w:bidi="ar-SA"/>
        </w:rPr>
        <w:t>2022</w:t>
      </w:r>
      <w:r>
        <w:rPr>
          <w:rStyle w:val="14"/>
          <w:rFonts w:hint="eastAsia" w:ascii="仿宋_GB2312" w:hAnsi="仿宋_GB2312" w:eastAsia="仿宋_GB2312" w:cs="仿宋_GB2312"/>
          <w:b w:val="0"/>
          <w:bCs w:val="0"/>
          <w:i w:val="0"/>
          <w:caps w:val="0"/>
          <w:color w:val="000000"/>
          <w:spacing w:val="0"/>
          <w:sz w:val="32"/>
          <w:szCs w:val="32"/>
          <w:shd w:val="clear" w:color="auto" w:fill="FFFFFF"/>
        </w:rPr>
        <w:t>年</w:t>
      </w:r>
      <w:r>
        <w:rPr>
          <w:rFonts w:hint="eastAsia" w:ascii="Times New Roman" w:hAnsi="Times New Roman" w:eastAsia="仿宋_GB2312" w:cs="Times New Roman"/>
          <w:color w:val="000000"/>
          <w:kern w:val="0"/>
          <w:sz w:val="32"/>
          <w:szCs w:val="32"/>
          <w:lang w:val="en-US" w:eastAsia="zh-CN" w:bidi="ar-SA"/>
        </w:rPr>
        <w:t>11</w:t>
      </w:r>
      <w:r>
        <w:rPr>
          <w:rStyle w:val="14"/>
          <w:rFonts w:hint="eastAsia" w:ascii="仿宋_GB2312" w:hAnsi="仿宋_GB2312" w:eastAsia="仿宋_GB2312" w:cs="仿宋_GB2312"/>
          <w:b w:val="0"/>
          <w:bCs w:val="0"/>
          <w:i w:val="0"/>
          <w:caps w:val="0"/>
          <w:color w:val="000000"/>
          <w:spacing w:val="0"/>
          <w:sz w:val="32"/>
          <w:szCs w:val="32"/>
          <w:shd w:val="clear" w:color="auto" w:fill="FFFFFF"/>
        </w:rPr>
        <w:t>月</w:t>
      </w:r>
      <w:r>
        <w:rPr>
          <w:rFonts w:hint="eastAsia" w:ascii="Times New Roman" w:hAnsi="Times New Roman" w:eastAsia="仿宋_GB2312" w:cs="Times New Roman"/>
          <w:color w:val="000000"/>
          <w:kern w:val="0"/>
          <w:sz w:val="32"/>
          <w:szCs w:val="32"/>
          <w:lang w:val="en-US" w:eastAsia="zh-CN" w:bidi="ar-SA"/>
        </w:rPr>
        <w:t>1</w:t>
      </w:r>
      <w:r>
        <w:rPr>
          <w:rStyle w:val="14"/>
          <w:rFonts w:hint="eastAsia" w:ascii="仿宋_GB2312" w:hAnsi="仿宋_GB2312" w:eastAsia="仿宋_GB2312" w:cs="仿宋_GB2312"/>
          <w:b w:val="0"/>
          <w:bCs w:val="0"/>
          <w:i w:val="0"/>
          <w:caps w:val="0"/>
          <w:color w:val="000000"/>
          <w:spacing w:val="0"/>
          <w:sz w:val="32"/>
          <w:szCs w:val="32"/>
          <w:shd w:val="clear" w:color="auto" w:fill="FFFFFF"/>
        </w:rPr>
        <w:t>日</w:t>
      </w:r>
      <w:r>
        <w:rPr>
          <w:rFonts w:hint="eastAsia" w:ascii="Times New Roman" w:hAnsi="Times New Roman" w:eastAsia="仿宋_GB2312" w:cs="Times New Roman"/>
          <w:color w:val="000000"/>
          <w:sz w:val="32"/>
          <w:szCs w:val="32"/>
          <w:lang w:eastAsia="zh-CN"/>
        </w:rPr>
        <w:t>起正式施行</w:t>
      </w:r>
      <w:r>
        <w:rPr>
          <w:rFonts w:hint="default" w:ascii="Times New Roman" w:hAnsi="Times New Roman" w:eastAsia="仿宋_GB2312" w:cs="Times New Roman"/>
          <w:color w:val="000000"/>
          <w:sz w:val="32"/>
          <w:szCs w:val="32"/>
          <w:lang w:eastAsia="zh-CN"/>
        </w:rPr>
        <w:t>，有效期五年</w:t>
      </w:r>
      <w:r>
        <w:rPr>
          <w:rFonts w:hint="eastAsia" w:ascii="Times New Roman" w:hAnsi="Times New Roman" w:eastAsia="仿宋_GB2312" w:cs="Times New Roman"/>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3" w:firstLineChars="200"/>
        <w:jc w:val="both"/>
        <w:textAlignment w:val="auto"/>
        <w:rPr>
          <w:rFonts w:hint="default"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pPr>
      <w:r>
        <w:rPr>
          <w:rFonts w:hint="default"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t>第二十七条</w:t>
      </w:r>
      <w:r>
        <w:rPr>
          <w:rFonts w:hint="eastAsia"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t xml:space="preserve"> </w:t>
      </w:r>
      <w:r>
        <w:rPr>
          <w:rFonts w:hint="default" w:ascii="Times New Roman" w:hAnsi="Times New Roman" w:eastAsia="仿宋_GB2312" w:cs="Times New Roman"/>
          <w:color w:val="000000"/>
          <w:sz w:val="32"/>
          <w:szCs w:val="32"/>
          <w:lang w:eastAsia="zh-CN"/>
        </w:rPr>
        <w:t>本办法由县发展</w:t>
      </w:r>
      <w:r>
        <w:rPr>
          <w:rFonts w:hint="eastAsia" w:ascii="Times New Roman" w:hAnsi="Times New Roman" w:eastAsia="仿宋_GB2312" w:cs="Times New Roman"/>
          <w:color w:val="000000"/>
          <w:sz w:val="32"/>
          <w:szCs w:val="32"/>
          <w:lang w:eastAsia="zh-CN"/>
        </w:rPr>
        <w:t>和</w:t>
      </w:r>
      <w:r>
        <w:rPr>
          <w:rFonts w:hint="default" w:ascii="Times New Roman" w:hAnsi="Times New Roman" w:eastAsia="仿宋_GB2312" w:cs="Times New Roman"/>
          <w:color w:val="000000"/>
          <w:sz w:val="32"/>
          <w:szCs w:val="32"/>
          <w:lang w:eastAsia="zh-CN"/>
        </w:rPr>
        <w:t>改革局、</w:t>
      </w:r>
      <w:r>
        <w:rPr>
          <w:rFonts w:hint="eastAsia" w:ascii="Times New Roman" w:hAnsi="Times New Roman" w:eastAsia="仿宋_GB2312" w:cs="Times New Roman"/>
          <w:color w:val="000000"/>
          <w:sz w:val="32"/>
          <w:szCs w:val="32"/>
          <w:lang w:eastAsia="zh-CN"/>
        </w:rPr>
        <w:t>县财政局</w:t>
      </w:r>
      <w:r>
        <w:rPr>
          <w:rFonts w:hint="default"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eastAsia="zh-CN"/>
        </w:rPr>
        <w:t>中国农业发展银行松潘县支行</w:t>
      </w:r>
      <w:r>
        <w:rPr>
          <w:rFonts w:hint="default" w:ascii="Times New Roman" w:hAnsi="Times New Roman" w:eastAsia="仿宋_GB2312" w:cs="Times New Roman"/>
          <w:color w:val="000000"/>
          <w:sz w:val="32"/>
          <w:szCs w:val="32"/>
          <w:lang w:eastAsia="zh-CN"/>
        </w:rPr>
        <w:t>负责解释。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3" w:firstLineChars="200"/>
        <w:jc w:val="both"/>
        <w:textAlignment w:val="auto"/>
        <w:rPr>
          <w:rFonts w:hint="default" w:ascii="Times New Roman" w:hAnsi="Times New Roman" w:eastAsia="仿宋_GB2312" w:cs="Times New Roman"/>
          <w:color w:val="000000"/>
          <w:sz w:val="32"/>
          <w:szCs w:val="32"/>
          <w:lang w:val="en-US" w:eastAsia="zh-CN"/>
        </w:rPr>
      </w:pPr>
      <w:r>
        <w:rPr>
          <w:rFonts w:hint="eastAsia" w:ascii="楷体_GB2312" w:hAnsi="楷体_GB2312" w:eastAsia="楷体_GB2312" w:cs="楷体_GB2312"/>
          <w:b/>
          <w:bCs w:val="0"/>
          <w:color w:val="000000" w:themeColor="text1"/>
          <w:kern w:val="44"/>
          <w:sz w:val="32"/>
          <w:szCs w:val="32"/>
          <w:lang w:val="en-US" w:eastAsia="zh-CN" w:bidi="ar-SA"/>
          <w14:textFill>
            <w14:solidFill>
              <w14:schemeClr w14:val="tx1"/>
            </w14:solidFill>
          </w14:textFill>
        </w:rPr>
        <w:t xml:space="preserve"> </w:t>
      </w:r>
    </w:p>
    <w:p>
      <w:pPr>
        <w:rPr>
          <w:rFonts w:hint="default"/>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Consolas">
    <w:panose1 w:val="020B0609020204030204"/>
    <w:charset w:val="00"/>
    <w:family w:val="auto"/>
    <w:pitch w:val="default"/>
    <w:sig w:usb0="E00006FF" w:usb1="0000FCFF" w:usb2="00000001" w:usb3="00000000" w:csb0="6000019F" w:csb1="DFD7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4YzQ2N2M1ODUxZTVjNzU0ZGJmYTY0Y2E3ZDFmMDQifQ=="/>
  </w:docVars>
  <w:rsids>
    <w:rsidRoot w:val="00000000"/>
    <w:rsid w:val="021B73A9"/>
    <w:rsid w:val="057B046C"/>
    <w:rsid w:val="175F4F89"/>
    <w:rsid w:val="215A3212"/>
    <w:rsid w:val="2583554E"/>
    <w:rsid w:val="2BAE64C1"/>
    <w:rsid w:val="2C575AA8"/>
    <w:rsid w:val="2CF01B1B"/>
    <w:rsid w:val="33261142"/>
    <w:rsid w:val="34A131F6"/>
    <w:rsid w:val="42EC6279"/>
    <w:rsid w:val="45CF07B9"/>
    <w:rsid w:val="472F60B4"/>
    <w:rsid w:val="49433A30"/>
    <w:rsid w:val="4FDF15EC"/>
    <w:rsid w:val="5E6A0316"/>
    <w:rsid w:val="60ED7BA2"/>
    <w:rsid w:val="6223183F"/>
    <w:rsid w:val="62B1515D"/>
    <w:rsid w:val="650F2091"/>
    <w:rsid w:val="70547606"/>
    <w:rsid w:val="74CF795A"/>
    <w:rsid w:val="74E07564"/>
    <w:rsid w:val="773728B1"/>
    <w:rsid w:val="7C9707B4"/>
    <w:rsid w:val="7CEB5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ind w:left="400" w:leftChars="200" w:hanging="200" w:hangingChars="200"/>
    </w:pPr>
  </w:style>
  <w:style w:type="paragraph" w:styleId="3">
    <w:name w:val="Normal Indent"/>
    <w:basedOn w:val="1"/>
    <w:qFormat/>
    <w:uiPriority w:val="0"/>
    <w:pPr>
      <w:widowControl w:val="0"/>
      <w:ind w:firstLine="200" w:firstLineChars="200"/>
      <w:jc w:val="both"/>
    </w:pPr>
    <w:rPr>
      <w:rFonts w:ascii="Times New Roman" w:hAnsi="Times New Roman" w:eastAsia="仿宋_GB2312" w:cs="Times New Roman"/>
      <w:kern w:val="2"/>
      <w:sz w:val="32"/>
      <w:szCs w:val="24"/>
      <w:lang w:val="en-US" w:eastAsia="zh-CN" w:bidi="ar-SA"/>
    </w:rPr>
  </w:style>
  <w:style w:type="paragraph" w:styleId="4">
    <w:name w:val="Body Text Indent"/>
    <w:basedOn w:val="1"/>
    <w:next w:val="5"/>
    <w:qFormat/>
    <w:uiPriority w:val="0"/>
    <w:pPr>
      <w:ind w:firstLine="720" w:firstLineChars="225"/>
    </w:pPr>
    <w:rPr>
      <w:sz w:val="32"/>
    </w:rPr>
  </w:style>
  <w:style w:type="paragraph" w:styleId="5">
    <w:name w:val="Body Text First Indent 2"/>
    <w:basedOn w:val="4"/>
    <w:next w:val="1"/>
    <w:qFormat/>
    <w:uiPriority w:val="0"/>
    <w:pPr>
      <w:ind w:firstLine="420" w:firstLineChars="2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spacing w:before="100" w:beforeAutospacing="1" w:after="100" w:afterAutospacing="1"/>
      <w:jc w:val="left"/>
    </w:pPr>
    <w:rPr>
      <w:rFonts w:ascii="ˎ̥" w:hAnsi="ˎ̥" w:cs="宋体"/>
      <w:kern w:val="0"/>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character" w:styleId="13">
    <w:name w:val="FollowedHyperlink"/>
    <w:basedOn w:val="11"/>
    <w:qFormat/>
    <w:uiPriority w:val="0"/>
    <w:rPr>
      <w:color w:val="3D3D3D"/>
      <w:u w:val="none"/>
    </w:rPr>
  </w:style>
  <w:style w:type="character" w:styleId="14">
    <w:name w:val="Emphasis"/>
    <w:basedOn w:val="11"/>
    <w:qFormat/>
    <w:uiPriority w:val="0"/>
    <w:rPr>
      <w:b/>
      <w:bCs/>
    </w:rPr>
  </w:style>
  <w:style w:type="character" w:styleId="15">
    <w:name w:val="HTML Definition"/>
    <w:basedOn w:val="11"/>
    <w:qFormat/>
    <w:uiPriority w:val="0"/>
  </w:style>
  <w:style w:type="character" w:styleId="16">
    <w:name w:val="HTML Variable"/>
    <w:basedOn w:val="11"/>
    <w:qFormat/>
    <w:uiPriority w:val="0"/>
  </w:style>
  <w:style w:type="character" w:styleId="17">
    <w:name w:val="Hyperlink"/>
    <w:basedOn w:val="11"/>
    <w:qFormat/>
    <w:uiPriority w:val="0"/>
    <w:rPr>
      <w:color w:val="0000FF"/>
      <w:u w:val="single"/>
    </w:rPr>
  </w:style>
  <w:style w:type="character" w:styleId="18">
    <w:name w:val="HTML Code"/>
    <w:basedOn w:val="11"/>
    <w:qFormat/>
    <w:uiPriority w:val="0"/>
    <w:rPr>
      <w:rFonts w:hint="default" w:ascii="Consolas" w:hAnsi="Consolas" w:eastAsia="Consolas" w:cs="Consolas"/>
      <w:color w:val="C7254E"/>
      <w:sz w:val="21"/>
      <w:szCs w:val="21"/>
      <w:shd w:val="clear" w:fill="F9F2F4"/>
    </w:rPr>
  </w:style>
  <w:style w:type="character" w:styleId="19">
    <w:name w:val="HTML Cite"/>
    <w:basedOn w:val="11"/>
    <w:qFormat/>
    <w:uiPriority w:val="0"/>
  </w:style>
  <w:style w:type="character" w:styleId="20">
    <w:name w:val="HTML Keyboard"/>
    <w:basedOn w:val="11"/>
    <w:qFormat/>
    <w:uiPriority w:val="0"/>
    <w:rPr>
      <w:rFonts w:hint="default" w:ascii="Consolas" w:hAnsi="Consolas" w:eastAsia="Consolas" w:cs="Consolas"/>
      <w:color w:val="FFFFFF"/>
      <w:sz w:val="21"/>
      <w:szCs w:val="21"/>
      <w:shd w:val="clear" w:fill="333333"/>
    </w:rPr>
  </w:style>
  <w:style w:type="character" w:styleId="21">
    <w:name w:val="HTML Sample"/>
    <w:basedOn w:val="11"/>
    <w:qFormat/>
    <w:uiPriority w:val="0"/>
    <w:rPr>
      <w:rFonts w:ascii="Consolas" w:hAnsi="Consolas" w:eastAsia="Consolas" w:cs="Consolas"/>
      <w:b/>
      <w:bCs/>
      <w:color w:val="FFFFFF"/>
      <w:sz w:val="21"/>
      <w:szCs w:val="21"/>
      <w:vertAlign w:val="baseline"/>
    </w:rPr>
  </w:style>
  <w:style w:type="character" w:customStyle="1" w:styleId="22">
    <w:name w:val="first-child"/>
    <w:basedOn w:val="11"/>
    <w:qFormat/>
    <w:uiPriority w:val="0"/>
  </w:style>
  <w:style w:type="character" w:customStyle="1" w:styleId="23">
    <w:name w:val="layui-layer-tabnow"/>
    <w:basedOn w:val="11"/>
    <w:qFormat/>
    <w:uiPriority w:val="0"/>
    <w:rPr>
      <w:bdr w:val="single" w:color="CCCCCC" w:sz="6" w:space="0"/>
      <w:shd w:val="clear" w:fill="FFFFFF"/>
    </w:rPr>
  </w:style>
  <w:style w:type="character" w:customStyle="1" w:styleId="24">
    <w:name w:val="u-btn"/>
    <w:basedOn w:val="11"/>
    <w:uiPriority w:val="0"/>
  </w:style>
  <w:style w:type="character" w:customStyle="1" w:styleId="25">
    <w:name w:val="z-open"/>
    <w:basedOn w:val="11"/>
    <w:qFormat/>
    <w:uiPriority w:val="0"/>
  </w:style>
  <w:style w:type="character" w:customStyle="1" w:styleId="26">
    <w:name w:val="wx-space"/>
    <w:basedOn w:val="11"/>
    <w:qFormat/>
    <w:uiPriority w:val="0"/>
  </w:style>
  <w:style w:type="character" w:customStyle="1" w:styleId="27">
    <w:name w:val="wx-space1"/>
    <w:basedOn w:val="11"/>
    <w:qFormat/>
    <w:uiPriority w:val="0"/>
  </w:style>
  <w:style w:type="character" w:customStyle="1" w:styleId="28">
    <w:name w:val="hover6"/>
    <w:basedOn w:val="11"/>
    <w:qFormat/>
    <w:uiPriority w:val="0"/>
    <w:rPr>
      <w:color w:val="000000"/>
      <w:shd w:val="clear"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3243</Words>
  <Characters>3289</Characters>
  <Lines>0</Lines>
  <Paragraphs>0</Paragraphs>
  <TotalTime>16</TotalTime>
  <ScaleCrop>false</ScaleCrop>
  <LinksUpToDate>false</LinksUpToDate>
  <CharactersWithSpaces>3325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对影成三人</cp:lastModifiedBy>
  <cp:lastPrinted>2022-09-19T07:38:00Z</cp:lastPrinted>
  <dcterms:modified xsi:type="dcterms:W3CDTF">2022-09-19T08:29:37Z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E80EBE6D29B2419790125102EE9208ED</vt:lpwstr>
  </property>
</Properties>
</file>