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2BE9" w14:textId="77777777" w:rsidR="00D13164" w:rsidRDefault="00D13164">
      <w:pPr>
        <w:spacing w:line="600" w:lineRule="exact"/>
        <w:jc w:val="center"/>
        <w:outlineLvl w:val="0"/>
        <w:rPr>
          <w:rFonts w:ascii="方正小标宋简体" w:eastAsia="方正小标宋简体" w:hAnsi="宋体"/>
          <w:color w:val="000000"/>
          <w:sz w:val="72"/>
          <w:szCs w:val="72"/>
        </w:rPr>
      </w:pPr>
      <w:bookmarkStart w:id="0" w:name="_Toc15306267"/>
    </w:p>
    <w:p w14:paraId="1BFC5C38" w14:textId="77777777" w:rsidR="00D13164" w:rsidRDefault="00D13164">
      <w:pPr>
        <w:spacing w:line="600" w:lineRule="exact"/>
        <w:jc w:val="center"/>
        <w:outlineLvl w:val="0"/>
        <w:rPr>
          <w:rFonts w:ascii="方正小标宋简体" w:eastAsia="方正小标宋简体" w:hAnsi="宋体"/>
          <w:color w:val="000000"/>
          <w:sz w:val="72"/>
          <w:szCs w:val="72"/>
        </w:rPr>
      </w:pPr>
    </w:p>
    <w:p w14:paraId="3B6A95C4" w14:textId="77777777" w:rsidR="00D13164" w:rsidRDefault="00D13164">
      <w:pPr>
        <w:spacing w:line="600" w:lineRule="exact"/>
        <w:jc w:val="center"/>
        <w:outlineLvl w:val="0"/>
        <w:rPr>
          <w:rFonts w:ascii="方正小标宋简体" w:eastAsia="方正小标宋简体" w:hAnsi="宋体"/>
          <w:color w:val="000000"/>
          <w:sz w:val="72"/>
          <w:szCs w:val="72"/>
        </w:rPr>
      </w:pPr>
    </w:p>
    <w:p w14:paraId="030051FE" w14:textId="77777777" w:rsidR="00D13164" w:rsidRDefault="00000000">
      <w:pPr>
        <w:jc w:val="center"/>
        <w:rPr>
          <w:rFonts w:ascii="黑体" w:eastAsia="黑体" w:hAnsi="黑体"/>
          <w:sz w:val="72"/>
          <w:szCs w:val="72"/>
        </w:rPr>
      </w:pPr>
      <w:bookmarkStart w:id="1" w:name="_Toc15396475"/>
      <w:bookmarkStart w:id="2" w:name="_Toc15377193"/>
      <w:bookmarkStart w:id="3" w:name="_Toc15377425"/>
      <w:bookmarkStart w:id="4" w:name="_Toc15396597"/>
      <w:bookmarkStart w:id="5" w:name="_Toc15378441"/>
      <w:r>
        <w:rPr>
          <w:rFonts w:ascii="黑体" w:eastAsia="黑体" w:hAnsi="黑体"/>
          <w:sz w:val="72"/>
          <w:szCs w:val="72"/>
        </w:rPr>
        <w:t>202</w:t>
      </w:r>
      <w:r>
        <w:rPr>
          <w:rFonts w:ascii="黑体" w:eastAsia="黑体" w:hAnsi="黑体" w:hint="eastAsia"/>
          <w:sz w:val="72"/>
          <w:szCs w:val="72"/>
        </w:rPr>
        <w:t>1年度</w:t>
      </w:r>
      <w:bookmarkEnd w:id="1"/>
      <w:bookmarkEnd w:id="2"/>
      <w:bookmarkEnd w:id="3"/>
      <w:bookmarkEnd w:id="4"/>
      <w:bookmarkEnd w:id="5"/>
    </w:p>
    <w:p w14:paraId="3E562789" w14:textId="77777777" w:rsidR="00D13164" w:rsidRDefault="00000000">
      <w:pPr>
        <w:jc w:val="center"/>
        <w:rPr>
          <w:rFonts w:ascii="方正小标宋简体" w:eastAsia="方正小标宋简体"/>
          <w:sz w:val="72"/>
          <w:szCs w:val="72"/>
        </w:rPr>
      </w:pPr>
      <w:bookmarkStart w:id="6" w:name="_Toc15396598"/>
      <w:bookmarkStart w:id="7" w:name="_Toc15396476"/>
      <w:bookmarkStart w:id="8" w:name="_Toc15377426"/>
      <w:bookmarkStart w:id="9" w:name="_Toc15378442"/>
      <w:bookmarkStart w:id="10" w:name="_Toc15377194"/>
      <w:r>
        <w:rPr>
          <w:rFonts w:ascii="方正小标宋简体" w:eastAsia="方正小标宋简体" w:hint="eastAsia"/>
          <w:sz w:val="72"/>
          <w:szCs w:val="72"/>
        </w:rPr>
        <w:t>四川省阿坝州松潘县</w:t>
      </w:r>
      <w:bookmarkStart w:id="11" w:name="_Toc15306268"/>
      <w:bookmarkEnd w:id="0"/>
      <w:r>
        <w:rPr>
          <w:rFonts w:ascii="方正小标宋简体" w:eastAsia="方正小标宋简体" w:hint="eastAsia"/>
          <w:sz w:val="72"/>
          <w:szCs w:val="72"/>
        </w:rPr>
        <w:t>人民政府办公室部门决算</w:t>
      </w:r>
      <w:bookmarkEnd w:id="6"/>
      <w:bookmarkEnd w:id="7"/>
      <w:bookmarkEnd w:id="8"/>
      <w:bookmarkEnd w:id="9"/>
      <w:bookmarkEnd w:id="10"/>
      <w:bookmarkEnd w:id="11"/>
    </w:p>
    <w:p w14:paraId="0A377756" w14:textId="77777777" w:rsidR="00D13164" w:rsidRDefault="00D13164">
      <w:pPr>
        <w:widowControl/>
        <w:jc w:val="center"/>
        <w:rPr>
          <w:rFonts w:ascii="方正小标宋简体" w:eastAsia="方正小标宋简体" w:hAnsi="宋体"/>
          <w:color w:val="000000"/>
          <w:sz w:val="36"/>
          <w:szCs w:val="36"/>
        </w:rPr>
      </w:pPr>
    </w:p>
    <w:p w14:paraId="0CE9CA14" w14:textId="77777777" w:rsidR="00D13164" w:rsidRDefault="00D13164">
      <w:pPr>
        <w:rPr>
          <w:rFonts w:ascii="方正小标宋简体" w:eastAsia="方正小标宋简体" w:hAnsi="宋体"/>
          <w:sz w:val="36"/>
          <w:szCs w:val="36"/>
        </w:rPr>
      </w:pPr>
    </w:p>
    <w:p w14:paraId="7FFA1EB4" w14:textId="77777777" w:rsidR="00D13164" w:rsidRDefault="00D13164">
      <w:pPr>
        <w:rPr>
          <w:rFonts w:ascii="方正小标宋简体" w:eastAsia="方正小标宋简体" w:hAnsi="宋体"/>
          <w:sz w:val="36"/>
          <w:szCs w:val="36"/>
        </w:rPr>
      </w:pPr>
    </w:p>
    <w:p w14:paraId="3978DD7F" w14:textId="77777777" w:rsidR="00D13164" w:rsidRDefault="00D13164">
      <w:pPr>
        <w:rPr>
          <w:rFonts w:ascii="方正小标宋简体" w:eastAsia="方正小标宋简体" w:hAnsi="宋体"/>
          <w:sz w:val="36"/>
          <w:szCs w:val="36"/>
        </w:rPr>
      </w:pPr>
    </w:p>
    <w:p w14:paraId="6CD61F96" w14:textId="77777777" w:rsidR="00D13164" w:rsidRDefault="00D13164">
      <w:pPr>
        <w:rPr>
          <w:rFonts w:ascii="方正小标宋简体" w:eastAsia="方正小标宋简体" w:hAnsi="宋体"/>
          <w:sz w:val="36"/>
          <w:szCs w:val="36"/>
        </w:rPr>
      </w:pPr>
    </w:p>
    <w:p w14:paraId="6D869E26" w14:textId="77777777" w:rsidR="00D13164" w:rsidRDefault="00D13164">
      <w:pPr>
        <w:rPr>
          <w:rFonts w:ascii="方正小标宋简体" w:eastAsia="方正小标宋简体" w:hAnsi="宋体"/>
          <w:sz w:val="36"/>
          <w:szCs w:val="36"/>
        </w:rPr>
      </w:pPr>
    </w:p>
    <w:p w14:paraId="606DFDEE" w14:textId="77777777" w:rsidR="00D13164" w:rsidRDefault="00000000">
      <w:pPr>
        <w:autoSpaceDE w:val="0"/>
        <w:autoSpaceDN w:val="0"/>
        <w:adjustRightInd w:val="0"/>
        <w:ind w:leftChars="200" w:left="420"/>
        <w:jc w:val="left"/>
        <w:rPr>
          <w:rFonts w:ascii="宋体" w:hAnsi="宋体"/>
          <w:sz w:val="32"/>
          <w:szCs w:val="32"/>
        </w:rPr>
      </w:pPr>
      <w:r>
        <w:rPr>
          <w:rFonts w:ascii="宋体" w:hAnsi="宋体" w:cs="仿宋_GB2312" w:hint="eastAsia"/>
          <w:sz w:val="32"/>
          <w:szCs w:val="32"/>
        </w:rPr>
        <w:t>保密审查情况：已审查，内容审定</w:t>
      </w:r>
    </w:p>
    <w:p w14:paraId="76B3837A" w14:textId="77777777" w:rsidR="00D13164" w:rsidRDefault="00000000">
      <w:pPr>
        <w:autoSpaceDE w:val="0"/>
        <w:autoSpaceDN w:val="0"/>
        <w:adjustRightInd w:val="0"/>
        <w:ind w:leftChars="200" w:left="420"/>
        <w:jc w:val="left"/>
        <w:rPr>
          <w:rFonts w:ascii="宋体" w:hAnsi="宋体"/>
          <w:sz w:val="32"/>
          <w:szCs w:val="32"/>
        </w:rPr>
      </w:pPr>
      <w:r>
        <w:rPr>
          <w:rFonts w:ascii="宋体" w:hAnsi="宋体" w:cs="仿宋_GB2312" w:hint="eastAsia"/>
          <w:sz w:val="32"/>
          <w:szCs w:val="32"/>
        </w:rPr>
        <w:t>部门主要负责人审签情况：已审签，同意对外公开</w:t>
      </w:r>
    </w:p>
    <w:p w14:paraId="5FC7CE5D" w14:textId="77777777" w:rsidR="00D13164" w:rsidRDefault="00D13164">
      <w:pPr>
        <w:widowControl/>
        <w:jc w:val="center"/>
        <w:rPr>
          <w:rFonts w:ascii="方正小标宋简体" w:eastAsia="方正小标宋简体" w:hAnsi="宋体"/>
          <w:color w:val="000000"/>
          <w:sz w:val="36"/>
          <w:szCs w:val="36"/>
        </w:rPr>
      </w:pPr>
    </w:p>
    <w:p w14:paraId="0F44A71F" w14:textId="77777777" w:rsidR="00D13164" w:rsidRDefault="00000000">
      <w:pPr>
        <w:widowControl/>
        <w:jc w:val="center"/>
        <w:rPr>
          <w:rFonts w:ascii="黑体" w:eastAsia="黑体" w:hAnsi="黑体"/>
          <w:color w:val="000000"/>
          <w:sz w:val="48"/>
          <w:szCs w:val="48"/>
        </w:rPr>
      </w:pPr>
      <w:r>
        <w:rPr>
          <w:rFonts w:ascii="方正小标宋简体" w:eastAsia="方正小标宋简体" w:hAnsi="宋体"/>
          <w:sz w:val="36"/>
          <w:szCs w:val="36"/>
        </w:rPr>
        <w:br w:type="page"/>
      </w:r>
      <w:r>
        <w:rPr>
          <w:rFonts w:ascii="黑体" w:eastAsia="黑体" w:hAnsi="黑体" w:hint="eastAsia"/>
          <w:color w:val="000000"/>
          <w:sz w:val="48"/>
          <w:szCs w:val="48"/>
        </w:rPr>
        <w:lastRenderedPageBreak/>
        <w:t>目录</w:t>
      </w:r>
    </w:p>
    <w:p w14:paraId="57CC01DD" w14:textId="77777777" w:rsidR="00D13164" w:rsidRDefault="00000000">
      <w:pPr>
        <w:pStyle w:val="TOC1"/>
        <w:jc w:val="center"/>
        <w:rPr>
          <w:rFonts w:hAnsiTheme="minorHAnsi"/>
          <w:b w:val="0"/>
          <w:bCs w:val="0"/>
          <w:sz w:val="24"/>
          <w:szCs w:val="24"/>
        </w:rPr>
      </w:pPr>
      <w:r>
        <w:rPr>
          <w:rFonts w:hAnsiTheme="minorHAnsi" w:hint="eastAsia"/>
          <w:b w:val="0"/>
          <w:bCs w:val="0"/>
          <w:sz w:val="24"/>
          <w:szCs w:val="24"/>
        </w:rPr>
        <w:t>公开时间：</w:t>
      </w:r>
      <w:r>
        <w:rPr>
          <w:rFonts w:ascii="黑体" w:eastAsia="黑体" w:hAnsi="黑体" w:hint="eastAsia"/>
          <w:b w:val="0"/>
          <w:bCs w:val="0"/>
          <w:caps w:val="0"/>
          <w:smallCaps/>
        </w:rPr>
        <w:t>2022年9月23</w:t>
      </w:r>
      <w:r>
        <w:rPr>
          <w:rFonts w:hAnsiTheme="minorHAnsi" w:hint="eastAsia"/>
          <w:b w:val="0"/>
          <w:bCs w:val="0"/>
          <w:sz w:val="24"/>
          <w:szCs w:val="24"/>
        </w:rPr>
        <w:t>日</w:t>
      </w:r>
    </w:p>
    <w:p w14:paraId="48705E91" w14:textId="77777777" w:rsidR="00D13164" w:rsidRDefault="00000000">
      <w:pPr>
        <w:pStyle w:val="TOC1"/>
        <w:tabs>
          <w:tab w:val="right" w:leader="dot" w:pos="8306"/>
        </w:tabs>
        <w:spacing w:before="0" w:after="0"/>
      </w:pPr>
      <w:r>
        <w:rPr>
          <w:b w:val="0"/>
          <w:bCs w:val="0"/>
          <w:caps w:val="0"/>
        </w:rPr>
        <w:fldChar w:fldCharType="begin"/>
      </w:r>
      <w:r>
        <w:rPr>
          <w:b w:val="0"/>
          <w:bCs w:val="0"/>
          <w:caps w:val="0"/>
        </w:rPr>
        <w:instrText xml:space="preserve"> TOC \o \u </w:instrText>
      </w:r>
      <w:r>
        <w:rPr>
          <w:b w:val="0"/>
          <w:bCs w:val="0"/>
          <w:caps w:val="0"/>
        </w:rPr>
        <w:fldChar w:fldCharType="separate"/>
      </w:r>
      <w:r>
        <w:rPr>
          <w:rFonts w:ascii="黑体" w:eastAsia="黑体" w:hAnsi="黑体" w:hint="eastAsia"/>
        </w:rPr>
        <w:t>第一部分</w:t>
      </w:r>
      <w:r>
        <w:rPr>
          <w:rFonts w:ascii="黑体" w:eastAsia="黑体" w:hAnsi="黑体"/>
        </w:rPr>
        <w:t xml:space="preserve"> </w:t>
      </w:r>
      <w:r>
        <w:rPr>
          <w:rFonts w:ascii="黑体" w:eastAsia="黑体" w:hAnsi="黑体" w:hint="eastAsia"/>
          <w:bCs w:val="0"/>
        </w:rPr>
        <w:t>部门概况</w:t>
      </w:r>
      <w:r>
        <w:tab/>
      </w:r>
      <w:r>
        <w:rPr>
          <w:rFonts w:ascii="黑体" w:eastAsia="黑体" w:hAnsi="黑体"/>
          <w:b w:val="0"/>
          <w:bCs w:val="0"/>
          <w:caps w:val="0"/>
          <w:smallCaps/>
        </w:rPr>
        <w:fldChar w:fldCharType="begin"/>
      </w:r>
      <w:r>
        <w:rPr>
          <w:rFonts w:ascii="黑体" w:eastAsia="黑体" w:hAnsi="黑体"/>
          <w:b w:val="0"/>
          <w:bCs w:val="0"/>
          <w:caps w:val="0"/>
          <w:smallCaps/>
        </w:rPr>
        <w:instrText xml:space="preserve"> PAGEREF _Toc29215 \h </w:instrText>
      </w:r>
      <w:r>
        <w:rPr>
          <w:rFonts w:ascii="黑体" w:eastAsia="黑体" w:hAnsi="黑体"/>
          <w:b w:val="0"/>
          <w:bCs w:val="0"/>
          <w:caps w:val="0"/>
          <w:smallCaps/>
        </w:rPr>
      </w:r>
      <w:r>
        <w:rPr>
          <w:rFonts w:ascii="黑体" w:eastAsia="黑体" w:hAnsi="黑体"/>
          <w:b w:val="0"/>
          <w:bCs w:val="0"/>
          <w:caps w:val="0"/>
          <w:smallCaps/>
        </w:rPr>
        <w:fldChar w:fldCharType="separate"/>
      </w:r>
      <w:r>
        <w:rPr>
          <w:rFonts w:ascii="黑体" w:eastAsia="黑体" w:hAnsi="黑体"/>
          <w:b w:val="0"/>
          <w:bCs w:val="0"/>
          <w:caps w:val="0"/>
          <w:smallCaps/>
        </w:rPr>
        <w:t>6</w:t>
      </w:r>
      <w:r>
        <w:rPr>
          <w:rFonts w:ascii="黑体" w:eastAsia="黑体" w:hAnsi="黑体"/>
          <w:b w:val="0"/>
          <w:bCs w:val="0"/>
          <w:caps w:val="0"/>
          <w:smallCaps/>
        </w:rPr>
        <w:fldChar w:fldCharType="end"/>
      </w:r>
    </w:p>
    <w:p w14:paraId="19E8AE01" w14:textId="77777777" w:rsidR="00D13164" w:rsidRDefault="00000000">
      <w:pPr>
        <w:pStyle w:val="TOC2"/>
        <w:tabs>
          <w:tab w:val="right" w:leader="dot" w:pos="8306"/>
        </w:tabs>
        <w:rPr>
          <w:rFonts w:ascii="黑体" w:eastAsia="黑体" w:hAnsi="黑体"/>
        </w:rPr>
      </w:pPr>
      <w:r>
        <w:rPr>
          <w:rFonts w:ascii="黑体" w:eastAsia="黑体" w:hAnsi="黑体" w:hint="eastAsia"/>
        </w:rPr>
        <w:t>一、基本职能及主要工作</w:t>
      </w:r>
      <w:r>
        <w:rPr>
          <w:rFonts w:ascii="黑体" w:eastAsia="黑体" w:hAnsi="黑体"/>
        </w:rPr>
        <w:tab/>
      </w:r>
      <w:r>
        <w:rPr>
          <w:rFonts w:ascii="黑体" w:eastAsia="黑体" w:hAnsi="黑体"/>
        </w:rPr>
        <w:fldChar w:fldCharType="begin"/>
      </w:r>
      <w:r>
        <w:rPr>
          <w:rFonts w:ascii="黑体" w:eastAsia="黑体" w:hAnsi="黑体"/>
        </w:rPr>
        <w:instrText xml:space="preserve"> PAGEREF _Toc28063 \h </w:instrText>
      </w:r>
      <w:r>
        <w:rPr>
          <w:rFonts w:ascii="黑体" w:eastAsia="黑体" w:hAnsi="黑体"/>
        </w:rPr>
      </w:r>
      <w:r>
        <w:rPr>
          <w:rFonts w:ascii="黑体" w:eastAsia="黑体" w:hAnsi="黑体"/>
        </w:rPr>
        <w:fldChar w:fldCharType="separate"/>
      </w:r>
      <w:r>
        <w:rPr>
          <w:rFonts w:ascii="黑体" w:eastAsia="黑体" w:hAnsi="黑体"/>
        </w:rPr>
        <w:t>6</w:t>
      </w:r>
      <w:r>
        <w:rPr>
          <w:rFonts w:ascii="黑体" w:eastAsia="黑体" w:hAnsi="黑体"/>
        </w:rPr>
        <w:fldChar w:fldCharType="end"/>
      </w:r>
    </w:p>
    <w:p w14:paraId="0E68213A"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（一）主要职能</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_Toc1109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6</w:t>
      </w:r>
      <w:r>
        <w:rPr>
          <w:rFonts w:ascii="仿宋" w:eastAsia="仿宋" w:hAnsi="仿宋" w:hint="eastAsia"/>
          <w:bCs/>
          <w:color w:val="000000"/>
          <w:szCs w:val="32"/>
        </w:rPr>
        <w:fldChar w:fldCharType="end"/>
      </w:r>
    </w:p>
    <w:p w14:paraId="4BCF5EC6"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（二）2021年重点工作完成情况</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_Toc9797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6</w:t>
      </w:r>
      <w:r>
        <w:rPr>
          <w:rFonts w:ascii="仿宋" w:eastAsia="仿宋" w:hAnsi="仿宋" w:hint="eastAsia"/>
          <w:bCs/>
          <w:color w:val="000000"/>
          <w:szCs w:val="32"/>
        </w:rPr>
        <w:fldChar w:fldCharType="end"/>
      </w:r>
    </w:p>
    <w:p w14:paraId="6D73AE50" w14:textId="77777777" w:rsidR="00D13164" w:rsidRDefault="00000000">
      <w:pPr>
        <w:pStyle w:val="TOC2"/>
        <w:tabs>
          <w:tab w:val="right" w:leader="dot" w:pos="8306"/>
        </w:tabs>
        <w:rPr>
          <w:rFonts w:ascii="黑体" w:eastAsia="黑体" w:hAnsi="黑体"/>
        </w:rPr>
      </w:pPr>
      <w:r>
        <w:rPr>
          <w:rFonts w:ascii="黑体" w:eastAsia="黑体" w:hAnsi="黑体" w:hint="eastAsia"/>
        </w:rPr>
        <w:t>二、机构设置</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_Toc18735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9</w:t>
      </w:r>
      <w:r>
        <w:rPr>
          <w:rFonts w:ascii="黑体" w:eastAsia="黑体" w:hAnsi="黑体" w:hint="eastAsia"/>
        </w:rPr>
        <w:fldChar w:fldCharType="end"/>
      </w:r>
    </w:p>
    <w:p w14:paraId="09F331D8"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1.综合股</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_Toc21874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10</w:t>
      </w:r>
      <w:r>
        <w:rPr>
          <w:rFonts w:ascii="仿宋" w:eastAsia="仿宋" w:hAnsi="仿宋" w:hint="eastAsia"/>
          <w:bCs/>
          <w:color w:val="000000"/>
          <w:szCs w:val="32"/>
        </w:rPr>
        <w:fldChar w:fldCharType="end"/>
      </w:r>
    </w:p>
    <w:p w14:paraId="51CBEBD5"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2.秘书股</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_Toc25619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10</w:t>
      </w:r>
      <w:r>
        <w:rPr>
          <w:rFonts w:ascii="仿宋" w:eastAsia="仿宋" w:hAnsi="仿宋" w:hint="eastAsia"/>
          <w:bCs/>
          <w:color w:val="000000"/>
          <w:szCs w:val="32"/>
        </w:rPr>
        <w:fldChar w:fldCharType="end"/>
      </w:r>
    </w:p>
    <w:p w14:paraId="17232558"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3.行政股</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_Toc9889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10</w:t>
      </w:r>
      <w:r>
        <w:rPr>
          <w:rFonts w:ascii="仿宋" w:eastAsia="仿宋" w:hAnsi="仿宋" w:hint="eastAsia"/>
          <w:bCs/>
          <w:color w:val="000000"/>
          <w:szCs w:val="32"/>
        </w:rPr>
        <w:fldChar w:fldCharType="end"/>
      </w:r>
    </w:p>
    <w:p w14:paraId="3A5C6814"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4.驻蓉办</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_Toc14742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10</w:t>
      </w:r>
      <w:r>
        <w:rPr>
          <w:rFonts w:ascii="仿宋" w:eastAsia="仿宋" w:hAnsi="仿宋" w:hint="eastAsia"/>
          <w:bCs/>
          <w:color w:val="000000"/>
          <w:szCs w:val="32"/>
        </w:rPr>
        <w:fldChar w:fldCharType="end"/>
      </w:r>
    </w:p>
    <w:p w14:paraId="06118935"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5.人防办</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_Toc16141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10</w:t>
      </w:r>
      <w:r>
        <w:rPr>
          <w:rFonts w:ascii="仿宋" w:eastAsia="仿宋" w:hAnsi="仿宋" w:hint="eastAsia"/>
          <w:bCs/>
          <w:color w:val="000000"/>
          <w:szCs w:val="32"/>
        </w:rPr>
        <w:fldChar w:fldCharType="end"/>
      </w:r>
    </w:p>
    <w:p w14:paraId="69C963BC"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6.信息办</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_Toc18707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10</w:t>
      </w:r>
      <w:r>
        <w:rPr>
          <w:rFonts w:ascii="仿宋" w:eastAsia="仿宋" w:hAnsi="仿宋" w:hint="eastAsia"/>
          <w:bCs/>
          <w:color w:val="000000"/>
          <w:szCs w:val="32"/>
        </w:rPr>
        <w:fldChar w:fldCharType="end"/>
      </w:r>
    </w:p>
    <w:p w14:paraId="6E0406F3"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7.外事办</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_Toc7021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10</w:t>
      </w:r>
      <w:r>
        <w:rPr>
          <w:rFonts w:ascii="仿宋" w:eastAsia="仿宋" w:hAnsi="仿宋" w:hint="eastAsia"/>
          <w:bCs/>
          <w:color w:val="000000"/>
          <w:szCs w:val="32"/>
        </w:rPr>
        <w:fldChar w:fldCharType="end"/>
      </w:r>
    </w:p>
    <w:p w14:paraId="2B8B8872"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8.机关事务服务中心</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_Toc21516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10</w:t>
      </w:r>
      <w:r>
        <w:rPr>
          <w:rFonts w:ascii="仿宋" w:eastAsia="仿宋" w:hAnsi="仿宋" w:hint="eastAsia"/>
          <w:bCs/>
          <w:color w:val="000000"/>
          <w:szCs w:val="32"/>
        </w:rPr>
        <w:fldChar w:fldCharType="end"/>
      </w:r>
    </w:p>
    <w:p w14:paraId="22FE541C" w14:textId="77777777" w:rsidR="00D13164" w:rsidRDefault="00000000">
      <w:pPr>
        <w:pStyle w:val="TOC1"/>
        <w:tabs>
          <w:tab w:val="right" w:leader="dot" w:pos="8306"/>
        </w:tabs>
      </w:pPr>
      <w:r>
        <w:rPr>
          <w:rFonts w:ascii="黑体" w:eastAsia="黑体" w:hAnsi="黑体" w:hint="eastAsia"/>
          <w:color w:val="000000"/>
        </w:rPr>
        <w:t>第二部分</w:t>
      </w:r>
      <w:r>
        <w:rPr>
          <w:rFonts w:ascii="黑体" w:eastAsia="黑体" w:hAnsi="黑体"/>
          <w:color w:val="000000"/>
        </w:rPr>
        <w:t xml:space="preserve"> </w:t>
      </w:r>
      <w:r>
        <w:rPr>
          <w:rFonts w:ascii="黑体" w:eastAsia="黑体" w:hAnsi="黑体"/>
          <w:bCs w:val="0"/>
        </w:rPr>
        <w:t>202</w:t>
      </w:r>
      <w:r>
        <w:rPr>
          <w:rFonts w:ascii="黑体" w:eastAsia="黑体" w:hAnsi="黑体" w:hint="eastAsia"/>
          <w:bCs w:val="0"/>
        </w:rPr>
        <w:t>1年度部门决算情况说明</w:t>
      </w:r>
      <w:r>
        <w:tab/>
      </w:r>
      <w:r>
        <w:fldChar w:fldCharType="begin"/>
      </w:r>
      <w:r>
        <w:instrText xml:space="preserve"> PAGEREF _Toc22614 \h </w:instrText>
      </w:r>
      <w:r>
        <w:fldChar w:fldCharType="separate"/>
      </w:r>
      <w:r>
        <w:t>13</w:t>
      </w:r>
      <w:r>
        <w:fldChar w:fldCharType="end"/>
      </w:r>
    </w:p>
    <w:p w14:paraId="11ED6FB8" w14:textId="77777777" w:rsidR="00D13164" w:rsidRDefault="00000000">
      <w:pPr>
        <w:pStyle w:val="TOC2"/>
        <w:tabs>
          <w:tab w:val="right" w:leader="dot" w:pos="8306"/>
        </w:tabs>
        <w:rPr>
          <w:rFonts w:ascii="黑体" w:eastAsia="黑体" w:hAnsi="黑体"/>
        </w:rPr>
      </w:pPr>
      <w:r>
        <w:rPr>
          <w:rFonts w:ascii="黑体" w:eastAsia="黑体" w:hAnsi="黑体"/>
        </w:rPr>
        <w:t>一、</w:t>
      </w:r>
      <w:r>
        <w:rPr>
          <w:rFonts w:ascii="黑体" w:eastAsia="黑体" w:hAnsi="黑体" w:hint="eastAsia"/>
        </w:rPr>
        <w:t>收入支出决算总体情况说明</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_Toc18803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13</w:t>
      </w:r>
      <w:r>
        <w:rPr>
          <w:rFonts w:ascii="黑体" w:eastAsia="黑体" w:hAnsi="黑体" w:hint="eastAsia"/>
        </w:rPr>
        <w:fldChar w:fldCharType="end"/>
      </w:r>
    </w:p>
    <w:p w14:paraId="5CE3AC80" w14:textId="77777777" w:rsidR="00D13164" w:rsidRDefault="00000000">
      <w:pPr>
        <w:pStyle w:val="TOC2"/>
        <w:tabs>
          <w:tab w:val="right" w:leader="dot" w:pos="8306"/>
        </w:tabs>
        <w:rPr>
          <w:rFonts w:ascii="黑体" w:eastAsia="黑体" w:hAnsi="黑体"/>
        </w:rPr>
      </w:pPr>
      <w:r>
        <w:rPr>
          <w:rFonts w:ascii="黑体" w:eastAsia="黑体" w:hAnsi="黑体"/>
        </w:rPr>
        <w:t>二、</w:t>
      </w:r>
      <w:r>
        <w:rPr>
          <w:rFonts w:ascii="黑体" w:eastAsia="黑体" w:hAnsi="黑体" w:hint="eastAsia"/>
        </w:rPr>
        <w:t>收入决算情况说明</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_Toc8925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13</w:t>
      </w:r>
      <w:r>
        <w:rPr>
          <w:rFonts w:ascii="黑体" w:eastAsia="黑体" w:hAnsi="黑体" w:hint="eastAsia"/>
        </w:rPr>
        <w:fldChar w:fldCharType="end"/>
      </w:r>
    </w:p>
    <w:p w14:paraId="255D8F5B" w14:textId="77777777" w:rsidR="00D13164" w:rsidRDefault="00000000">
      <w:pPr>
        <w:pStyle w:val="TOC2"/>
        <w:tabs>
          <w:tab w:val="right" w:leader="dot" w:pos="8306"/>
        </w:tabs>
        <w:rPr>
          <w:rFonts w:ascii="黑体" w:eastAsia="黑体" w:hAnsi="黑体"/>
        </w:rPr>
      </w:pPr>
      <w:r>
        <w:rPr>
          <w:rFonts w:ascii="黑体" w:eastAsia="黑体" w:hAnsi="黑体" w:hint="eastAsia"/>
        </w:rPr>
        <w:t>三、支出决算情况说明</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_Toc23625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14</w:t>
      </w:r>
      <w:r>
        <w:rPr>
          <w:rFonts w:ascii="黑体" w:eastAsia="黑体" w:hAnsi="黑体" w:hint="eastAsia"/>
        </w:rPr>
        <w:fldChar w:fldCharType="end"/>
      </w:r>
    </w:p>
    <w:p w14:paraId="11515C45" w14:textId="77777777" w:rsidR="00D13164" w:rsidRDefault="00000000">
      <w:pPr>
        <w:pStyle w:val="TOC2"/>
        <w:tabs>
          <w:tab w:val="right" w:leader="dot" w:pos="8306"/>
        </w:tabs>
        <w:rPr>
          <w:rFonts w:ascii="黑体" w:eastAsia="黑体" w:hAnsi="黑体"/>
        </w:rPr>
      </w:pPr>
      <w:r>
        <w:rPr>
          <w:rFonts w:ascii="黑体" w:eastAsia="黑体" w:hAnsi="黑体" w:hint="eastAsia"/>
        </w:rPr>
        <w:t>四、财政拨款收入支出决算总体情况说明</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_Toc15162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14</w:t>
      </w:r>
      <w:r>
        <w:rPr>
          <w:rFonts w:ascii="黑体" w:eastAsia="黑体" w:hAnsi="黑体" w:hint="eastAsia"/>
        </w:rPr>
        <w:fldChar w:fldCharType="end"/>
      </w:r>
    </w:p>
    <w:p w14:paraId="794D7E1B" w14:textId="77777777" w:rsidR="00D13164" w:rsidRDefault="00000000">
      <w:pPr>
        <w:pStyle w:val="TOC2"/>
        <w:tabs>
          <w:tab w:val="right" w:leader="dot" w:pos="8306"/>
        </w:tabs>
        <w:rPr>
          <w:rFonts w:ascii="黑体" w:eastAsia="黑体" w:hAnsi="黑体"/>
        </w:rPr>
      </w:pPr>
      <w:r>
        <w:rPr>
          <w:rFonts w:ascii="黑体" w:eastAsia="黑体" w:hAnsi="黑体" w:hint="eastAsia"/>
        </w:rPr>
        <w:t>五、一般公共预算财政拨款支出决算情况说明</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_Toc10298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15</w:t>
      </w:r>
      <w:r>
        <w:rPr>
          <w:rFonts w:ascii="黑体" w:eastAsia="黑体" w:hAnsi="黑体" w:hint="eastAsia"/>
        </w:rPr>
        <w:fldChar w:fldCharType="end"/>
      </w:r>
    </w:p>
    <w:p w14:paraId="2CEBD71C"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（一）一般公共预算财政拨款支出决算总体情况</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_Toc367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15</w:t>
      </w:r>
      <w:r>
        <w:rPr>
          <w:rFonts w:ascii="仿宋" w:eastAsia="仿宋" w:hAnsi="仿宋" w:hint="eastAsia"/>
          <w:bCs/>
          <w:color w:val="000000"/>
          <w:szCs w:val="32"/>
        </w:rPr>
        <w:fldChar w:fldCharType="end"/>
      </w:r>
    </w:p>
    <w:p w14:paraId="6EA8060A"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（二）一般公共预算财政拨款支出决算结构情况</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_Toc7203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16</w:t>
      </w:r>
      <w:r>
        <w:rPr>
          <w:rFonts w:ascii="仿宋" w:eastAsia="仿宋" w:hAnsi="仿宋" w:hint="eastAsia"/>
          <w:bCs/>
          <w:color w:val="000000"/>
          <w:szCs w:val="32"/>
        </w:rPr>
        <w:fldChar w:fldCharType="end"/>
      </w:r>
    </w:p>
    <w:p w14:paraId="3EFCA8AA"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（三）一般公共预算财政拨款支出决算具体情况</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_Toc1092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16</w:t>
      </w:r>
      <w:r>
        <w:rPr>
          <w:rFonts w:ascii="仿宋" w:eastAsia="仿宋" w:hAnsi="仿宋" w:hint="eastAsia"/>
          <w:bCs/>
          <w:color w:val="000000"/>
          <w:szCs w:val="32"/>
        </w:rPr>
        <w:fldChar w:fldCharType="end"/>
      </w:r>
    </w:p>
    <w:p w14:paraId="7DDF657C" w14:textId="77777777" w:rsidR="00D13164" w:rsidRDefault="00000000">
      <w:pPr>
        <w:pStyle w:val="TOC2"/>
        <w:tabs>
          <w:tab w:val="right" w:leader="dot" w:pos="8306"/>
        </w:tabs>
        <w:rPr>
          <w:rFonts w:ascii="黑体" w:eastAsia="黑体" w:hAnsi="黑体"/>
        </w:rPr>
      </w:pPr>
      <w:r>
        <w:rPr>
          <w:rFonts w:ascii="黑体" w:eastAsia="黑体" w:hAnsi="黑体" w:hint="eastAsia"/>
        </w:rPr>
        <w:t>六、一般公共预算财政拨款基本支出决算情况说明</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_Toc24985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17</w:t>
      </w:r>
      <w:r>
        <w:rPr>
          <w:rFonts w:ascii="黑体" w:eastAsia="黑体" w:hAnsi="黑体" w:hint="eastAsia"/>
        </w:rPr>
        <w:fldChar w:fldCharType="end"/>
      </w:r>
    </w:p>
    <w:p w14:paraId="7E453D2E" w14:textId="77777777" w:rsidR="00D13164" w:rsidRDefault="00000000">
      <w:pPr>
        <w:pStyle w:val="TOC2"/>
        <w:tabs>
          <w:tab w:val="right" w:leader="dot" w:pos="8306"/>
        </w:tabs>
        <w:rPr>
          <w:rFonts w:ascii="黑体" w:eastAsia="黑体" w:hAnsi="黑体"/>
        </w:rPr>
      </w:pPr>
      <w:r>
        <w:rPr>
          <w:rFonts w:ascii="黑体" w:eastAsia="黑体" w:hAnsi="黑体" w:hint="eastAsia"/>
        </w:rPr>
        <w:t>七、“三公”经费财政拨款支出决算情况说明</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_Toc3357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18</w:t>
      </w:r>
      <w:r>
        <w:rPr>
          <w:rFonts w:ascii="黑体" w:eastAsia="黑体" w:hAnsi="黑体" w:hint="eastAsia"/>
        </w:rPr>
        <w:fldChar w:fldCharType="end"/>
      </w:r>
    </w:p>
    <w:p w14:paraId="414906B8"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（一）“三公”经费财政拨款支出决算总体情况说明</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_Toc29174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18</w:t>
      </w:r>
      <w:r>
        <w:rPr>
          <w:rFonts w:ascii="仿宋" w:eastAsia="仿宋" w:hAnsi="仿宋" w:hint="eastAsia"/>
          <w:bCs/>
          <w:color w:val="000000"/>
          <w:szCs w:val="32"/>
        </w:rPr>
        <w:fldChar w:fldCharType="end"/>
      </w:r>
    </w:p>
    <w:p w14:paraId="2993A82C"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（二）“三公”经费财政拨款支出决算具体情况说明</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_Toc14190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18</w:t>
      </w:r>
      <w:r>
        <w:rPr>
          <w:rFonts w:ascii="仿宋" w:eastAsia="仿宋" w:hAnsi="仿宋" w:hint="eastAsia"/>
          <w:bCs/>
          <w:color w:val="000000"/>
          <w:szCs w:val="32"/>
        </w:rPr>
        <w:fldChar w:fldCharType="end"/>
      </w:r>
    </w:p>
    <w:p w14:paraId="20A765F8" w14:textId="77777777" w:rsidR="00D13164" w:rsidRDefault="00000000">
      <w:pPr>
        <w:pStyle w:val="TOC2"/>
        <w:tabs>
          <w:tab w:val="right" w:leader="dot" w:pos="8306"/>
        </w:tabs>
        <w:rPr>
          <w:rFonts w:ascii="黑体" w:eastAsia="黑体" w:hAnsi="黑体"/>
        </w:rPr>
      </w:pPr>
      <w:r>
        <w:rPr>
          <w:rFonts w:ascii="黑体" w:eastAsia="黑体" w:hAnsi="黑体" w:hint="eastAsia"/>
        </w:rPr>
        <w:t>九、 国有资本经营预算支出决算情况说明</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_Toc19569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20</w:t>
      </w:r>
      <w:r>
        <w:rPr>
          <w:rFonts w:ascii="黑体" w:eastAsia="黑体" w:hAnsi="黑体" w:hint="eastAsia"/>
        </w:rPr>
        <w:fldChar w:fldCharType="end"/>
      </w:r>
    </w:p>
    <w:p w14:paraId="50FFA798" w14:textId="77777777" w:rsidR="00D13164" w:rsidRDefault="00000000">
      <w:pPr>
        <w:pStyle w:val="TOC2"/>
        <w:tabs>
          <w:tab w:val="right" w:leader="dot" w:pos="8306"/>
        </w:tabs>
        <w:rPr>
          <w:rFonts w:ascii="黑体" w:eastAsia="黑体" w:hAnsi="黑体"/>
        </w:rPr>
      </w:pPr>
      <w:r>
        <w:rPr>
          <w:rFonts w:ascii="黑体" w:eastAsia="黑体" w:hAnsi="黑体" w:hint="eastAsia"/>
        </w:rPr>
        <w:t>十、其他重要事项的情况说明</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_Toc22743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20</w:t>
      </w:r>
      <w:r>
        <w:rPr>
          <w:rFonts w:ascii="黑体" w:eastAsia="黑体" w:hAnsi="黑体" w:hint="eastAsia"/>
        </w:rPr>
        <w:fldChar w:fldCharType="end"/>
      </w:r>
    </w:p>
    <w:p w14:paraId="7ACD5D83"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（一）机关运行经费支出情况</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_Toc7752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20</w:t>
      </w:r>
      <w:r>
        <w:rPr>
          <w:rFonts w:ascii="仿宋" w:eastAsia="仿宋" w:hAnsi="仿宋" w:hint="eastAsia"/>
          <w:bCs/>
          <w:color w:val="000000"/>
          <w:szCs w:val="32"/>
        </w:rPr>
        <w:fldChar w:fldCharType="end"/>
      </w:r>
    </w:p>
    <w:p w14:paraId="33896EFD"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（二）政府采购支出情况</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_Toc26423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20</w:t>
      </w:r>
      <w:r>
        <w:rPr>
          <w:rFonts w:ascii="仿宋" w:eastAsia="仿宋" w:hAnsi="仿宋" w:hint="eastAsia"/>
          <w:bCs/>
          <w:color w:val="000000"/>
          <w:szCs w:val="32"/>
        </w:rPr>
        <w:fldChar w:fldCharType="end"/>
      </w:r>
    </w:p>
    <w:p w14:paraId="3A73B840"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（三）国有资产占有使用情况</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_Toc29972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20</w:t>
      </w:r>
      <w:r>
        <w:rPr>
          <w:rFonts w:ascii="仿宋" w:eastAsia="仿宋" w:hAnsi="仿宋" w:hint="eastAsia"/>
          <w:bCs/>
          <w:color w:val="000000"/>
          <w:szCs w:val="32"/>
        </w:rPr>
        <w:fldChar w:fldCharType="end"/>
      </w:r>
    </w:p>
    <w:p w14:paraId="04704F03"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（四）预算绩效管理情况</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_Toc13360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20</w:t>
      </w:r>
      <w:r>
        <w:rPr>
          <w:rFonts w:ascii="仿宋" w:eastAsia="仿宋" w:hAnsi="仿宋" w:hint="eastAsia"/>
          <w:bCs/>
          <w:color w:val="000000"/>
          <w:szCs w:val="32"/>
        </w:rPr>
        <w:fldChar w:fldCharType="end"/>
      </w:r>
    </w:p>
    <w:p w14:paraId="6393DECF" w14:textId="77777777" w:rsidR="00D13164" w:rsidRDefault="00000000">
      <w:pPr>
        <w:pStyle w:val="TOC1"/>
        <w:tabs>
          <w:tab w:val="right" w:leader="dot" w:pos="8306"/>
        </w:tabs>
        <w:rPr>
          <w:rFonts w:ascii="黑体" w:eastAsia="黑体" w:hAnsi="黑体"/>
          <w:color w:val="000000"/>
        </w:rPr>
      </w:pPr>
      <w:r>
        <w:rPr>
          <w:rFonts w:ascii="黑体" w:eastAsia="黑体" w:hAnsi="黑体" w:hint="eastAsia"/>
          <w:color w:val="000000"/>
        </w:rPr>
        <w:t>第三部分 名词解释</w:t>
      </w:r>
      <w:r>
        <w:rPr>
          <w:rFonts w:ascii="黑体" w:eastAsia="黑体" w:hAnsi="黑体" w:hint="eastAsia"/>
          <w:color w:val="000000"/>
        </w:rPr>
        <w:tab/>
      </w:r>
      <w:r>
        <w:rPr>
          <w:rFonts w:ascii="黑体" w:eastAsia="黑体" w:hAnsi="黑体" w:hint="eastAsia"/>
          <w:color w:val="000000"/>
        </w:rPr>
        <w:fldChar w:fldCharType="begin"/>
      </w:r>
      <w:r>
        <w:rPr>
          <w:rFonts w:ascii="黑体" w:eastAsia="黑体" w:hAnsi="黑体" w:hint="eastAsia"/>
          <w:color w:val="000000"/>
        </w:rPr>
        <w:instrText xml:space="preserve"> PAGEREF _Toc5293 \h </w:instrText>
      </w:r>
      <w:r>
        <w:rPr>
          <w:rFonts w:ascii="黑体" w:eastAsia="黑体" w:hAnsi="黑体" w:hint="eastAsia"/>
          <w:color w:val="000000"/>
        </w:rPr>
      </w:r>
      <w:r>
        <w:rPr>
          <w:rFonts w:ascii="黑体" w:eastAsia="黑体" w:hAnsi="黑体" w:hint="eastAsia"/>
          <w:color w:val="000000"/>
        </w:rPr>
        <w:fldChar w:fldCharType="separate"/>
      </w:r>
      <w:r>
        <w:rPr>
          <w:rFonts w:ascii="黑体" w:eastAsia="黑体" w:hAnsi="黑体" w:hint="eastAsia"/>
          <w:color w:val="000000"/>
        </w:rPr>
        <w:t>22</w:t>
      </w:r>
      <w:r>
        <w:rPr>
          <w:rFonts w:ascii="黑体" w:eastAsia="黑体" w:hAnsi="黑体" w:hint="eastAsia"/>
          <w:color w:val="000000"/>
        </w:rPr>
        <w:fldChar w:fldCharType="end"/>
      </w:r>
    </w:p>
    <w:p w14:paraId="3AD7984C" w14:textId="77777777" w:rsidR="00D13164" w:rsidRDefault="00000000">
      <w:pPr>
        <w:pStyle w:val="TOC1"/>
        <w:tabs>
          <w:tab w:val="right" w:leader="dot" w:pos="8306"/>
        </w:tabs>
        <w:rPr>
          <w:rFonts w:ascii="黑体" w:eastAsia="黑体" w:hAnsi="黑体"/>
          <w:color w:val="000000"/>
        </w:rPr>
      </w:pPr>
      <w:r>
        <w:rPr>
          <w:rFonts w:ascii="黑体" w:eastAsia="黑体" w:hAnsi="黑体" w:hint="eastAsia"/>
          <w:color w:val="000000"/>
        </w:rPr>
        <w:t>第四部分 附件</w:t>
      </w:r>
      <w:r>
        <w:rPr>
          <w:rFonts w:ascii="黑体" w:eastAsia="黑体" w:hAnsi="黑体" w:hint="eastAsia"/>
          <w:color w:val="000000"/>
        </w:rPr>
        <w:tab/>
      </w:r>
      <w:r>
        <w:rPr>
          <w:rFonts w:ascii="黑体" w:eastAsia="黑体" w:hAnsi="黑体" w:hint="eastAsia"/>
          <w:color w:val="000000"/>
        </w:rPr>
        <w:fldChar w:fldCharType="begin"/>
      </w:r>
      <w:r>
        <w:rPr>
          <w:rFonts w:ascii="黑体" w:eastAsia="黑体" w:hAnsi="黑体" w:hint="eastAsia"/>
          <w:color w:val="000000"/>
        </w:rPr>
        <w:instrText xml:space="preserve"> PAGEREF _Toc20981 \h </w:instrText>
      </w:r>
      <w:r>
        <w:rPr>
          <w:rFonts w:ascii="黑体" w:eastAsia="黑体" w:hAnsi="黑体" w:hint="eastAsia"/>
          <w:color w:val="000000"/>
        </w:rPr>
      </w:r>
      <w:r>
        <w:rPr>
          <w:rFonts w:ascii="黑体" w:eastAsia="黑体" w:hAnsi="黑体" w:hint="eastAsia"/>
          <w:color w:val="000000"/>
        </w:rPr>
        <w:fldChar w:fldCharType="separate"/>
      </w:r>
      <w:r>
        <w:rPr>
          <w:rFonts w:ascii="黑体" w:eastAsia="黑体" w:hAnsi="黑体" w:hint="eastAsia"/>
          <w:color w:val="000000"/>
        </w:rPr>
        <w:t>25</w:t>
      </w:r>
      <w:r>
        <w:rPr>
          <w:rFonts w:ascii="黑体" w:eastAsia="黑体" w:hAnsi="黑体" w:hint="eastAsia"/>
          <w:color w:val="000000"/>
        </w:rPr>
        <w:fldChar w:fldCharType="end"/>
      </w:r>
    </w:p>
    <w:p w14:paraId="7BFA6111" w14:textId="77777777" w:rsidR="00D13164" w:rsidRDefault="00000000">
      <w:pPr>
        <w:pStyle w:val="TOC2"/>
        <w:tabs>
          <w:tab w:val="right" w:leader="dot" w:pos="8306"/>
        </w:tabs>
        <w:rPr>
          <w:rFonts w:ascii="黑体" w:eastAsia="黑体" w:hAnsi="黑体"/>
        </w:rPr>
      </w:pPr>
      <w:r>
        <w:rPr>
          <w:rFonts w:ascii="黑体" w:eastAsia="黑体" w:hAnsi="黑体" w:hint="eastAsia"/>
        </w:rPr>
        <w:t>附件1</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_Toc5456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25</w:t>
      </w:r>
      <w:r>
        <w:rPr>
          <w:rFonts w:ascii="黑体" w:eastAsia="黑体" w:hAnsi="黑体" w:hint="eastAsia"/>
        </w:rPr>
        <w:fldChar w:fldCharType="end"/>
      </w:r>
    </w:p>
    <w:p w14:paraId="4F6AB1A0" w14:textId="77777777" w:rsidR="00D13164" w:rsidRDefault="00000000">
      <w:pPr>
        <w:pStyle w:val="TOC2"/>
        <w:tabs>
          <w:tab w:val="right" w:leader="dot" w:pos="8306"/>
        </w:tabs>
        <w:rPr>
          <w:rFonts w:ascii="黑体" w:eastAsia="黑体" w:hAnsi="黑体"/>
        </w:rPr>
      </w:pPr>
      <w:r>
        <w:rPr>
          <w:rFonts w:ascii="黑体" w:eastAsia="黑体" w:hAnsi="黑体" w:hint="eastAsia"/>
        </w:rPr>
        <w:t>松潘县人民政府办公室</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_Toc21336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25</w:t>
      </w:r>
      <w:r>
        <w:rPr>
          <w:rFonts w:ascii="黑体" w:eastAsia="黑体" w:hAnsi="黑体" w:hint="eastAsia"/>
        </w:rPr>
        <w:fldChar w:fldCharType="end"/>
      </w:r>
    </w:p>
    <w:p w14:paraId="4B2D290E" w14:textId="77777777" w:rsidR="00D13164" w:rsidRDefault="00000000">
      <w:pPr>
        <w:pStyle w:val="TOC2"/>
        <w:tabs>
          <w:tab w:val="right" w:leader="dot" w:pos="8306"/>
        </w:tabs>
        <w:rPr>
          <w:rFonts w:ascii="黑体" w:eastAsia="黑体" w:hAnsi="黑体"/>
        </w:rPr>
      </w:pPr>
      <w:r>
        <w:rPr>
          <w:rFonts w:ascii="黑体" w:eastAsia="黑体" w:hAnsi="黑体" w:hint="eastAsia"/>
        </w:rPr>
        <w:t>2021年部门整体支出绩效评价报告</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_Toc21481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25</w:t>
      </w:r>
      <w:r>
        <w:rPr>
          <w:rFonts w:ascii="黑体" w:eastAsia="黑体" w:hAnsi="黑体" w:hint="eastAsia"/>
        </w:rPr>
        <w:fldChar w:fldCharType="end"/>
      </w:r>
    </w:p>
    <w:p w14:paraId="1E8CE770" w14:textId="77777777" w:rsidR="00D13164" w:rsidRDefault="00000000">
      <w:pPr>
        <w:pStyle w:val="TOC2"/>
        <w:tabs>
          <w:tab w:val="right" w:leader="dot" w:pos="8306"/>
        </w:tabs>
        <w:rPr>
          <w:rFonts w:ascii="黑体" w:eastAsia="黑体" w:hAnsi="黑体"/>
        </w:rPr>
      </w:pPr>
      <w:r>
        <w:rPr>
          <w:rFonts w:ascii="黑体" w:eastAsia="黑体" w:hAnsi="黑体" w:hint="eastAsia"/>
        </w:rPr>
        <w:t>附件2</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_Toc26989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34</w:t>
      </w:r>
      <w:r>
        <w:rPr>
          <w:rFonts w:ascii="黑体" w:eastAsia="黑体" w:hAnsi="黑体" w:hint="eastAsia"/>
        </w:rPr>
        <w:fldChar w:fldCharType="end"/>
      </w:r>
    </w:p>
    <w:p w14:paraId="1E977600" w14:textId="77777777" w:rsidR="00D13164" w:rsidRDefault="00000000">
      <w:pPr>
        <w:pStyle w:val="TOC2"/>
        <w:tabs>
          <w:tab w:val="right" w:leader="dot" w:pos="8306"/>
        </w:tabs>
        <w:rPr>
          <w:rFonts w:ascii="黑体" w:eastAsia="黑体" w:hAnsi="黑体"/>
        </w:rPr>
      </w:pPr>
      <w:r>
        <w:rPr>
          <w:rFonts w:ascii="黑体" w:eastAsia="黑体" w:hAnsi="黑体" w:hint="eastAsia"/>
        </w:rPr>
        <w:lastRenderedPageBreak/>
        <w:t>政务中心职工食堂运营维护费项目</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_Toc19882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34</w:t>
      </w:r>
      <w:r>
        <w:rPr>
          <w:rFonts w:ascii="黑体" w:eastAsia="黑体" w:hAnsi="黑体" w:hint="eastAsia"/>
        </w:rPr>
        <w:fldChar w:fldCharType="end"/>
      </w:r>
    </w:p>
    <w:p w14:paraId="3396AE53" w14:textId="77777777" w:rsidR="00D13164" w:rsidRDefault="00000000">
      <w:pPr>
        <w:pStyle w:val="TOC2"/>
        <w:tabs>
          <w:tab w:val="right" w:leader="dot" w:pos="8306"/>
        </w:tabs>
        <w:rPr>
          <w:rFonts w:ascii="黑体" w:eastAsia="黑体" w:hAnsi="黑体"/>
        </w:rPr>
      </w:pPr>
      <w:r>
        <w:rPr>
          <w:rFonts w:ascii="黑体" w:eastAsia="黑体" w:hAnsi="黑体" w:hint="eastAsia"/>
        </w:rPr>
        <w:t>2021年绩效评价报告</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_Toc13130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34</w:t>
      </w:r>
      <w:r>
        <w:rPr>
          <w:rFonts w:ascii="黑体" w:eastAsia="黑体" w:hAnsi="黑体" w:hint="eastAsia"/>
        </w:rPr>
        <w:fldChar w:fldCharType="end"/>
      </w:r>
    </w:p>
    <w:p w14:paraId="36AA7534" w14:textId="77777777" w:rsidR="00D13164" w:rsidRDefault="00000000">
      <w:pPr>
        <w:pStyle w:val="TOC2"/>
        <w:tabs>
          <w:tab w:val="right" w:leader="dot" w:pos="8306"/>
        </w:tabs>
        <w:rPr>
          <w:rFonts w:ascii="黑体" w:eastAsia="黑体" w:hAnsi="黑体"/>
        </w:rPr>
      </w:pPr>
      <w:r>
        <w:rPr>
          <w:rFonts w:ascii="黑体" w:eastAsia="黑体" w:hAnsi="黑体" w:hint="eastAsia"/>
        </w:rPr>
        <w:t>附件2</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_Toc2389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39</w:t>
      </w:r>
      <w:r>
        <w:rPr>
          <w:rFonts w:ascii="黑体" w:eastAsia="黑体" w:hAnsi="黑体" w:hint="eastAsia"/>
        </w:rPr>
        <w:fldChar w:fldCharType="end"/>
      </w:r>
    </w:p>
    <w:p w14:paraId="445F1791" w14:textId="77777777" w:rsidR="00D13164" w:rsidRDefault="00000000">
      <w:pPr>
        <w:pStyle w:val="TOC2"/>
        <w:tabs>
          <w:tab w:val="right" w:leader="dot" w:pos="8306"/>
        </w:tabs>
        <w:rPr>
          <w:rFonts w:ascii="黑体" w:eastAsia="黑体" w:hAnsi="黑体"/>
        </w:rPr>
      </w:pPr>
      <w:r>
        <w:rPr>
          <w:rFonts w:ascii="黑体" w:eastAsia="黑体" w:hAnsi="黑体" w:hint="eastAsia"/>
        </w:rPr>
        <w:t>维护费项目2021年绩效评价报告</w:t>
      </w:r>
      <w:r>
        <w:rPr>
          <w:rFonts w:ascii="黑体" w:eastAsia="黑体" w:hAnsi="黑体" w:hint="eastAsia"/>
        </w:rPr>
        <w:tab/>
      </w:r>
      <w:r>
        <w:rPr>
          <w:rFonts w:ascii="黑体" w:eastAsia="黑体" w:hAnsi="黑体" w:hint="eastAsia"/>
        </w:rPr>
        <w:fldChar w:fldCharType="begin"/>
      </w:r>
      <w:r>
        <w:rPr>
          <w:rFonts w:ascii="黑体" w:eastAsia="黑体" w:hAnsi="黑体" w:hint="eastAsia"/>
        </w:rPr>
        <w:instrText xml:space="preserve"> PAGEREF _Toc30881 \h </w:instrText>
      </w:r>
      <w:r>
        <w:rPr>
          <w:rFonts w:ascii="黑体" w:eastAsia="黑体" w:hAnsi="黑体" w:hint="eastAsia"/>
        </w:rPr>
      </w:r>
      <w:r>
        <w:rPr>
          <w:rFonts w:ascii="黑体" w:eastAsia="黑体" w:hAnsi="黑体" w:hint="eastAsia"/>
        </w:rPr>
        <w:fldChar w:fldCharType="separate"/>
      </w:r>
      <w:r>
        <w:rPr>
          <w:rFonts w:ascii="黑体" w:eastAsia="黑体" w:hAnsi="黑体" w:hint="eastAsia"/>
        </w:rPr>
        <w:t>39</w:t>
      </w:r>
      <w:r>
        <w:rPr>
          <w:rFonts w:ascii="黑体" w:eastAsia="黑体" w:hAnsi="黑体" w:hint="eastAsia"/>
        </w:rPr>
        <w:fldChar w:fldCharType="end"/>
      </w:r>
    </w:p>
    <w:p w14:paraId="0F18010D" w14:textId="77777777" w:rsidR="00D13164" w:rsidRDefault="00000000">
      <w:pPr>
        <w:pStyle w:val="TOC1"/>
        <w:tabs>
          <w:tab w:val="right" w:leader="dot" w:pos="8306"/>
        </w:tabs>
      </w:pPr>
      <w:r>
        <w:rPr>
          <w:rFonts w:ascii="黑体" w:eastAsia="黑体" w:hAnsi="黑体" w:hint="eastAsia"/>
          <w:color w:val="000000"/>
          <w:szCs w:val="44"/>
        </w:rPr>
        <w:t>第</w:t>
      </w:r>
      <w:r>
        <w:rPr>
          <w:rFonts w:ascii="黑体" w:eastAsia="黑体" w:hAnsi="黑体" w:hint="eastAsia"/>
        </w:rPr>
        <w:t>五部分</w:t>
      </w:r>
      <w:r>
        <w:rPr>
          <w:rFonts w:ascii="黑体" w:eastAsia="黑体" w:hAnsi="黑体"/>
        </w:rPr>
        <w:t xml:space="preserve"> </w:t>
      </w:r>
      <w:r>
        <w:rPr>
          <w:rFonts w:ascii="黑体" w:eastAsia="黑体" w:hAnsi="黑体" w:hint="eastAsia"/>
        </w:rPr>
        <w:t>附表</w:t>
      </w:r>
      <w:r>
        <w:tab/>
      </w:r>
      <w:r>
        <w:fldChar w:fldCharType="begin"/>
      </w:r>
      <w:r>
        <w:instrText xml:space="preserve"> PAGEREF _Toc999 \h </w:instrText>
      </w:r>
      <w:r>
        <w:fldChar w:fldCharType="separate"/>
      </w:r>
      <w:r>
        <w:t>43</w:t>
      </w:r>
      <w:r>
        <w:fldChar w:fldCharType="end"/>
      </w:r>
    </w:p>
    <w:p w14:paraId="26ED0E5D"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一、收入支出决算总表</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_Toc3654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43</w:t>
      </w:r>
      <w:r>
        <w:rPr>
          <w:rFonts w:ascii="仿宋" w:eastAsia="仿宋" w:hAnsi="仿宋" w:hint="eastAsia"/>
          <w:bCs/>
          <w:color w:val="000000"/>
          <w:szCs w:val="32"/>
        </w:rPr>
        <w:fldChar w:fldCharType="end"/>
      </w:r>
    </w:p>
    <w:p w14:paraId="6F4CD9ED"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二、收入决算表</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_Toc900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43</w:t>
      </w:r>
      <w:r>
        <w:rPr>
          <w:rFonts w:ascii="仿宋" w:eastAsia="仿宋" w:hAnsi="仿宋" w:hint="eastAsia"/>
          <w:bCs/>
          <w:color w:val="000000"/>
          <w:szCs w:val="32"/>
        </w:rPr>
        <w:fldChar w:fldCharType="end"/>
      </w:r>
    </w:p>
    <w:p w14:paraId="7251589F"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三、支出决算表</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_Toc23529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43</w:t>
      </w:r>
      <w:r>
        <w:rPr>
          <w:rFonts w:ascii="仿宋" w:eastAsia="仿宋" w:hAnsi="仿宋" w:hint="eastAsia"/>
          <w:bCs/>
          <w:color w:val="000000"/>
          <w:szCs w:val="32"/>
        </w:rPr>
        <w:fldChar w:fldCharType="end"/>
      </w:r>
    </w:p>
    <w:p w14:paraId="35C1D1F6"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四、财政拨款收入支出决算总表</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_Toc2769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43</w:t>
      </w:r>
      <w:r>
        <w:rPr>
          <w:rFonts w:ascii="仿宋" w:eastAsia="仿宋" w:hAnsi="仿宋" w:hint="eastAsia"/>
          <w:bCs/>
          <w:color w:val="000000"/>
          <w:szCs w:val="32"/>
        </w:rPr>
        <w:fldChar w:fldCharType="end"/>
      </w:r>
    </w:p>
    <w:p w14:paraId="67A08A21"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五、财政拨款支出决算明细表</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_Toc29826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43</w:t>
      </w:r>
      <w:r>
        <w:rPr>
          <w:rFonts w:ascii="仿宋" w:eastAsia="仿宋" w:hAnsi="仿宋" w:hint="eastAsia"/>
          <w:bCs/>
          <w:color w:val="000000"/>
          <w:szCs w:val="32"/>
        </w:rPr>
        <w:fldChar w:fldCharType="end"/>
      </w:r>
    </w:p>
    <w:p w14:paraId="14E003EF"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六、一般公共预算财政拨款支出决算表</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_Toc14373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43</w:t>
      </w:r>
      <w:r>
        <w:rPr>
          <w:rFonts w:ascii="仿宋" w:eastAsia="仿宋" w:hAnsi="仿宋" w:hint="eastAsia"/>
          <w:bCs/>
          <w:color w:val="000000"/>
          <w:szCs w:val="32"/>
        </w:rPr>
        <w:fldChar w:fldCharType="end"/>
      </w:r>
    </w:p>
    <w:p w14:paraId="7103A989"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七、一般公共预算财政拨款支出决算明细表</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_Toc32581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43</w:t>
      </w:r>
      <w:r>
        <w:rPr>
          <w:rFonts w:ascii="仿宋" w:eastAsia="仿宋" w:hAnsi="仿宋" w:hint="eastAsia"/>
          <w:bCs/>
          <w:color w:val="000000"/>
          <w:szCs w:val="32"/>
        </w:rPr>
        <w:fldChar w:fldCharType="end"/>
      </w:r>
    </w:p>
    <w:p w14:paraId="348BD213"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八、一般公共预算财政拨款基本支出决算表</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_Toc30519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43</w:t>
      </w:r>
      <w:r>
        <w:rPr>
          <w:rFonts w:ascii="仿宋" w:eastAsia="仿宋" w:hAnsi="仿宋" w:hint="eastAsia"/>
          <w:bCs/>
          <w:color w:val="000000"/>
          <w:szCs w:val="32"/>
        </w:rPr>
        <w:fldChar w:fldCharType="end"/>
      </w:r>
    </w:p>
    <w:p w14:paraId="7306EC8E"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九、一般公共预算财政拨款项目支出决算表</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_Toc23837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43</w:t>
      </w:r>
      <w:r>
        <w:rPr>
          <w:rFonts w:ascii="仿宋" w:eastAsia="仿宋" w:hAnsi="仿宋" w:hint="eastAsia"/>
          <w:bCs/>
          <w:color w:val="000000"/>
          <w:szCs w:val="32"/>
        </w:rPr>
        <w:fldChar w:fldCharType="end"/>
      </w:r>
    </w:p>
    <w:p w14:paraId="6BADF2A1"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十、一般公共预算财政拨款“三公”经费支出决算表</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_Toc24875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43</w:t>
      </w:r>
      <w:r>
        <w:rPr>
          <w:rFonts w:ascii="仿宋" w:eastAsia="仿宋" w:hAnsi="仿宋" w:hint="eastAsia"/>
          <w:bCs/>
          <w:color w:val="000000"/>
          <w:szCs w:val="32"/>
        </w:rPr>
        <w:fldChar w:fldCharType="end"/>
      </w:r>
    </w:p>
    <w:p w14:paraId="0B41EBD3"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十一、政府性基金预算财政拨款收入支出决算表</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_Toc5874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43</w:t>
      </w:r>
      <w:r>
        <w:rPr>
          <w:rFonts w:ascii="仿宋" w:eastAsia="仿宋" w:hAnsi="仿宋" w:hint="eastAsia"/>
          <w:bCs/>
          <w:color w:val="000000"/>
          <w:szCs w:val="32"/>
        </w:rPr>
        <w:fldChar w:fldCharType="end"/>
      </w:r>
    </w:p>
    <w:p w14:paraId="7B00AF54"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十二、政府性基金预算财政拨款“三公”经费支出决算表</w:t>
      </w:r>
      <w:r>
        <w:rPr>
          <w:rFonts w:ascii="仿宋" w:eastAsia="仿宋" w:hAnsi="仿宋" w:hint="eastAsia"/>
          <w:bCs/>
          <w:color w:val="000000"/>
          <w:szCs w:val="32"/>
        </w:rPr>
        <w:tab/>
      </w:r>
      <w:r>
        <w:rPr>
          <w:rFonts w:ascii="仿宋" w:eastAsia="仿宋" w:hAnsi="仿宋" w:hint="eastAsia"/>
          <w:bCs/>
          <w:color w:val="000000"/>
          <w:szCs w:val="32"/>
        </w:rPr>
        <w:fldChar w:fldCharType="begin"/>
      </w:r>
      <w:r>
        <w:rPr>
          <w:rFonts w:ascii="仿宋" w:eastAsia="仿宋" w:hAnsi="仿宋" w:hint="eastAsia"/>
          <w:bCs/>
          <w:color w:val="000000"/>
          <w:szCs w:val="32"/>
        </w:rPr>
        <w:instrText xml:space="preserve"> PAGEREF _Toc17974 \h </w:instrText>
      </w:r>
      <w:r>
        <w:rPr>
          <w:rFonts w:ascii="仿宋" w:eastAsia="仿宋" w:hAnsi="仿宋" w:hint="eastAsia"/>
          <w:bCs/>
          <w:color w:val="000000"/>
          <w:szCs w:val="32"/>
        </w:rPr>
      </w:r>
      <w:r>
        <w:rPr>
          <w:rFonts w:ascii="仿宋" w:eastAsia="仿宋" w:hAnsi="仿宋" w:hint="eastAsia"/>
          <w:bCs/>
          <w:color w:val="000000"/>
          <w:szCs w:val="32"/>
        </w:rPr>
        <w:fldChar w:fldCharType="separate"/>
      </w:r>
      <w:r>
        <w:rPr>
          <w:rFonts w:ascii="仿宋" w:eastAsia="仿宋" w:hAnsi="仿宋" w:hint="eastAsia"/>
          <w:bCs/>
          <w:color w:val="000000"/>
          <w:szCs w:val="32"/>
        </w:rPr>
        <w:t>43</w:t>
      </w:r>
      <w:r>
        <w:rPr>
          <w:rFonts w:ascii="仿宋" w:eastAsia="仿宋" w:hAnsi="仿宋" w:hint="eastAsia"/>
          <w:bCs/>
          <w:color w:val="000000"/>
          <w:szCs w:val="32"/>
        </w:rPr>
        <w:fldChar w:fldCharType="end"/>
      </w:r>
    </w:p>
    <w:p w14:paraId="645313C3"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十三、国有资本经营预算财政拨款收入支出决算表</w:t>
      </w:r>
      <w:r>
        <w:rPr>
          <w:rFonts w:ascii="仿宋" w:eastAsia="仿宋" w:hAnsi="仿宋" w:hint="eastAsia"/>
          <w:bCs/>
          <w:color w:val="000000"/>
          <w:szCs w:val="32"/>
        </w:rPr>
        <w:tab/>
        <w:t>43</w:t>
      </w:r>
    </w:p>
    <w:p w14:paraId="622A0F8E" w14:textId="77777777" w:rsidR="00D13164" w:rsidRDefault="00000000">
      <w:pPr>
        <w:pStyle w:val="TOC2"/>
        <w:tabs>
          <w:tab w:val="right" w:leader="dot" w:pos="8306"/>
        </w:tabs>
        <w:rPr>
          <w:rFonts w:ascii="仿宋" w:eastAsia="仿宋" w:hAnsi="仿宋"/>
          <w:bCs/>
          <w:color w:val="000000"/>
          <w:szCs w:val="32"/>
        </w:rPr>
      </w:pPr>
      <w:r>
        <w:rPr>
          <w:rFonts w:ascii="仿宋" w:eastAsia="仿宋" w:hAnsi="仿宋" w:hint="eastAsia"/>
          <w:bCs/>
          <w:color w:val="000000"/>
          <w:szCs w:val="32"/>
        </w:rPr>
        <w:t>十四、国有资本经营预算财政拨款支出决算表</w:t>
      </w:r>
      <w:r>
        <w:rPr>
          <w:rFonts w:ascii="仿宋" w:eastAsia="仿宋" w:hAnsi="仿宋" w:hint="eastAsia"/>
          <w:bCs/>
          <w:color w:val="000000"/>
          <w:szCs w:val="32"/>
        </w:rPr>
        <w:tab/>
        <w:t>43</w:t>
      </w:r>
    </w:p>
    <w:p w14:paraId="02A3B420" w14:textId="77777777" w:rsidR="00D13164" w:rsidRDefault="00D13164">
      <w:pPr>
        <w:pStyle w:val="TOC2"/>
        <w:tabs>
          <w:tab w:val="right" w:leader="dot" w:pos="8306"/>
        </w:tabs>
        <w:rPr>
          <w:rFonts w:ascii="仿宋" w:eastAsia="仿宋" w:hAnsi="仿宋"/>
          <w:bCs/>
          <w:color w:val="000000"/>
          <w:szCs w:val="32"/>
        </w:rPr>
      </w:pPr>
    </w:p>
    <w:p w14:paraId="5D41D490" w14:textId="77777777" w:rsidR="00D13164" w:rsidRDefault="00000000">
      <w:r>
        <w:rPr>
          <w:rFonts w:asciiTheme="minorHAnsi" w:eastAsiaTheme="minorHAnsi"/>
          <w:bCs/>
          <w:caps/>
          <w:szCs w:val="20"/>
        </w:rPr>
        <w:fldChar w:fldCharType="end"/>
      </w:r>
    </w:p>
    <w:p w14:paraId="41848735" w14:textId="77777777" w:rsidR="00D13164" w:rsidRDefault="00000000">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14:paraId="1443E681" w14:textId="77777777" w:rsidR="00D13164" w:rsidRDefault="00000000">
      <w:pPr>
        <w:pStyle w:val="1"/>
        <w:jc w:val="center"/>
        <w:rPr>
          <w:rFonts w:ascii="黑体" w:eastAsia="黑体"/>
          <w:color w:val="000000"/>
          <w:sz w:val="32"/>
          <w:szCs w:val="32"/>
        </w:rPr>
      </w:pPr>
      <w:bookmarkStart w:id="14" w:name="_Toc79163601"/>
      <w:bookmarkStart w:id="15" w:name="_Toc29215"/>
      <w:r>
        <w:rPr>
          <w:rFonts w:ascii="黑体" w:eastAsia="黑体" w:hAnsi="黑体" w:hint="eastAsia"/>
          <w:b w:val="0"/>
        </w:rPr>
        <w:lastRenderedPageBreak/>
        <w:t>第一部分</w:t>
      </w:r>
      <w:r>
        <w:rPr>
          <w:rFonts w:ascii="黑体" w:eastAsia="黑体" w:hAnsi="黑体"/>
          <w:b w:val="0"/>
        </w:rPr>
        <w:t xml:space="preserve"> </w:t>
      </w:r>
      <w:r>
        <w:rPr>
          <w:rStyle w:val="10"/>
          <w:rFonts w:ascii="黑体" w:eastAsia="黑体" w:hAnsi="黑体" w:hint="eastAsia"/>
        </w:rPr>
        <w:t>部门概况</w:t>
      </w:r>
      <w:bookmarkEnd w:id="12"/>
      <w:bookmarkEnd w:id="13"/>
      <w:bookmarkEnd w:id="14"/>
      <w:bookmarkEnd w:id="15"/>
    </w:p>
    <w:p w14:paraId="0BEEAC12" w14:textId="77777777" w:rsidR="00D13164" w:rsidRDefault="00000000">
      <w:pPr>
        <w:pStyle w:val="2"/>
        <w:numPr>
          <w:ilvl w:val="0"/>
          <w:numId w:val="1"/>
        </w:numPr>
        <w:ind w:firstLineChars="200" w:firstLine="640"/>
        <w:rPr>
          <w:rStyle w:val="20"/>
          <w:rFonts w:ascii="黑体" w:eastAsia="黑体" w:hAnsi="黑体"/>
        </w:rPr>
      </w:pPr>
      <w:bookmarkStart w:id="16" w:name="_Toc28063"/>
      <w:bookmarkStart w:id="17" w:name="_Toc79163602"/>
      <w:bookmarkStart w:id="18" w:name="_Toc15377197"/>
      <w:bookmarkStart w:id="19" w:name="_Toc15396600"/>
      <w:r>
        <w:rPr>
          <w:rFonts w:ascii="黑体" w:eastAsia="黑体" w:hAnsi="黑体" w:hint="eastAsia"/>
          <w:b w:val="0"/>
          <w:color w:val="000000"/>
        </w:rPr>
        <w:t>基</w:t>
      </w:r>
      <w:r>
        <w:rPr>
          <w:rStyle w:val="20"/>
          <w:rFonts w:ascii="黑体" w:eastAsia="黑体" w:hAnsi="黑体" w:hint="eastAsia"/>
        </w:rPr>
        <w:t>本职能及主要工作</w:t>
      </w:r>
      <w:bookmarkStart w:id="20" w:name="_Toc79163603"/>
      <w:bookmarkStart w:id="21" w:name="_Toc15377198"/>
      <w:bookmarkStart w:id="22" w:name="_Toc15378445"/>
      <w:bookmarkEnd w:id="16"/>
      <w:bookmarkEnd w:id="17"/>
      <w:bookmarkEnd w:id="18"/>
      <w:bookmarkEnd w:id="19"/>
    </w:p>
    <w:p w14:paraId="5E4BF3C5" w14:textId="77777777" w:rsidR="00D13164" w:rsidRDefault="00000000">
      <w:pPr>
        <w:pStyle w:val="2"/>
        <w:ind w:firstLineChars="200" w:firstLine="643"/>
        <w:rPr>
          <w:rFonts w:ascii="仿宋" w:eastAsia="仿宋" w:hAnsi="仿宋"/>
          <w:color w:val="000000"/>
        </w:rPr>
      </w:pPr>
      <w:bookmarkStart w:id="23" w:name="_Toc1109"/>
      <w:r>
        <w:rPr>
          <w:rFonts w:ascii="仿宋" w:eastAsia="仿宋" w:hAnsi="仿宋" w:hint="eastAsia"/>
          <w:color w:val="000000"/>
        </w:rPr>
        <w:t>（一）主要职能</w:t>
      </w:r>
      <w:bookmarkEnd w:id="20"/>
      <w:bookmarkEnd w:id="23"/>
    </w:p>
    <w:p w14:paraId="22D3C67A" w14:textId="77777777" w:rsidR="00D13164" w:rsidRDefault="00000000">
      <w:pPr>
        <w:pStyle w:val="12"/>
        <w:widowControl/>
        <w:shd w:val="clear" w:color="070000" w:fill="FFFFFF"/>
        <w:spacing w:beforeAutospacing="0" w:afterAutospacing="0" w:line="450" w:lineRule="exact"/>
        <w:ind w:firstLineChars="175" w:firstLine="490"/>
        <w:jc w:val="both"/>
        <w:rPr>
          <w:rFonts w:ascii="仿宋_GB2312" w:eastAsia="仿宋_GB2312" w:cs="仿宋_GB2312"/>
          <w:sz w:val="28"/>
          <w:szCs w:val="28"/>
        </w:rPr>
      </w:pPr>
      <w:r>
        <w:rPr>
          <w:rFonts w:ascii="仿宋_GB2312" w:eastAsia="仿宋_GB2312" w:cs="仿宋_GB2312" w:hint="eastAsia"/>
          <w:sz w:val="28"/>
          <w:szCs w:val="28"/>
        </w:rPr>
        <w:t>1.协助县政府领导同志组织起草或审核以县政府、县政府办公室各名义发布的公文，办理州政府、州政府办公室及各委局发送县政府的文电，指导全县行政机关公文处理工作。</w:t>
      </w:r>
    </w:p>
    <w:p w14:paraId="3171FE1A" w14:textId="77777777" w:rsidR="00D13164" w:rsidRDefault="00000000">
      <w:pPr>
        <w:pStyle w:val="12"/>
        <w:widowControl/>
        <w:shd w:val="clear" w:color="070000" w:fill="FFFFFF"/>
        <w:spacing w:beforeAutospacing="0" w:afterAutospacing="0" w:line="450" w:lineRule="exact"/>
        <w:ind w:firstLineChars="175" w:firstLine="490"/>
        <w:jc w:val="both"/>
        <w:rPr>
          <w:rFonts w:ascii="仿宋_GB2312" w:eastAsia="仿宋_GB2312" w:cs="仿宋_GB2312"/>
          <w:sz w:val="28"/>
          <w:szCs w:val="28"/>
        </w:rPr>
      </w:pPr>
      <w:r>
        <w:rPr>
          <w:rFonts w:ascii="仿宋_GB2312" w:eastAsia="仿宋_GB2312" w:cs="仿宋_GB2312" w:hint="eastAsia"/>
          <w:sz w:val="28"/>
          <w:szCs w:val="28"/>
        </w:rPr>
        <w:t>2.研究县政府部门和各乡镇人民政府请示县政府的事项，提出审核意见，报县政府领导同志审批。</w:t>
      </w:r>
    </w:p>
    <w:p w14:paraId="7D2E05BB" w14:textId="77777777" w:rsidR="00D13164" w:rsidRDefault="00000000">
      <w:pPr>
        <w:pStyle w:val="12"/>
        <w:widowControl/>
        <w:shd w:val="clear" w:color="070000" w:fill="FFFFFF"/>
        <w:spacing w:beforeAutospacing="0" w:afterAutospacing="0" w:line="450" w:lineRule="exact"/>
        <w:ind w:firstLineChars="175" w:firstLine="490"/>
        <w:jc w:val="both"/>
        <w:rPr>
          <w:rFonts w:ascii="仿宋_GB2312" w:eastAsia="仿宋_GB2312" w:cs="仿宋_GB2312"/>
          <w:sz w:val="28"/>
          <w:szCs w:val="28"/>
        </w:rPr>
      </w:pPr>
      <w:r>
        <w:rPr>
          <w:rFonts w:ascii="仿宋_GB2312" w:eastAsia="仿宋_GB2312" w:cs="仿宋_GB2312" w:hint="eastAsia"/>
          <w:sz w:val="28"/>
          <w:szCs w:val="28"/>
        </w:rPr>
        <w:t>3负责县政府会议的准备工作，协助县政府领导同志组织实施会议决定事项。</w:t>
      </w:r>
    </w:p>
    <w:p w14:paraId="699ED26A" w14:textId="77777777" w:rsidR="00D13164" w:rsidRDefault="00000000">
      <w:pPr>
        <w:pStyle w:val="12"/>
        <w:widowControl/>
        <w:numPr>
          <w:ilvl w:val="0"/>
          <w:numId w:val="2"/>
        </w:numPr>
        <w:shd w:val="clear" w:color="080000" w:fill="FFFFFF"/>
        <w:spacing w:beforeAutospacing="0" w:afterAutospacing="0" w:line="450" w:lineRule="exact"/>
        <w:ind w:firstLineChars="175" w:firstLine="490"/>
        <w:jc w:val="both"/>
        <w:rPr>
          <w:rFonts w:ascii="仿宋_GB2312" w:eastAsia="仿宋_GB2312" w:cs="仿宋_GB2312"/>
          <w:sz w:val="28"/>
          <w:szCs w:val="28"/>
        </w:rPr>
      </w:pPr>
      <w:r>
        <w:rPr>
          <w:rFonts w:ascii="仿宋_GB2312" w:eastAsia="仿宋_GB2312" w:cs="仿宋_GB2312" w:hint="eastAsia"/>
          <w:sz w:val="28"/>
          <w:szCs w:val="28"/>
        </w:rPr>
        <w:t>根据县政府领导同志的指示，对政府部门间争议问题提出处理意见和建议，报县政府领导同志决定。</w:t>
      </w:r>
    </w:p>
    <w:p w14:paraId="0CFB138A" w14:textId="77777777" w:rsidR="00D13164" w:rsidRDefault="00000000">
      <w:pPr>
        <w:pStyle w:val="12"/>
        <w:widowControl/>
        <w:numPr>
          <w:ilvl w:val="0"/>
          <w:numId w:val="2"/>
        </w:numPr>
        <w:shd w:val="clear" w:color="080000" w:fill="FFFFFF"/>
        <w:spacing w:beforeAutospacing="0" w:afterAutospacing="0" w:line="450" w:lineRule="exact"/>
        <w:ind w:firstLineChars="175" w:firstLine="490"/>
        <w:jc w:val="both"/>
        <w:rPr>
          <w:rFonts w:ascii="仿宋_GB2312" w:eastAsia="仿宋_GB2312" w:cs="仿宋_GB2312"/>
          <w:sz w:val="28"/>
          <w:szCs w:val="28"/>
        </w:rPr>
      </w:pPr>
      <w:r>
        <w:rPr>
          <w:rFonts w:ascii="仿宋_GB2312" w:eastAsia="仿宋_GB2312" w:cs="仿宋_GB2312" w:hint="eastAsia"/>
          <w:sz w:val="28"/>
          <w:szCs w:val="28"/>
        </w:rPr>
        <w:t>督促检查县政府各部门和各乡镇人民政府对县政府决定事项及县政府领导同志指示的贯彻落实情况，及时向县政府领导同志报告。</w:t>
      </w:r>
    </w:p>
    <w:p w14:paraId="17293F3F" w14:textId="77777777" w:rsidR="00D13164" w:rsidRDefault="00000000">
      <w:pPr>
        <w:pStyle w:val="12"/>
        <w:widowControl/>
        <w:numPr>
          <w:ilvl w:val="0"/>
          <w:numId w:val="2"/>
        </w:numPr>
        <w:shd w:val="clear" w:color="080000" w:fill="FFFFFF"/>
        <w:spacing w:beforeAutospacing="0" w:afterAutospacing="0" w:line="450" w:lineRule="exact"/>
        <w:ind w:firstLineChars="175" w:firstLine="490"/>
        <w:jc w:val="both"/>
        <w:rPr>
          <w:rFonts w:ascii="仿宋_GB2312" w:eastAsia="仿宋_GB2312" w:cs="仿宋_GB2312"/>
          <w:sz w:val="28"/>
          <w:szCs w:val="28"/>
        </w:rPr>
      </w:pPr>
      <w:r>
        <w:rPr>
          <w:rFonts w:ascii="仿宋_GB2312" w:eastAsia="仿宋_GB2312" w:cs="仿宋_GB2312" w:hint="eastAsia"/>
          <w:sz w:val="28"/>
          <w:szCs w:val="28"/>
        </w:rPr>
        <w:t>负责县政府值班工作，指导乡镇人民政府和县政府部门值班工作，及时报告重要情况。</w:t>
      </w:r>
    </w:p>
    <w:p w14:paraId="246C0A83" w14:textId="77777777" w:rsidR="00D13164" w:rsidRDefault="00000000">
      <w:pPr>
        <w:pStyle w:val="12"/>
        <w:widowControl/>
        <w:numPr>
          <w:ilvl w:val="0"/>
          <w:numId w:val="2"/>
        </w:numPr>
        <w:shd w:val="clear" w:color="080000" w:fill="FFFFFF"/>
        <w:spacing w:beforeAutospacing="0" w:afterAutospacing="0" w:line="450" w:lineRule="exact"/>
        <w:ind w:firstLineChars="175" w:firstLine="490"/>
        <w:jc w:val="both"/>
        <w:rPr>
          <w:rFonts w:ascii="仿宋_GB2312" w:eastAsia="仿宋_GB2312" w:cs="仿宋_GB2312"/>
          <w:sz w:val="28"/>
          <w:szCs w:val="28"/>
        </w:rPr>
      </w:pPr>
      <w:r>
        <w:rPr>
          <w:rFonts w:ascii="仿宋_GB2312" w:eastAsia="仿宋_GB2312" w:cs="仿宋_GB2312" w:hint="eastAsia"/>
          <w:sz w:val="28"/>
          <w:szCs w:val="28"/>
        </w:rPr>
        <w:t>指导、监督全县政府信息公开工作和机关行政效能建设工作，指导、监督全县政府系统电子政务工作和政府网建设。</w:t>
      </w:r>
    </w:p>
    <w:p w14:paraId="5FDC0706" w14:textId="77777777" w:rsidR="00D13164" w:rsidRDefault="00000000">
      <w:pPr>
        <w:pStyle w:val="12"/>
        <w:widowControl/>
        <w:numPr>
          <w:ilvl w:val="0"/>
          <w:numId w:val="2"/>
        </w:numPr>
        <w:shd w:val="clear" w:color="080000" w:fill="FFFFFF"/>
        <w:spacing w:beforeAutospacing="0" w:afterAutospacing="0" w:line="450" w:lineRule="exact"/>
        <w:ind w:firstLineChars="175" w:firstLine="490"/>
        <w:jc w:val="both"/>
        <w:rPr>
          <w:rFonts w:ascii="仿宋_GB2312" w:eastAsia="仿宋_GB2312" w:cs="仿宋_GB2312"/>
          <w:sz w:val="28"/>
          <w:szCs w:val="28"/>
        </w:rPr>
      </w:pPr>
      <w:r>
        <w:rPr>
          <w:rFonts w:ascii="仿宋_GB2312" w:eastAsia="仿宋_GB2312" w:cs="仿宋_GB2312" w:hint="eastAsia"/>
          <w:sz w:val="28"/>
          <w:szCs w:val="28"/>
        </w:rPr>
        <w:t>组织办理涉及县政府工作的人大代表议案、批评建议和政协委员提案、建议案工作。</w:t>
      </w:r>
    </w:p>
    <w:p w14:paraId="17065D4E" w14:textId="77777777" w:rsidR="00D13164" w:rsidRDefault="00000000">
      <w:pPr>
        <w:pStyle w:val="12"/>
        <w:widowControl/>
        <w:numPr>
          <w:ilvl w:val="0"/>
          <w:numId w:val="2"/>
        </w:numPr>
        <w:shd w:val="clear" w:color="080000" w:fill="FFFFFF"/>
        <w:spacing w:beforeAutospacing="0" w:afterAutospacing="0" w:line="450" w:lineRule="exact"/>
        <w:ind w:firstLineChars="175" w:firstLine="490"/>
        <w:jc w:val="both"/>
        <w:rPr>
          <w:rFonts w:ascii="仿宋_GB2312" w:eastAsia="仿宋_GB2312" w:cs="仿宋_GB2312"/>
          <w:sz w:val="28"/>
          <w:szCs w:val="28"/>
        </w:rPr>
      </w:pPr>
      <w:r>
        <w:rPr>
          <w:rFonts w:ascii="仿宋_GB2312" w:eastAsia="仿宋_GB2312" w:cs="仿宋_GB2312" w:hint="eastAsia"/>
          <w:sz w:val="28"/>
          <w:szCs w:val="28"/>
        </w:rPr>
        <w:t>负责县政府人民防空和民防工作，指导全县人民防空和民防工作。</w:t>
      </w:r>
    </w:p>
    <w:p w14:paraId="6A3630EE" w14:textId="77777777" w:rsidR="00D13164" w:rsidRDefault="00000000">
      <w:pPr>
        <w:pStyle w:val="a4"/>
        <w:adjustRightInd w:val="0"/>
        <w:snapToGrid w:val="0"/>
        <w:spacing w:before="93" w:line="600" w:lineRule="exact"/>
        <w:ind w:firstLineChars="200" w:firstLine="643"/>
        <w:outlineLvl w:val="1"/>
        <w:rPr>
          <w:rFonts w:ascii="仿宋" w:eastAsia="仿宋" w:hAnsi="仿宋"/>
          <w:b/>
          <w:bCs/>
          <w:color w:val="000000"/>
          <w:kern w:val="2"/>
          <w:sz w:val="32"/>
          <w:szCs w:val="32"/>
        </w:rPr>
      </w:pPr>
      <w:bookmarkStart w:id="24" w:name="_Toc15377199"/>
      <w:bookmarkStart w:id="25" w:name="_Toc9797"/>
      <w:bookmarkStart w:id="26" w:name="_Toc79163604"/>
      <w:bookmarkStart w:id="27" w:name="_Toc15378446"/>
      <w:bookmarkEnd w:id="21"/>
      <w:bookmarkEnd w:id="22"/>
      <w:r>
        <w:rPr>
          <w:rFonts w:ascii="仿宋" w:eastAsia="仿宋" w:hAnsi="仿宋" w:hint="eastAsia"/>
          <w:b/>
          <w:bCs/>
          <w:color w:val="000000"/>
          <w:kern w:val="2"/>
          <w:sz w:val="32"/>
          <w:szCs w:val="32"/>
        </w:rPr>
        <w:t>（二）2021年重点工作完成情况</w:t>
      </w:r>
      <w:bookmarkEnd w:id="24"/>
      <w:bookmarkEnd w:id="25"/>
      <w:bookmarkEnd w:id="26"/>
      <w:bookmarkEnd w:id="27"/>
    </w:p>
    <w:p w14:paraId="3C00121F" w14:textId="77777777" w:rsidR="00D13164" w:rsidRDefault="00000000">
      <w:pPr>
        <w:pStyle w:val="ad"/>
        <w:widowControl/>
        <w:shd w:val="clear" w:color="auto" w:fill="FFFFFF"/>
        <w:spacing w:before="0" w:beforeAutospacing="0" w:after="0" w:afterAutospacing="0" w:line="576" w:lineRule="exact"/>
        <w:ind w:firstLineChars="200" w:firstLine="560"/>
        <w:jc w:val="both"/>
        <w:rPr>
          <w:rFonts w:ascii="仿宋_GB2312" w:eastAsia="仿宋_GB2312" w:hAnsi="仿宋_GB2312" w:cs="仿宋_GB2312"/>
          <w:sz w:val="28"/>
          <w:szCs w:val="28"/>
          <w:lang w:bidi="ar"/>
        </w:rPr>
      </w:pPr>
      <w:r>
        <w:rPr>
          <w:rFonts w:ascii="仿宋_GB2312" w:eastAsia="仿宋_GB2312" w:hAnsi="仿宋_GB2312" w:cs="仿宋_GB2312" w:hint="eastAsia"/>
          <w:sz w:val="28"/>
          <w:szCs w:val="28"/>
          <w:lang w:bidi="ar"/>
        </w:rPr>
        <w:t>1.严谨细致，办文办会显水平。突出“少发文、发精文、快发文”的原则，坚持办公室主任负总责，相关政务股室具体办，严把文字关、法律政策关，切实提高文稿的思想性、指导性、实效性和操作性。建</w:t>
      </w:r>
      <w:r>
        <w:rPr>
          <w:rFonts w:ascii="仿宋_GB2312" w:eastAsia="仿宋_GB2312" w:hAnsi="仿宋_GB2312" w:cs="仿宋_GB2312" w:hint="eastAsia"/>
          <w:sz w:val="28"/>
          <w:szCs w:val="28"/>
          <w:lang w:bidi="ar"/>
        </w:rPr>
        <w:lastRenderedPageBreak/>
        <w:t>立健全公文保密制度，加强对互联网、政务内网及软硬件管理，严格规范公文审签、制发等程序，确保公文高效、安全运行，从未出现公文传递失误、公文丢失、信息转达失实等现象。截至目前，我办共制发政府文件643件，制发政府办文件327件，形成各类会议纪要86件。办理省、州下达文件及领导批示件2571件，密电752件，县委转办件731件，各乡镇、部门请示报告1013件，县级来文1132件。充分利用下乡、督查等机会，深入基层广泛开展调查研究，不断提高调研工作的前瞻性、针对性和可操作性，</w:t>
      </w:r>
      <w:proofErr w:type="gramStart"/>
      <w:r>
        <w:rPr>
          <w:rFonts w:ascii="仿宋_GB2312" w:eastAsia="仿宋_GB2312" w:hAnsi="仿宋_GB2312" w:cs="仿宋_GB2312" w:hint="eastAsia"/>
          <w:sz w:val="28"/>
          <w:szCs w:val="28"/>
          <w:lang w:bidi="ar"/>
        </w:rPr>
        <w:t>力求参到关键</w:t>
      </w:r>
      <w:proofErr w:type="gramEnd"/>
      <w:r>
        <w:rPr>
          <w:rFonts w:ascii="仿宋_GB2312" w:eastAsia="仿宋_GB2312" w:hAnsi="仿宋_GB2312" w:cs="仿宋_GB2312" w:hint="eastAsia"/>
          <w:sz w:val="28"/>
          <w:szCs w:val="28"/>
          <w:lang w:bidi="ar"/>
        </w:rPr>
        <w:t>处，谋到点子上，全年共组织撰写专题调研和典型经验材料20余篇，为领导决策和重点工作落实提供了有力辅助。切实搞好会议服务，在会务筹备和服务上，切实做到早思考、细安排。及时更新了会议服务设备，全力确保会议效果，切实搞好后勤服务，高质量地完成了县政府全体会议、常务会议、县长办公会议及其他专题会议的组织、协调和服务保障工作，全年承办政府常务会议15次，党组会议11次,县政府全体会议3次及300余次县政府领导班子日常会议和电视电话会议。严格落实</w:t>
      </w:r>
      <w:proofErr w:type="gramStart"/>
      <w:r>
        <w:rPr>
          <w:rFonts w:ascii="仿宋_GB2312" w:eastAsia="仿宋_GB2312" w:hAnsi="仿宋_GB2312" w:cs="仿宋_GB2312" w:hint="eastAsia"/>
          <w:sz w:val="28"/>
          <w:szCs w:val="28"/>
          <w:lang w:bidi="ar"/>
        </w:rPr>
        <w:t>精文减会</w:t>
      </w:r>
      <w:proofErr w:type="gramEnd"/>
      <w:r>
        <w:rPr>
          <w:rFonts w:ascii="仿宋_GB2312" w:eastAsia="仿宋_GB2312" w:hAnsi="仿宋_GB2312" w:cs="仿宋_GB2312" w:hint="eastAsia"/>
          <w:sz w:val="28"/>
          <w:szCs w:val="28"/>
          <w:lang w:bidi="ar"/>
        </w:rPr>
        <w:t>要求，2021年制发政府文件较2021年减少10件，减幅达1.53%；制发政府办文件较2021年减少18件，减幅达5.21%；县政府领导班子各类日常会议和电视电话会议较2021年减少10次，减幅达3.07%。</w:t>
      </w:r>
    </w:p>
    <w:p w14:paraId="69C40C2C" w14:textId="77777777" w:rsidR="00D13164" w:rsidRDefault="00000000">
      <w:pPr>
        <w:pStyle w:val="ad"/>
        <w:widowControl/>
        <w:shd w:val="clear" w:color="auto" w:fill="FFFFFF"/>
        <w:spacing w:before="0" w:beforeAutospacing="0" w:after="0" w:afterAutospacing="0" w:line="576" w:lineRule="exact"/>
        <w:ind w:firstLineChars="200" w:firstLine="560"/>
        <w:jc w:val="both"/>
        <w:rPr>
          <w:rFonts w:ascii="仿宋_GB2312" w:eastAsia="仿宋_GB2312" w:hAnsi="仿宋_GB2312" w:cs="仿宋_GB2312"/>
          <w:sz w:val="28"/>
          <w:szCs w:val="28"/>
          <w:lang w:bidi="ar"/>
        </w:rPr>
      </w:pPr>
      <w:r>
        <w:rPr>
          <w:rFonts w:ascii="仿宋_GB2312" w:eastAsia="仿宋_GB2312" w:hAnsi="仿宋_GB2312" w:cs="仿宋_GB2312" w:hint="eastAsia"/>
          <w:sz w:val="28"/>
          <w:szCs w:val="28"/>
          <w:lang w:bidi="ar"/>
        </w:rPr>
        <w:t>2.落实责任，提案办理显实效。切实抓好人大代表建议、政协委员提案办理工作。组织相关部门办理人大代表建议70件，政协委员提案、委员建议62件，按时办复率和满意率均达100%。认真做好了人大常委会议、政协常务委员会议听取审议政府相关工作汇报材料的报送工作。我办严格按照县人大常委会议和县政协常务委员会</w:t>
      </w:r>
      <w:proofErr w:type="gramStart"/>
      <w:r>
        <w:rPr>
          <w:rFonts w:ascii="仿宋_GB2312" w:eastAsia="仿宋_GB2312" w:hAnsi="仿宋_GB2312" w:cs="仿宋_GB2312" w:hint="eastAsia"/>
          <w:sz w:val="28"/>
          <w:szCs w:val="28"/>
          <w:lang w:bidi="ar"/>
        </w:rPr>
        <w:t>议相关</w:t>
      </w:r>
      <w:proofErr w:type="gramEnd"/>
      <w:r>
        <w:rPr>
          <w:rFonts w:ascii="仿宋_GB2312" w:eastAsia="仿宋_GB2312" w:hAnsi="仿宋_GB2312" w:cs="仿宋_GB2312" w:hint="eastAsia"/>
          <w:sz w:val="28"/>
          <w:szCs w:val="28"/>
          <w:lang w:bidi="ar"/>
        </w:rPr>
        <w:lastRenderedPageBreak/>
        <w:t>要求，按时保质保量呈报了县政府相关工作报告提请审议。全力抓好上级人大机关、政协机关来我县视察调研工作的联系协调、服务保障等工作。按照视察调研工作相关要求，认真准备了汇报材料，全力确保了上级人大机关、政协机关视察调研工作的顺利开展。</w:t>
      </w:r>
    </w:p>
    <w:p w14:paraId="2113D6D1" w14:textId="77777777" w:rsidR="00D13164" w:rsidRDefault="00000000">
      <w:pPr>
        <w:pStyle w:val="ad"/>
        <w:widowControl/>
        <w:shd w:val="clear" w:color="auto" w:fill="FFFFFF"/>
        <w:spacing w:before="0" w:beforeAutospacing="0" w:after="0" w:afterAutospacing="0" w:line="576" w:lineRule="exact"/>
        <w:ind w:firstLineChars="175" w:firstLine="490"/>
        <w:jc w:val="both"/>
        <w:rPr>
          <w:rFonts w:ascii="仿宋_GB2312" w:eastAsia="仿宋_GB2312" w:hAnsi="仿宋_GB2312" w:cs="仿宋_GB2312"/>
          <w:sz w:val="28"/>
          <w:szCs w:val="28"/>
          <w:lang w:bidi="ar"/>
        </w:rPr>
      </w:pPr>
      <w:r>
        <w:rPr>
          <w:rFonts w:ascii="仿宋_GB2312" w:eastAsia="仿宋_GB2312" w:hAnsi="仿宋_GB2312" w:cs="仿宋_GB2312" w:hint="eastAsia"/>
          <w:sz w:val="28"/>
          <w:szCs w:val="28"/>
          <w:lang w:bidi="ar"/>
        </w:rPr>
        <w:t>3.积极主动，督查</w:t>
      </w:r>
      <w:proofErr w:type="gramStart"/>
      <w:r>
        <w:rPr>
          <w:rFonts w:ascii="仿宋_GB2312" w:eastAsia="仿宋_GB2312" w:hAnsi="仿宋_GB2312" w:cs="仿宋_GB2312" w:hint="eastAsia"/>
          <w:sz w:val="28"/>
          <w:szCs w:val="28"/>
          <w:lang w:bidi="ar"/>
        </w:rPr>
        <w:t>督办抓</w:t>
      </w:r>
      <w:proofErr w:type="gramEnd"/>
      <w:r>
        <w:rPr>
          <w:rFonts w:ascii="仿宋_GB2312" w:eastAsia="仿宋_GB2312" w:hAnsi="仿宋_GB2312" w:cs="仿宋_GB2312" w:hint="eastAsia"/>
          <w:sz w:val="28"/>
          <w:szCs w:val="28"/>
          <w:lang w:bidi="ar"/>
        </w:rPr>
        <w:t>落实。以《政府工作报告》目标责任分解、县政府重要会议和文件贯彻落实为重点，完善政府工作“三张清单”，建立健全28个政府工作部门局务秘书沟通联系制度，规范县政府、县政府办发文拟稿单、县政府常务会议题提交单，督查制度更加完善。同时，对上级安排部署的重点工作进行研究分析，并结合县情实际，制定政府月度重点工作清单10份、共计145项（综合工作类54项、社会治理类43项、经济发展类25项、民生工程类22项、脱贫攻坚类1项），安排的重点事项工作按时完成率达90%以上，推动工作及时落地落实。</w:t>
      </w:r>
    </w:p>
    <w:p w14:paraId="1124D9CF" w14:textId="77777777" w:rsidR="00D13164" w:rsidRDefault="00000000">
      <w:pPr>
        <w:pStyle w:val="ad"/>
        <w:widowControl/>
        <w:shd w:val="clear" w:color="auto" w:fill="FFFFFF"/>
        <w:spacing w:before="0" w:beforeAutospacing="0" w:after="0" w:afterAutospacing="0" w:line="576" w:lineRule="exact"/>
        <w:ind w:firstLineChars="175" w:firstLine="490"/>
        <w:jc w:val="both"/>
        <w:rPr>
          <w:rFonts w:ascii="仿宋_GB2312" w:eastAsia="仿宋_GB2312" w:hAnsi="仿宋_GB2312" w:cs="仿宋_GB2312"/>
          <w:sz w:val="28"/>
          <w:szCs w:val="28"/>
          <w:lang w:bidi="ar"/>
        </w:rPr>
      </w:pPr>
      <w:r>
        <w:rPr>
          <w:rFonts w:ascii="仿宋_GB2312" w:eastAsia="仿宋_GB2312" w:hAnsi="仿宋_GB2312" w:cs="仿宋_GB2312" w:hint="eastAsia"/>
          <w:sz w:val="28"/>
          <w:szCs w:val="28"/>
          <w:lang w:bidi="ar"/>
        </w:rPr>
        <w:t>4.主动公开，信息建设提质量。完善信息撰写报送制度，有针对性地确定年度信息要点和重点，大力挖掘深层次、高质量信息。在在“松潘县人民政府”门户网站发布信息2199条。政务公开重点领域信息1020条，通知公告163条，政府文件、政策解读39条。建立环境影响评价、行政执法公示等专栏。互动交流开展问卷调查3次、意见征集15次、互动访谈8次。政务信箱回复信件105件。建议和提案办理结果公开情况：对70件人大议案和62件政协提案办理情况全部在县门户网站上进行了公开。</w:t>
      </w:r>
    </w:p>
    <w:p w14:paraId="4DC4916C" w14:textId="77777777" w:rsidR="00D13164" w:rsidRDefault="00000000">
      <w:pPr>
        <w:pStyle w:val="ad"/>
        <w:widowControl/>
        <w:shd w:val="clear" w:color="auto" w:fill="FFFFFF"/>
        <w:spacing w:before="0" w:beforeAutospacing="0" w:after="0" w:afterAutospacing="0" w:line="576" w:lineRule="exact"/>
        <w:ind w:firstLineChars="175" w:firstLine="490"/>
        <w:jc w:val="both"/>
        <w:rPr>
          <w:rFonts w:ascii="仿宋_GB2312" w:eastAsia="仿宋_GB2312" w:hAnsi="仿宋_GB2312" w:cs="仿宋_GB2312"/>
          <w:sz w:val="28"/>
          <w:szCs w:val="28"/>
          <w:lang w:bidi="ar"/>
        </w:rPr>
      </w:pPr>
      <w:r>
        <w:rPr>
          <w:rFonts w:ascii="仿宋_GB2312" w:eastAsia="仿宋_GB2312" w:hAnsi="仿宋_GB2312" w:cs="仿宋_GB2312" w:hint="eastAsia"/>
          <w:sz w:val="28"/>
          <w:szCs w:val="28"/>
          <w:lang w:bidi="ar"/>
        </w:rPr>
        <w:t>5.优化后勤服务工作。高质量做好了政府领导公务活动和上级领导来松视察、调研的组织服务工作，做到了精心组织、合理安排、有条不紊，得到了各级领导的充分肯定和高度评价。加强公务用车管理，</w:t>
      </w:r>
      <w:r>
        <w:rPr>
          <w:rFonts w:ascii="仿宋_GB2312" w:eastAsia="仿宋_GB2312" w:hAnsi="仿宋_GB2312" w:cs="仿宋_GB2312" w:hint="eastAsia"/>
          <w:sz w:val="28"/>
          <w:szCs w:val="28"/>
          <w:lang w:bidi="ar"/>
        </w:rPr>
        <w:lastRenderedPageBreak/>
        <w:t>全面推行公务用车信息化监管模式，对全县各个部门及乡镇办公用房进行全面清理，县级部门和乡镇办公用房使用清理结果符合各级部门及乡镇领导干部办公用房的标准，无超标使用情况，并按程序推进第一期170套周转房以及人才公寓分配工作。</w:t>
      </w:r>
    </w:p>
    <w:p w14:paraId="090BB10F" w14:textId="3DC39AFA" w:rsidR="00D13164" w:rsidRDefault="00000000">
      <w:pPr>
        <w:pStyle w:val="ad"/>
        <w:widowControl/>
        <w:shd w:val="clear" w:color="auto" w:fill="FFFFFF"/>
        <w:spacing w:before="0" w:beforeAutospacing="0" w:after="0" w:afterAutospacing="0" w:line="576" w:lineRule="exact"/>
        <w:ind w:firstLineChars="175" w:firstLine="490"/>
        <w:jc w:val="both"/>
        <w:rPr>
          <w:rFonts w:ascii="仿宋_GB2312" w:eastAsia="仿宋_GB2312" w:hAnsi="仿宋_GB2312" w:cs="仿宋_GB2312"/>
          <w:sz w:val="28"/>
          <w:szCs w:val="28"/>
          <w:lang w:bidi="ar"/>
        </w:rPr>
      </w:pPr>
      <w:r>
        <w:rPr>
          <w:rFonts w:ascii="仿宋_GB2312" w:eastAsia="仿宋_GB2312" w:hAnsi="仿宋_GB2312" w:cs="仿宋_GB2312" w:hint="eastAsia"/>
          <w:sz w:val="28"/>
          <w:szCs w:val="28"/>
          <w:lang w:bidi="ar"/>
        </w:rPr>
        <w:t>6.创优机关办公环境。对办公区域花草树木和草坪进行了修剪维护，加大保洁力度，实行机动车与非机动车分类停放，机动车一律停放在停车场；机关食堂更加注重菜品搭配，更加注重安全卫生，出色的完成红</w:t>
      </w:r>
      <w:proofErr w:type="gramStart"/>
      <w:r>
        <w:rPr>
          <w:rFonts w:ascii="仿宋_GB2312" w:eastAsia="仿宋_GB2312" w:hAnsi="仿宋_GB2312" w:cs="仿宋_GB2312" w:hint="eastAsia"/>
          <w:sz w:val="28"/>
          <w:szCs w:val="28"/>
          <w:lang w:bidi="ar"/>
        </w:rPr>
        <w:t>研</w:t>
      </w:r>
      <w:proofErr w:type="gramEnd"/>
      <w:r>
        <w:rPr>
          <w:rFonts w:ascii="仿宋_GB2312" w:eastAsia="仿宋_GB2312" w:hAnsi="仿宋_GB2312" w:cs="仿宋_GB2312" w:hint="eastAsia"/>
          <w:sz w:val="28"/>
          <w:szCs w:val="28"/>
          <w:lang w:bidi="ar"/>
        </w:rPr>
        <w:t>会餐饮保障、“603”警卫接待后勤保障以及第五届花灯会餐饮等工作；加强基础设施日常维护，发现问题及时整改；认真贯彻中央八项规定，加强公务接待管理，严格财务报销手续，从严控制差旅、会议和活动费开支。</w:t>
      </w:r>
    </w:p>
    <w:p w14:paraId="2094313E" w14:textId="77777777" w:rsidR="00D13164" w:rsidRDefault="00000000">
      <w:pPr>
        <w:pStyle w:val="ad"/>
        <w:widowControl/>
        <w:shd w:val="clear" w:color="auto" w:fill="FFFFFF"/>
        <w:spacing w:before="0" w:beforeAutospacing="0" w:after="0" w:afterAutospacing="0" w:line="576" w:lineRule="exact"/>
        <w:ind w:firstLineChars="175" w:firstLine="490"/>
        <w:jc w:val="both"/>
        <w:rPr>
          <w:rFonts w:ascii="仿宋_GB2312" w:eastAsia="仿宋_GB2312" w:hAnsi="仿宋_GB2312" w:cs="仿宋_GB2312"/>
          <w:sz w:val="28"/>
          <w:szCs w:val="28"/>
          <w:lang w:bidi="ar"/>
        </w:rPr>
      </w:pPr>
      <w:r>
        <w:rPr>
          <w:rFonts w:ascii="仿宋_GB2312" w:eastAsia="仿宋_GB2312" w:hAnsi="仿宋_GB2312" w:cs="仿宋_GB2312" w:hint="eastAsia"/>
          <w:sz w:val="28"/>
          <w:szCs w:val="28"/>
          <w:lang w:bidi="ar"/>
        </w:rPr>
        <w:t>7.外事、港澳工作水平逐步提升。创新外事管理举措，不断规范因公出国（境）管理和服务工作，接待涉外领团1批14人，管理排查涉外疫情防控重点人员1734人，稳妥处置涉外案（事）件，建立工作网络、理顺工作关系，进一步加大涉外管理服务工作力度。</w:t>
      </w:r>
    </w:p>
    <w:p w14:paraId="7031D21D" w14:textId="77777777" w:rsidR="00D13164" w:rsidRDefault="00000000">
      <w:pPr>
        <w:pStyle w:val="ad"/>
        <w:widowControl/>
        <w:shd w:val="clear" w:color="auto" w:fill="FFFFFF"/>
        <w:spacing w:before="0" w:beforeAutospacing="0" w:after="0" w:afterAutospacing="0" w:line="576" w:lineRule="exact"/>
        <w:ind w:firstLineChars="175" w:firstLine="490"/>
        <w:jc w:val="both"/>
        <w:rPr>
          <w:rFonts w:ascii="仿宋" w:eastAsia="仿宋" w:hAnsi="仿宋"/>
          <w:bCs/>
          <w:color w:val="000000"/>
          <w:sz w:val="32"/>
          <w:szCs w:val="32"/>
        </w:rPr>
      </w:pPr>
      <w:r>
        <w:rPr>
          <w:rFonts w:ascii="仿宋_GB2312" w:eastAsia="仿宋_GB2312" w:hAnsi="仿宋_GB2312" w:cs="仿宋_GB2312" w:hint="eastAsia"/>
          <w:sz w:val="28"/>
          <w:szCs w:val="28"/>
          <w:lang w:bidi="ar"/>
        </w:rPr>
        <w:t>8.人防工作与档案工作有序进行。加强人防指挥、通信、警报等信息系统维护管理，做好短波电台的联通工作，积极开展防空地下室易地建设费征收工作，追缴漏征人防易地建设费255万余元。对2021年度收发的行政公文进行分类、整理、归档，并建立电子目录，保证了文件查阅的准确性、快捷性。</w:t>
      </w:r>
    </w:p>
    <w:p w14:paraId="4256A463" w14:textId="77777777" w:rsidR="00D13164" w:rsidRDefault="00000000">
      <w:pPr>
        <w:pStyle w:val="2"/>
        <w:ind w:firstLineChars="200" w:firstLine="640"/>
        <w:rPr>
          <w:rStyle w:val="20"/>
        </w:rPr>
      </w:pPr>
      <w:bookmarkStart w:id="28" w:name="_Toc18735"/>
      <w:bookmarkStart w:id="29" w:name="_Toc15377200"/>
      <w:bookmarkStart w:id="30" w:name="_Toc15396601"/>
      <w:bookmarkStart w:id="31" w:name="_Toc79163605"/>
      <w:r>
        <w:rPr>
          <w:rFonts w:ascii="黑体" w:eastAsia="黑体" w:hint="eastAsia"/>
          <w:b w:val="0"/>
          <w:color w:val="000000"/>
        </w:rPr>
        <w:t>二、</w:t>
      </w:r>
      <w:r>
        <w:rPr>
          <w:rFonts w:ascii="黑体" w:eastAsia="黑体" w:hAnsi="黑体" w:hint="eastAsia"/>
          <w:b w:val="0"/>
          <w:color w:val="000000"/>
        </w:rPr>
        <w:t>机</w:t>
      </w:r>
      <w:r>
        <w:rPr>
          <w:rStyle w:val="20"/>
          <w:rFonts w:ascii="黑体" w:eastAsia="黑体" w:hAnsi="黑体" w:hint="eastAsia"/>
        </w:rPr>
        <w:t>构设置</w:t>
      </w:r>
      <w:bookmarkEnd w:id="28"/>
      <w:bookmarkEnd w:id="29"/>
      <w:bookmarkEnd w:id="30"/>
      <w:bookmarkEnd w:id="31"/>
    </w:p>
    <w:p w14:paraId="10ED3B91" w14:textId="77777777" w:rsidR="00D13164" w:rsidRDefault="00000000">
      <w:pPr>
        <w:pStyle w:val="12"/>
        <w:widowControl/>
        <w:shd w:val="clear" w:color="070000" w:fill="FFFFFF"/>
        <w:spacing w:beforeAutospacing="0" w:afterAutospacing="0" w:line="450" w:lineRule="exact"/>
        <w:ind w:firstLineChars="175" w:firstLine="490"/>
        <w:jc w:val="both"/>
        <w:rPr>
          <w:rFonts w:ascii="仿宋_GB2312" w:eastAsia="仿宋_GB2312" w:cs="仿宋_GB2312"/>
          <w:sz w:val="28"/>
          <w:szCs w:val="28"/>
          <w:lang w:val="zh-CN"/>
        </w:rPr>
      </w:pPr>
      <w:r>
        <w:rPr>
          <w:rFonts w:ascii="仿宋_GB2312" w:eastAsia="仿宋_GB2312" w:cs="仿宋_GB2312" w:hint="eastAsia"/>
          <w:sz w:val="28"/>
          <w:szCs w:val="28"/>
          <w:lang w:val="zh-CN"/>
        </w:rPr>
        <w:t>松潘县人民政府办公室属一级预算单位，独立编制机构数1个，独立核算机构数1个。</w:t>
      </w:r>
      <w:r>
        <w:rPr>
          <w:rFonts w:ascii="仿宋_GB2312" w:eastAsia="仿宋_GB2312" w:cs="仿宋_GB2312" w:hint="eastAsia"/>
          <w:sz w:val="28"/>
          <w:szCs w:val="28"/>
        </w:rPr>
        <w:t>根据职责要求，内设科室及直属事业单位如下：</w:t>
      </w:r>
    </w:p>
    <w:p w14:paraId="7812D5BB" w14:textId="77777777" w:rsidR="00D13164" w:rsidRDefault="00000000">
      <w:pPr>
        <w:pStyle w:val="12"/>
        <w:widowControl/>
        <w:shd w:val="clear" w:color="070000" w:fill="FFFFFF"/>
        <w:spacing w:beforeAutospacing="0" w:afterAutospacing="0" w:line="450" w:lineRule="exact"/>
        <w:ind w:firstLineChars="175" w:firstLine="560"/>
        <w:jc w:val="both"/>
        <w:outlineLvl w:val="2"/>
        <w:rPr>
          <w:rFonts w:ascii="仿宋" w:eastAsia="仿宋" w:hAnsi="仿宋"/>
          <w:bCs/>
          <w:sz w:val="32"/>
          <w:szCs w:val="32"/>
        </w:rPr>
      </w:pPr>
      <w:bookmarkStart w:id="32" w:name="_Toc21874"/>
      <w:r>
        <w:rPr>
          <w:rFonts w:ascii="仿宋" w:eastAsia="仿宋" w:hAnsi="仿宋" w:hint="eastAsia"/>
          <w:bCs/>
          <w:sz w:val="32"/>
          <w:szCs w:val="32"/>
        </w:rPr>
        <w:lastRenderedPageBreak/>
        <w:t>1.综合股</w:t>
      </w:r>
      <w:bookmarkEnd w:id="32"/>
    </w:p>
    <w:p w14:paraId="059E5FA6" w14:textId="77777777" w:rsidR="00D13164" w:rsidRDefault="00000000">
      <w:pPr>
        <w:pStyle w:val="12"/>
        <w:widowControl/>
        <w:shd w:val="clear" w:color="070000" w:fill="FFFFFF"/>
        <w:spacing w:beforeAutospacing="0" w:afterAutospacing="0" w:line="450" w:lineRule="exact"/>
        <w:ind w:firstLineChars="175" w:firstLine="490"/>
        <w:jc w:val="both"/>
        <w:rPr>
          <w:rFonts w:ascii="仿宋_GB2312" w:eastAsia="仿宋_GB2312" w:cs="仿宋_GB2312"/>
          <w:sz w:val="28"/>
          <w:szCs w:val="28"/>
        </w:rPr>
      </w:pPr>
      <w:r>
        <w:rPr>
          <w:rFonts w:ascii="仿宋_GB2312" w:eastAsia="仿宋_GB2312" w:cs="仿宋_GB2312" w:hint="eastAsia"/>
          <w:sz w:val="28"/>
          <w:szCs w:val="28"/>
        </w:rPr>
        <w:t>负责县政府、县政府办公室文电的收发、登记、分办工作；负责密码电报的分办、传阅、管理；负责县政府办公室的机要、保密、档案、印鉴管理等工作；协助办公室领导组织、协调机关日常工作；负责县政府全体会议、常务会议等会议的会务工作；负责县政府大型活动的组织协调；负责县政府办公室日常会务、接待和事务的协调办理工作；负责县政府总值班室工作。</w:t>
      </w:r>
    </w:p>
    <w:p w14:paraId="27C80865" w14:textId="77777777" w:rsidR="00D13164" w:rsidRDefault="00000000">
      <w:pPr>
        <w:pStyle w:val="12"/>
        <w:widowControl/>
        <w:shd w:val="clear" w:color="070000" w:fill="FFFFFF"/>
        <w:spacing w:beforeAutospacing="0" w:afterAutospacing="0" w:line="450" w:lineRule="exact"/>
        <w:ind w:firstLineChars="175" w:firstLine="560"/>
        <w:jc w:val="both"/>
        <w:outlineLvl w:val="2"/>
        <w:rPr>
          <w:rFonts w:ascii="仿宋" w:eastAsia="仿宋" w:hAnsi="仿宋"/>
          <w:bCs/>
          <w:sz w:val="32"/>
          <w:szCs w:val="32"/>
        </w:rPr>
      </w:pPr>
      <w:bookmarkStart w:id="33" w:name="_Toc25619"/>
      <w:r>
        <w:rPr>
          <w:rFonts w:ascii="仿宋" w:eastAsia="仿宋" w:hAnsi="仿宋" w:hint="eastAsia"/>
          <w:bCs/>
          <w:sz w:val="32"/>
          <w:szCs w:val="32"/>
        </w:rPr>
        <w:t>2.秘书股</w:t>
      </w:r>
      <w:bookmarkEnd w:id="33"/>
    </w:p>
    <w:p w14:paraId="3FF6E129" w14:textId="77777777" w:rsidR="00D13164" w:rsidRDefault="00000000">
      <w:pPr>
        <w:pStyle w:val="12"/>
        <w:widowControl/>
        <w:shd w:val="clear" w:color="070000" w:fill="FFFFFF"/>
        <w:spacing w:beforeAutospacing="0" w:afterAutospacing="0" w:line="450" w:lineRule="exact"/>
        <w:ind w:firstLineChars="175" w:firstLine="490"/>
        <w:jc w:val="both"/>
        <w:rPr>
          <w:rFonts w:ascii="仿宋_GB2312" w:eastAsia="仿宋_GB2312" w:cs="仿宋_GB2312"/>
          <w:sz w:val="28"/>
          <w:szCs w:val="28"/>
        </w:rPr>
      </w:pPr>
      <w:r>
        <w:rPr>
          <w:rFonts w:ascii="仿宋_GB2312" w:eastAsia="仿宋_GB2312" w:cs="仿宋_GB2312" w:hint="eastAsia"/>
          <w:sz w:val="28"/>
          <w:szCs w:val="28"/>
        </w:rPr>
        <w:t>负责起草县政府及办公室的综合性文稿；协助县政府领导搞好调查研究，起草讲话稿、调查报告和</w:t>
      </w:r>
      <w:proofErr w:type="gramStart"/>
      <w:r>
        <w:rPr>
          <w:rFonts w:ascii="仿宋_GB2312" w:eastAsia="仿宋_GB2312" w:cs="仿宋_GB2312" w:hint="eastAsia"/>
          <w:sz w:val="28"/>
          <w:szCs w:val="28"/>
        </w:rPr>
        <w:t>文、</w:t>
      </w:r>
      <w:proofErr w:type="gramEnd"/>
      <w:r>
        <w:rPr>
          <w:rFonts w:ascii="仿宋_GB2312" w:eastAsia="仿宋_GB2312" w:cs="仿宋_GB2312" w:hint="eastAsia"/>
          <w:sz w:val="28"/>
          <w:szCs w:val="28"/>
        </w:rPr>
        <w:t>电、函；负责县政府、县政府办公室名义发出公文的校对、印制等工作。</w:t>
      </w:r>
    </w:p>
    <w:p w14:paraId="7D28ACE5" w14:textId="77777777" w:rsidR="00D13164" w:rsidRDefault="00000000">
      <w:pPr>
        <w:pStyle w:val="12"/>
        <w:widowControl/>
        <w:shd w:val="clear" w:color="070000" w:fill="FFFFFF"/>
        <w:spacing w:beforeAutospacing="0" w:afterAutospacing="0" w:line="450" w:lineRule="exact"/>
        <w:ind w:firstLineChars="175" w:firstLine="560"/>
        <w:jc w:val="both"/>
        <w:outlineLvl w:val="2"/>
        <w:rPr>
          <w:rFonts w:ascii="仿宋" w:eastAsia="仿宋" w:hAnsi="仿宋"/>
          <w:bCs/>
          <w:sz w:val="32"/>
          <w:szCs w:val="32"/>
        </w:rPr>
      </w:pPr>
      <w:bookmarkStart w:id="34" w:name="_Toc9889"/>
      <w:r>
        <w:rPr>
          <w:rFonts w:ascii="仿宋" w:eastAsia="仿宋" w:hAnsi="仿宋" w:hint="eastAsia"/>
          <w:bCs/>
          <w:sz w:val="32"/>
          <w:szCs w:val="32"/>
        </w:rPr>
        <w:t>3.行政股</w:t>
      </w:r>
      <w:bookmarkEnd w:id="34"/>
    </w:p>
    <w:p w14:paraId="1C7DC694" w14:textId="5044D147" w:rsidR="00D13164" w:rsidRDefault="00000000">
      <w:pPr>
        <w:pStyle w:val="12"/>
        <w:widowControl/>
        <w:shd w:val="clear" w:color="070000" w:fill="FFFFFF"/>
        <w:spacing w:beforeAutospacing="0" w:afterAutospacing="0" w:line="450" w:lineRule="exact"/>
        <w:ind w:firstLineChars="175" w:firstLine="490"/>
        <w:jc w:val="both"/>
        <w:rPr>
          <w:rFonts w:ascii="仿宋_GB2312" w:eastAsia="仿宋_GB2312" w:cs="仿宋_GB2312"/>
          <w:sz w:val="28"/>
          <w:szCs w:val="28"/>
        </w:rPr>
      </w:pPr>
      <w:r>
        <w:rPr>
          <w:rFonts w:ascii="仿宋_GB2312" w:eastAsia="仿宋_GB2312" w:cs="仿宋_GB2312" w:hint="eastAsia"/>
          <w:sz w:val="28"/>
          <w:szCs w:val="28"/>
        </w:rPr>
        <w:t>负责县政府领导同志的服务事务和机关后勤管理工作；负责会场的管理工作；负责县政府机关的安保工作；负责机关和直属单位的财务管理工作；负责机关、直属机构的人事管理、机构编制和教育培训工作；负责机关和直属退休人员工作；负责县政府办公室物</w:t>
      </w:r>
      <w:r w:rsidR="0091230D">
        <w:rPr>
          <w:rFonts w:ascii="仿宋_GB2312" w:eastAsia="仿宋_GB2312" w:cs="仿宋_GB2312" w:hint="eastAsia"/>
          <w:sz w:val="28"/>
          <w:szCs w:val="28"/>
        </w:rPr>
        <w:t>资</w:t>
      </w:r>
      <w:r>
        <w:rPr>
          <w:rFonts w:ascii="仿宋_GB2312" w:eastAsia="仿宋_GB2312" w:cs="仿宋_GB2312" w:hint="eastAsia"/>
          <w:sz w:val="28"/>
          <w:szCs w:val="28"/>
        </w:rPr>
        <w:t>采购工作；负责县政府办公室工程项目工作；负责县政府办公室国有资产管理工作；负责县政府职工食堂管理工作。</w:t>
      </w:r>
    </w:p>
    <w:p w14:paraId="2037D922" w14:textId="77777777" w:rsidR="00D13164" w:rsidRDefault="00000000">
      <w:pPr>
        <w:pStyle w:val="12"/>
        <w:widowControl/>
        <w:shd w:val="clear" w:color="070000" w:fill="FFFFFF"/>
        <w:spacing w:beforeAutospacing="0" w:afterAutospacing="0" w:line="450" w:lineRule="exact"/>
        <w:ind w:firstLineChars="175" w:firstLine="560"/>
        <w:jc w:val="both"/>
        <w:outlineLvl w:val="2"/>
        <w:rPr>
          <w:rFonts w:ascii="仿宋" w:eastAsia="仿宋" w:hAnsi="仿宋"/>
          <w:bCs/>
          <w:sz w:val="32"/>
          <w:szCs w:val="32"/>
        </w:rPr>
      </w:pPr>
      <w:bookmarkStart w:id="35" w:name="_Toc14742"/>
      <w:r>
        <w:rPr>
          <w:rFonts w:ascii="仿宋" w:eastAsia="仿宋" w:hAnsi="仿宋" w:hint="eastAsia"/>
          <w:bCs/>
          <w:sz w:val="32"/>
          <w:szCs w:val="32"/>
        </w:rPr>
        <w:t>4.驻蓉办</w:t>
      </w:r>
      <w:bookmarkEnd w:id="35"/>
    </w:p>
    <w:p w14:paraId="1991BE20" w14:textId="77777777" w:rsidR="00D13164" w:rsidRDefault="00000000">
      <w:pPr>
        <w:pStyle w:val="12"/>
        <w:widowControl/>
        <w:shd w:val="clear" w:color="070000" w:fill="FFFFFF"/>
        <w:spacing w:beforeAutospacing="0" w:afterAutospacing="0" w:line="450" w:lineRule="exact"/>
        <w:ind w:firstLineChars="200" w:firstLine="560"/>
        <w:jc w:val="both"/>
        <w:rPr>
          <w:rFonts w:ascii="仿宋_GB2312" w:eastAsia="仿宋_GB2312" w:cs="仿宋_GB2312"/>
          <w:sz w:val="28"/>
          <w:szCs w:val="28"/>
        </w:rPr>
      </w:pPr>
      <w:r>
        <w:rPr>
          <w:rFonts w:ascii="仿宋_GB2312" w:eastAsia="仿宋_GB2312" w:cs="仿宋_GB2312" w:hint="eastAsia"/>
          <w:sz w:val="28"/>
          <w:szCs w:val="28"/>
        </w:rPr>
        <w:t>负责县政府的对外联络工作；负责收集、反馈发展经济的有关信息；负责县政府领导同志到外地出差的有关接待、联络工作。</w:t>
      </w:r>
    </w:p>
    <w:p w14:paraId="0737A420" w14:textId="77777777" w:rsidR="00D13164" w:rsidRDefault="00000000">
      <w:pPr>
        <w:pStyle w:val="12"/>
        <w:widowControl/>
        <w:shd w:val="clear" w:color="070000" w:fill="FFFFFF"/>
        <w:spacing w:beforeAutospacing="0" w:afterAutospacing="0" w:line="450" w:lineRule="exact"/>
        <w:ind w:firstLineChars="175" w:firstLine="560"/>
        <w:jc w:val="both"/>
        <w:outlineLvl w:val="2"/>
        <w:rPr>
          <w:rFonts w:ascii="仿宋" w:eastAsia="仿宋" w:hAnsi="仿宋"/>
          <w:bCs/>
          <w:sz w:val="32"/>
          <w:szCs w:val="32"/>
        </w:rPr>
      </w:pPr>
      <w:bookmarkStart w:id="36" w:name="_Toc16141"/>
      <w:r>
        <w:rPr>
          <w:rFonts w:ascii="仿宋" w:eastAsia="仿宋" w:hAnsi="仿宋" w:hint="eastAsia"/>
          <w:bCs/>
          <w:sz w:val="32"/>
          <w:szCs w:val="32"/>
        </w:rPr>
        <w:t>5.人防办</w:t>
      </w:r>
      <w:bookmarkEnd w:id="36"/>
    </w:p>
    <w:p w14:paraId="7CA01293" w14:textId="77777777" w:rsidR="00D13164" w:rsidRDefault="00000000">
      <w:pPr>
        <w:pStyle w:val="12"/>
        <w:widowControl/>
        <w:shd w:val="clear" w:color="070000" w:fill="FFFFFF"/>
        <w:spacing w:beforeAutospacing="0" w:afterAutospacing="0" w:line="450" w:lineRule="exact"/>
        <w:ind w:firstLineChars="175" w:firstLine="490"/>
        <w:jc w:val="both"/>
        <w:rPr>
          <w:rFonts w:ascii="仿宋_GB2312" w:eastAsia="仿宋_GB2312" w:cs="仿宋_GB2312"/>
          <w:sz w:val="28"/>
          <w:szCs w:val="28"/>
        </w:rPr>
      </w:pPr>
      <w:r>
        <w:rPr>
          <w:rFonts w:ascii="仿宋_GB2312" w:eastAsia="仿宋_GB2312" w:cs="仿宋_GB2312" w:hint="eastAsia"/>
          <w:sz w:val="28"/>
          <w:szCs w:val="28"/>
        </w:rPr>
        <w:t>负责县政府人民防空和民防工作，指导全县人民防空和民防工作。</w:t>
      </w:r>
    </w:p>
    <w:p w14:paraId="23F57F06" w14:textId="77777777" w:rsidR="00D13164" w:rsidRDefault="00000000">
      <w:pPr>
        <w:pStyle w:val="12"/>
        <w:widowControl/>
        <w:shd w:val="clear" w:color="070000" w:fill="FFFFFF"/>
        <w:spacing w:beforeAutospacing="0" w:afterAutospacing="0" w:line="450" w:lineRule="exact"/>
        <w:ind w:firstLineChars="175" w:firstLine="560"/>
        <w:jc w:val="both"/>
        <w:outlineLvl w:val="2"/>
        <w:rPr>
          <w:rFonts w:ascii="仿宋" w:eastAsia="仿宋" w:hAnsi="仿宋"/>
          <w:bCs/>
          <w:sz w:val="32"/>
          <w:szCs w:val="32"/>
        </w:rPr>
      </w:pPr>
      <w:bookmarkStart w:id="37" w:name="_Toc18707"/>
      <w:r>
        <w:rPr>
          <w:rFonts w:ascii="仿宋" w:eastAsia="仿宋" w:hAnsi="仿宋" w:hint="eastAsia"/>
          <w:bCs/>
          <w:sz w:val="32"/>
          <w:szCs w:val="32"/>
        </w:rPr>
        <w:t>6.信息办</w:t>
      </w:r>
      <w:bookmarkEnd w:id="37"/>
    </w:p>
    <w:p w14:paraId="1C16D921" w14:textId="77777777" w:rsidR="00D13164" w:rsidRDefault="00000000">
      <w:pPr>
        <w:pStyle w:val="12"/>
        <w:widowControl/>
        <w:shd w:val="clear" w:color="070000" w:fill="FFFFFF"/>
        <w:spacing w:beforeAutospacing="0" w:afterAutospacing="0" w:line="450" w:lineRule="exact"/>
        <w:ind w:firstLineChars="175" w:firstLine="490"/>
        <w:jc w:val="both"/>
        <w:rPr>
          <w:rFonts w:ascii="仿宋_GB2312" w:eastAsia="仿宋_GB2312" w:cs="仿宋_GB2312"/>
          <w:sz w:val="28"/>
          <w:szCs w:val="28"/>
        </w:rPr>
      </w:pPr>
      <w:r>
        <w:rPr>
          <w:rFonts w:ascii="仿宋_GB2312" w:eastAsia="仿宋_GB2312" w:cs="仿宋_GB2312" w:hint="eastAsia"/>
          <w:sz w:val="28"/>
          <w:szCs w:val="28"/>
        </w:rPr>
        <w:t>指导、监督全县政府信息公开工作和机关行政效能建设工作，指导、监督全县政府系统电子政务工作和政府网建设。</w:t>
      </w:r>
    </w:p>
    <w:p w14:paraId="3394998F" w14:textId="77777777" w:rsidR="00D13164" w:rsidRDefault="00000000">
      <w:pPr>
        <w:pStyle w:val="12"/>
        <w:widowControl/>
        <w:shd w:val="clear" w:color="070000" w:fill="FFFFFF"/>
        <w:spacing w:beforeAutospacing="0" w:afterAutospacing="0" w:line="450" w:lineRule="exact"/>
        <w:ind w:firstLineChars="175" w:firstLine="560"/>
        <w:jc w:val="both"/>
        <w:outlineLvl w:val="2"/>
        <w:rPr>
          <w:rFonts w:ascii="仿宋" w:eastAsia="仿宋" w:hAnsi="仿宋"/>
          <w:bCs/>
          <w:sz w:val="32"/>
          <w:szCs w:val="32"/>
        </w:rPr>
      </w:pPr>
      <w:bookmarkStart w:id="38" w:name="_Toc7021"/>
      <w:r>
        <w:rPr>
          <w:rFonts w:ascii="仿宋" w:eastAsia="仿宋" w:hAnsi="仿宋" w:hint="eastAsia"/>
          <w:bCs/>
          <w:sz w:val="32"/>
          <w:szCs w:val="32"/>
        </w:rPr>
        <w:t>7.外事办</w:t>
      </w:r>
      <w:bookmarkEnd w:id="38"/>
    </w:p>
    <w:p w14:paraId="66D3E33B" w14:textId="77777777" w:rsidR="00D13164" w:rsidRDefault="00000000">
      <w:pPr>
        <w:pStyle w:val="12"/>
        <w:widowControl/>
        <w:shd w:val="clear" w:color="070000" w:fill="FFFFFF"/>
        <w:spacing w:beforeAutospacing="0" w:afterAutospacing="0" w:line="450" w:lineRule="exact"/>
        <w:ind w:firstLineChars="175" w:firstLine="490"/>
        <w:jc w:val="both"/>
        <w:rPr>
          <w:rFonts w:ascii="仿宋_GB2312" w:eastAsia="仿宋_GB2312" w:cs="仿宋_GB2312"/>
          <w:sz w:val="28"/>
          <w:szCs w:val="28"/>
        </w:rPr>
      </w:pPr>
      <w:r>
        <w:rPr>
          <w:rFonts w:ascii="仿宋_GB2312" w:eastAsia="仿宋_GB2312" w:cs="仿宋_GB2312" w:hint="eastAsia"/>
          <w:sz w:val="28"/>
          <w:szCs w:val="28"/>
        </w:rPr>
        <w:t>负责接待</w:t>
      </w:r>
      <w:proofErr w:type="gramStart"/>
      <w:r>
        <w:rPr>
          <w:rFonts w:ascii="仿宋_GB2312" w:eastAsia="仿宋_GB2312" w:cs="仿宋_GB2312" w:hint="eastAsia"/>
          <w:sz w:val="28"/>
          <w:szCs w:val="28"/>
        </w:rPr>
        <w:t>外媒记者</w:t>
      </w:r>
      <w:proofErr w:type="gramEnd"/>
      <w:r>
        <w:rPr>
          <w:rFonts w:ascii="仿宋_GB2312" w:eastAsia="仿宋_GB2312" w:cs="仿宋_GB2312" w:hint="eastAsia"/>
          <w:sz w:val="28"/>
          <w:szCs w:val="28"/>
        </w:rPr>
        <w:t>等工作。</w:t>
      </w:r>
    </w:p>
    <w:p w14:paraId="69C137EE" w14:textId="77777777" w:rsidR="00D13164" w:rsidRDefault="00000000">
      <w:pPr>
        <w:pStyle w:val="12"/>
        <w:widowControl/>
        <w:shd w:val="clear" w:color="070000" w:fill="FFFFFF"/>
        <w:spacing w:beforeAutospacing="0" w:afterAutospacing="0" w:line="450" w:lineRule="exact"/>
        <w:ind w:firstLineChars="175" w:firstLine="560"/>
        <w:jc w:val="both"/>
        <w:outlineLvl w:val="2"/>
        <w:rPr>
          <w:rFonts w:ascii="仿宋" w:eastAsia="仿宋" w:hAnsi="仿宋"/>
          <w:bCs/>
          <w:sz w:val="32"/>
          <w:szCs w:val="32"/>
        </w:rPr>
      </w:pPr>
      <w:bookmarkStart w:id="39" w:name="_Toc21516"/>
      <w:r>
        <w:rPr>
          <w:rFonts w:ascii="仿宋" w:eastAsia="仿宋" w:hAnsi="仿宋" w:hint="eastAsia"/>
          <w:bCs/>
          <w:sz w:val="32"/>
          <w:szCs w:val="32"/>
        </w:rPr>
        <w:t>8.机关事务服务中心</w:t>
      </w:r>
      <w:bookmarkEnd w:id="39"/>
    </w:p>
    <w:p w14:paraId="348B9C13" w14:textId="77777777" w:rsidR="00D13164" w:rsidRDefault="00000000">
      <w:pPr>
        <w:pStyle w:val="12"/>
        <w:widowControl/>
        <w:shd w:val="clear" w:color="070000" w:fill="FFFFFF"/>
        <w:spacing w:beforeAutospacing="0" w:afterAutospacing="0" w:line="450" w:lineRule="exact"/>
        <w:ind w:firstLineChars="200" w:firstLine="560"/>
        <w:jc w:val="both"/>
        <w:rPr>
          <w:rFonts w:ascii="仿宋" w:eastAsia="仿宋" w:hAnsi="仿宋"/>
          <w:color w:val="000000"/>
          <w:sz w:val="32"/>
          <w:szCs w:val="32"/>
        </w:rPr>
      </w:pPr>
      <w:r>
        <w:rPr>
          <w:rFonts w:ascii="仿宋_GB2312" w:eastAsia="仿宋_GB2312" w:cs="仿宋_GB2312" w:hint="eastAsia"/>
          <w:sz w:val="28"/>
          <w:szCs w:val="28"/>
        </w:rPr>
        <w:t>负责县直机关事务的管理、保障、服务工作；负责县直行政事业单位国有资产管理工作；负责拟定全县党政机关和事业单位公务车辆</w:t>
      </w:r>
      <w:r>
        <w:rPr>
          <w:rFonts w:ascii="仿宋_GB2312" w:eastAsia="仿宋_GB2312" w:cs="仿宋_GB2312" w:hint="eastAsia"/>
          <w:sz w:val="28"/>
          <w:szCs w:val="28"/>
        </w:rPr>
        <w:lastRenderedPageBreak/>
        <w:t>管理办法并组织实施；负责县直行政事业单位办公用房管理等工作；负责全县公共机构节能等工作；负责县直机关办公区的安保、消防、绿化、卫生等工作；负责机关运行成本等工作。</w:t>
      </w:r>
    </w:p>
    <w:p w14:paraId="6AEF4CFB" w14:textId="77777777" w:rsidR="00D13164" w:rsidRDefault="00D13164">
      <w:pPr>
        <w:pStyle w:val="1"/>
        <w:ind w:right="440"/>
        <w:rPr>
          <w:rFonts w:ascii="黑体" w:eastAsia="黑体" w:hAnsi="黑体"/>
          <w:b w:val="0"/>
          <w:color w:val="000000"/>
        </w:rPr>
      </w:pPr>
      <w:bookmarkStart w:id="40" w:name="_Toc15396602"/>
      <w:bookmarkStart w:id="41" w:name="_Toc22614"/>
      <w:bookmarkStart w:id="42" w:name="_Toc79163609"/>
      <w:bookmarkStart w:id="43" w:name="_Toc15377204"/>
    </w:p>
    <w:p w14:paraId="79692F58" w14:textId="77777777" w:rsidR="00D13164" w:rsidRDefault="00D13164">
      <w:pPr>
        <w:rPr>
          <w:rFonts w:ascii="黑体" w:eastAsia="黑体" w:hAnsi="黑体"/>
          <w:color w:val="000000"/>
        </w:rPr>
      </w:pPr>
    </w:p>
    <w:p w14:paraId="534A2E0A" w14:textId="77777777" w:rsidR="00D13164" w:rsidRDefault="00D13164">
      <w:pPr>
        <w:pStyle w:val="a0"/>
        <w:ind w:left="820" w:hanging="400"/>
        <w:rPr>
          <w:rFonts w:ascii="黑体" w:eastAsia="黑体" w:hAnsi="黑体"/>
          <w:color w:val="000000"/>
        </w:rPr>
      </w:pPr>
    </w:p>
    <w:p w14:paraId="5FD52533" w14:textId="77777777" w:rsidR="00D13164" w:rsidRDefault="00D13164">
      <w:pPr>
        <w:rPr>
          <w:rFonts w:ascii="黑体" w:eastAsia="黑体" w:hAnsi="黑体"/>
          <w:color w:val="000000"/>
        </w:rPr>
      </w:pPr>
    </w:p>
    <w:p w14:paraId="0F010121" w14:textId="77777777" w:rsidR="00D13164" w:rsidRDefault="00D13164">
      <w:pPr>
        <w:pStyle w:val="a0"/>
        <w:ind w:left="820" w:hanging="400"/>
        <w:rPr>
          <w:rFonts w:ascii="黑体" w:eastAsia="黑体" w:hAnsi="黑体"/>
          <w:color w:val="000000"/>
        </w:rPr>
      </w:pPr>
    </w:p>
    <w:p w14:paraId="3494FC2C" w14:textId="77777777" w:rsidR="00D13164" w:rsidRDefault="00D13164">
      <w:pPr>
        <w:rPr>
          <w:rFonts w:ascii="黑体" w:eastAsia="黑体" w:hAnsi="黑体"/>
          <w:color w:val="000000"/>
        </w:rPr>
      </w:pPr>
    </w:p>
    <w:p w14:paraId="529AEBC4" w14:textId="77777777" w:rsidR="00D13164" w:rsidRDefault="00D13164">
      <w:pPr>
        <w:pStyle w:val="a0"/>
        <w:ind w:left="820" w:hanging="400"/>
        <w:rPr>
          <w:rFonts w:ascii="黑体" w:eastAsia="黑体" w:hAnsi="黑体"/>
          <w:color w:val="000000"/>
        </w:rPr>
      </w:pPr>
    </w:p>
    <w:p w14:paraId="1C53987F" w14:textId="77777777" w:rsidR="00D13164" w:rsidRDefault="00D13164">
      <w:pPr>
        <w:rPr>
          <w:rFonts w:ascii="黑体" w:eastAsia="黑体" w:hAnsi="黑体"/>
          <w:color w:val="000000"/>
        </w:rPr>
      </w:pPr>
    </w:p>
    <w:p w14:paraId="4E0DEEE4" w14:textId="77777777" w:rsidR="00D13164" w:rsidRDefault="00D13164">
      <w:pPr>
        <w:pStyle w:val="a0"/>
        <w:ind w:left="820" w:hanging="400"/>
        <w:rPr>
          <w:rFonts w:ascii="黑体" w:eastAsia="黑体" w:hAnsi="黑体"/>
          <w:color w:val="000000"/>
        </w:rPr>
      </w:pPr>
    </w:p>
    <w:p w14:paraId="079287DC" w14:textId="77777777" w:rsidR="00D13164" w:rsidRDefault="00D13164">
      <w:pPr>
        <w:rPr>
          <w:rFonts w:ascii="黑体" w:eastAsia="黑体" w:hAnsi="黑体"/>
          <w:color w:val="000000"/>
        </w:rPr>
      </w:pPr>
    </w:p>
    <w:p w14:paraId="1B72AD09" w14:textId="77777777" w:rsidR="00D13164" w:rsidRDefault="00D13164">
      <w:pPr>
        <w:pStyle w:val="a0"/>
        <w:ind w:left="820" w:hanging="400"/>
        <w:rPr>
          <w:rFonts w:ascii="黑体" w:eastAsia="黑体" w:hAnsi="黑体"/>
          <w:color w:val="000000"/>
        </w:rPr>
      </w:pPr>
    </w:p>
    <w:p w14:paraId="1964E8E5" w14:textId="77777777" w:rsidR="00D13164" w:rsidRDefault="00D13164">
      <w:pPr>
        <w:rPr>
          <w:rFonts w:ascii="黑体" w:eastAsia="黑体" w:hAnsi="黑体"/>
          <w:color w:val="000000"/>
        </w:rPr>
      </w:pPr>
    </w:p>
    <w:p w14:paraId="4F475CA0" w14:textId="77777777" w:rsidR="00D13164" w:rsidRDefault="00D13164">
      <w:pPr>
        <w:pStyle w:val="a0"/>
        <w:ind w:left="820" w:hanging="400"/>
        <w:rPr>
          <w:rFonts w:ascii="黑体" w:eastAsia="黑体" w:hAnsi="黑体"/>
          <w:color w:val="000000"/>
        </w:rPr>
      </w:pPr>
    </w:p>
    <w:p w14:paraId="7FB9523E" w14:textId="77777777" w:rsidR="00D13164" w:rsidRDefault="00D13164">
      <w:pPr>
        <w:rPr>
          <w:rFonts w:ascii="黑体" w:eastAsia="黑体" w:hAnsi="黑体"/>
          <w:color w:val="000000"/>
        </w:rPr>
      </w:pPr>
    </w:p>
    <w:p w14:paraId="039518DA" w14:textId="77777777" w:rsidR="00D13164" w:rsidRDefault="00D13164">
      <w:pPr>
        <w:pStyle w:val="a0"/>
        <w:ind w:left="820" w:hanging="400"/>
        <w:rPr>
          <w:rFonts w:ascii="黑体" w:eastAsia="黑体" w:hAnsi="黑体"/>
          <w:color w:val="000000"/>
        </w:rPr>
      </w:pPr>
    </w:p>
    <w:p w14:paraId="09E70E48" w14:textId="77777777" w:rsidR="00D13164" w:rsidRDefault="00D13164">
      <w:pPr>
        <w:rPr>
          <w:rFonts w:ascii="黑体" w:eastAsia="黑体" w:hAnsi="黑体"/>
          <w:color w:val="000000"/>
        </w:rPr>
      </w:pPr>
    </w:p>
    <w:p w14:paraId="001BA4A5" w14:textId="77777777" w:rsidR="00D13164" w:rsidRDefault="00D13164">
      <w:pPr>
        <w:pStyle w:val="a0"/>
        <w:ind w:left="820" w:hanging="400"/>
      </w:pPr>
    </w:p>
    <w:p w14:paraId="3F88022B" w14:textId="77777777" w:rsidR="00D13164" w:rsidRDefault="00000000">
      <w:pPr>
        <w:pStyle w:val="1"/>
        <w:ind w:right="440"/>
        <w:jc w:val="right"/>
      </w:pPr>
      <w:r>
        <w:rPr>
          <w:rFonts w:ascii="黑体" w:eastAsia="黑体" w:hAnsi="黑体" w:hint="eastAsia"/>
          <w:b w:val="0"/>
          <w:color w:val="000000"/>
        </w:rPr>
        <w:lastRenderedPageBreak/>
        <w:t>第二部分</w:t>
      </w:r>
      <w:r>
        <w:rPr>
          <w:rFonts w:ascii="黑体" w:eastAsia="黑体" w:hAnsi="黑体"/>
          <w:color w:val="000000"/>
        </w:rPr>
        <w:t xml:space="preserve"> </w:t>
      </w:r>
      <w:r>
        <w:rPr>
          <w:rStyle w:val="10"/>
          <w:rFonts w:ascii="黑体" w:eastAsia="黑体" w:hAnsi="黑体"/>
        </w:rPr>
        <w:t>202</w:t>
      </w:r>
      <w:r>
        <w:rPr>
          <w:rStyle w:val="10"/>
          <w:rFonts w:ascii="黑体" w:eastAsia="黑体" w:hAnsi="黑体" w:hint="eastAsia"/>
        </w:rPr>
        <w:t>1年度部门决算情况说明</w:t>
      </w:r>
      <w:bookmarkEnd w:id="40"/>
      <w:bookmarkEnd w:id="41"/>
      <w:bookmarkEnd w:id="42"/>
      <w:bookmarkEnd w:id="43"/>
    </w:p>
    <w:p w14:paraId="5FC7F640" w14:textId="77777777" w:rsidR="00D13164" w:rsidRDefault="00000000">
      <w:pPr>
        <w:pStyle w:val="11"/>
        <w:numPr>
          <w:ilvl w:val="0"/>
          <w:numId w:val="3"/>
        </w:numPr>
        <w:spacing w:line="600" w:lineRule="exact"/>
        <w:ind w:firstLineChars="0"/>
        <w:outlineLvl w:val="1"/>
        <w:rPr>
          <w:rStyle w:val="20"/>
          <w:rFonts w:ascii="黑体" w:eastAsia="黑体" w:hAnsi="黑体"/>
          <w:b w:val="0"/>
        </w:rPr>
      </w:pPr>
      <w:bookmarkStart w:id="44" w:name="_Toc79163610"/>
      <w:bookmarkStart w:id="45" w:name="_Toc15377205"/>
      <w:bookmarkStart w:id="46" w:name="_Toc18803"/>
      <w:bookmarkStart w:id="47" w:name="_Toc15396603"/>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44"/>
      <w:bookmarkEnd w:id="45"/>
      <w:bookmarkEnd w:id="46"/>
      <w:bookmarkEnd w:id="47"/>
    </w:p>
    <w:p w14:paraId="153EDA2E" w14:textId="77777777" w:rsidR="00D13164" w:rsidRDefault="00000000">
      <w:pPr>
        <w:spacing w:line="600" w:lineRule="exact"/>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rPr>
        <w:t>松潘县人民政府办公室2021年度财政拨款收入总决算2446.65万元,与2020年相比，财政拨款收入增加295.19万元,增长13.72%，增加的主要原因一是新调入事业人员3人，年终绩效奖金增加，人员经费增加；二是完成基建项目一个，总投资93.66万元；三是完成党员活动室改造等。本年支出总决算数2477.22万元。支出增加248.8万元，增长9.79%，增长的主要原因是一是新调入事业人员3人，年终绩效奖金增加，人员经费增加；二是完成基建项目一个，总投资93.66万元；三是完成党员活动室改造等。</w:t>
      </w:r>
    </w:p>
    <w:p w14:paraId="2744E3E4" w14:textId="77777777" w:rsidR="00D13164" w:rsidRDefault="00000000">
      <w:pPr>
        <w:spacing w:line="600" w:lineRule="exact"/>
        <w:ind w:firstLineChars="200" w:firstLine="600"/>
        <w:jc w:val="center"/>
        <w:rPr>
          <w:rFonts w:ascii="仿宋" w:eastAsia="仿宋" w:hAnsi="仿宋"/>
          <w:color w:val="000000"/>
          <w:sz w:val="30"/>
          <w:szCs w:val="30"/>
          <w:highlight w:val="yellow"/>
        </w:rPr>
      </w:pPr>
      <w:r>
        <w:rPr>
          <w:rFonts w:ascii="仿宋_GB2312" w:eastAsia="仿宋_GB2312"/>
          <w:noProof/>
          <w:color w:val="000000"/>
          <w:sz w:val="30"/>
          <w:szCs w:val="30"/>
        </w:rPr>
        <w:drawing>
          <wp:anchor distT="0" distB="0" distL="114300" distR="114300" simplePos="0" relativeHeight="251659264" behindDoc="0" locked="0" layoutInCell="1" allowOverlap="1" wp14:anchorId="735CFE08" wp14:editId="518A7BEB">
            <wp:simplePos x="0" y="0"/>
            <wp:positionH relativeFrom="column">
              <wp:posOffset>156845</wp:posOffset>
            </wp:positionH>
            <wp:positionV relativeFrom="page">
              <wp:posOffset>5477510</wp:posOffset>
            </wp:positionV>
            <wp:extent cx="5245735" cy="1912620"/>
            <wp:effectExtent l="4445" t="4445" r="7620" b="64135"/>
            <wp:wrapSquare wrapText="bothSides"/>
            <wp:docPr id="5" name="图表 5" descr="7b0a202020202263686172745265734964223a202232303437313337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eastAsia="仿宋" w:hAnsi="仿宋" w:hint="eastAsia"/>
          <w:color w:val="000000"/>
          <w:sz w:val="30"/>
          <w:szCs w:val="30"/>
        </w:rPr>
        <w:t>图</w:t>
      </w:r>
      <w:r>
        <w:rPr>
          <w:rFonts w:ascii="仿宋" w:eastAsia="仿宋" w:hAnsi="仿宋"/>
          <w:color w:val="000000"/>
          <w:sz w:val="30"/>
          <w:szCs w:val="30"/>
        </w:rPr>
        <w:t>1</w:t>
      </w:r>
      <w:r>
        <w:rPr>
          <w:rFonts w:ascii="仿宋" w:eastAsia="仿宋" w:hAnsi="仿宋" w:hint="eastAsia"/>
          <w:color w:val="000000"/>
          <w:sz w:val="30"/>
          <w:szCs w:val="30"/>
        </w:rPr>
        <w:t>：收、支决算总计变动情况图</w:t>
      </w:r>
    </w:p>
    <w:p w14:paraId="18E758C1" w14:textId="77777777" w:rsidR="00D13164" w:rsidRDefault="00000000">
      <w:pPr>
        <w:pStyle w:val="11"/>
        <w:numPr>
          <w:ilvl w:val="0"/>
          <w:numId w:val="3"/>
        </w:numPr>
        <w:spacing w:line="600" w:lineRule="exact"/>
        <w:ind w:firstLineChars="0"/>
        <w:outlineLvl w:val="1"/>
        <w:rPr>
          <w:rStyle w:val="20"/>
          <w:rFonts w:ascii="黑体" w:eastAsia="黑体" w:hAnsi="黑体"/>
          <w:b w:val="0"/>
        </w:rPr>
      </w:pPr>
      <w:bookmarkStart w:id="48" w:name="_Toc15396604"/>
      <w:bookmarkStart w:id="49" w:name="_Toc79163611"/>
      <w:bookmarkStart w:id="50" w:name="_Toc8925"/>
      <w:bookmarkStart w:id="51" w:name="_Toc15377206"/>
      <w:r>
        <w:rPr>
          <w:rFonts w:ascii="黑体" w:eastAsia="黑体" w:hAnsi="黑体" w:hint="eastAsia"/>
          <w:color w:val="000000"/>
          <w:sz w:val="32"/>
          <w:szCs w:val="32"/>
        </w:rPr>
        <w:t>收</w:t>
      </w:r>
      <w:r>
        <w:rPr>
          <w:rStyle w:val="20"/>
          <w:rFonts w:ascii="黑体" w:eastAsia="黑体" w:hAnsi="黑体" w:hint="eastAsia"/>
          <w:b w:val="0"/>
        </w:rPr>
        <w:t>入决算情况说明</w:t>
      </w:r>
      <w:bookmarkEnd w:id="48"/>
      <w:bookmarkEnd w:id="49"/>
      <w:bookmarkEnd w:id="50"/>
      <w:bookmarkEnd w:id="51"/>
    </w:p>
    <w:p w14:paraId="7E449D0E" w14:textId="77777777" w:rsidR="00D13164" w:rsidRDefault="00000000">
      <w:pPr>
        <w:spacing w:line="600" w:lineRule="exact"/>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rPr>
        <w:t>松潘县政府办2021年度一般公共预算财政拨款2446.65万元，占100%。</w:t>
      </w:r>
    </w:p>
    <w:p w14:paraId="294A2417" w14:textId="77777777" w:rsidR="00D13164" w:rsidRDefault="00000000">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0288" behindDoc="0" locked="0" layoutInCell="1" allowOverlap="1" wp14:anchorId="48C0C41B" wp14:editId="26302291">
            <wp:simplePos x="0" y="0"/>
            <wp:positionH relativeFrom="column">
              <wp:posOffset>174625</wp:posOffset>
            </wp:positionH>
            <wp:positionV relativeFrom="page">
              <wp:posOffset>988060</wp:posOffset>
            </wp:positionV>
            <wp:extent cx="4702175" cy="3190240"/>
            <wp:effectExtent l="0" t="0" r="0" b="10160"/>
            <wp:wrapSquare wrapText="bothSides"/>
            <wp:docPr id="6" name="图表 6" descr="7b0a202020202263686172745265734964223a202232303437343032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1C573F87" w14:textId="77777777" w:rsidR="00D13164" w:rsidRDefault="00D13164">
      <w:pPr>
        <w:spacing w:line="600" w:lineRule="exact"/>
        <w:ind w:firstLineChars="200" w:firstLine="640"/>
        <w:rPr>
          <w:rFonts w:ascii="仿宋" w:eastAsia="仿宋" w:hAnsi="仿宋"/>
          <w:color w:val="000000"/>
          <w:sz w:val="32"/>
          <w:szCs w:val="32"/>
        </w:rPr>
      </w:pPr>
    </w:p>
    <w:p w14:paraId="5A2CE839" w14:textId="77777777" w:rsidR="00D13164" w:rsidRDefault="00D13164">
      <w:pPr>
        <w:spacing w:line="600" w:lineRule="exact"/>
        <w:ind w:firstLineChars="200" w:firstLine="640"/>
        <w:rPr>
          <w:rFonts w:ascii="仿宋" w:eastAsia="仿宋" w:hAnsi="仿宋"/>
          <w:color w:val="000000"/>
          <w:sz w:val="32"/>
          <w:szCs w:val="32"/>
        </w:rPr>
      </w:pPr>
    </w:p>
    <w:p w14:paraId="07D5A5CE" w14:textId="77777777" w:rsidR="00D13164" w:rsidRDefault="00D13164">
      <w:pPr>
        <w:spacing w:line="600" w:lineRule="exact"/>
        <w:ind w:firstLineChars="200" w:firstLine="640"/>
        <w:rPr>
          <w:rFonts w:ascii="仿宋" w:eastAsia="仿宋" w:hAnsi="仿宋"/>
          <w:color w:val="000000"/>
          <w:sz w:val="32"/>
          <w:szCs w:val="32"/>
        </w:rPr>
      </w:pPr>
    </w:p>
    <w:p w14:paraId="2A46942C" w14:textId="77777777" w:rsidR="00D13164" w:rsidRDefault="00D13164">
      <w:pPr>
        <w:spacing w:line="600" w:lineRule="exact"/>
        <w:ind w:firstLineChars="200" w:firstLine="640"/>
        <w:rPr>
          <w:rFonts w:ascii="仿宋" w:eastAsia="仿宋" w:hAnsi="仿宋"/>
          <w:color w:val="000000"/>
          <w:sz w:val="32"/>
          <w:szCs w:val="32"/>
        </w:rPr>
      </w:pPr>
    </w:p>
    <w:p w14:paraId="70AF28A2" w14:textId="77777777" w:rsidR="00D13164" w:rsidRDefault="00D13164">
      <w:pPr>
        <w:spacing w:line="600" w:lineRule="exact"/>
        <w:ind w:firstLineChars="200" w:firstLine="640"/>
        <w:rPr>
          <w:rFonts w:ascii="仿宋" w:eastAsia="仿宋" w:hAnsi="仿宋"/>
          <w:color w:val="000000"/>
          <w:sz w:val="32"/>
          <w:szCs w:val="32"/>
        </w:rPr>
      </w:pPr>
    </w:p>
    <w:p w14:paraId="0AB6C817" w14:textId="77777777" w:rsidR="00D13164" w:rsidRDefault="00D13164">
      <w:pPr>
        <w:spacing w:line="600" w:lineRule="exact"/>
        <w:ind w:firstLineChars="200" w:firstLine="640"/>
        <w:rPr>
          <w:rFonts w:ascii="仿宋" w:eastAsia="仿宋" w:hAnsi="仿宋"/>
          <w:color w:val="000000"/>
          <w:sz w:val="32"/>
          <w:szCs w:val="32"/>
        </w:rPr>
      </w:pPr>
    </w:p>
    <w:p w14:paraId="2126C9F0" w14:textId="77777777" w:rsidR="00D13164" w:rsidRDefault="00D13164">
      <w:pPr>
        <w:spacing w:line="600" w:lineRule="exact"/>
        <w:ind w:firstLineChars="200" w:firstLine="640"/>
        <w:rPr>
          <w:rFonts w:ascii="仿宋" w:eastAsia="仿宋" w:hAnsi="仿宋"/>
          <w:color w:val="000000"/>
          <w:sz w:val="32"/>
          <w:szCs w:val="32"/>
        </w:rPr>
      </w:pPr>
    </w:p>
    <w:p w14:paraId="681DBCC6" w14:textId="77777777" w:rsidR="00D13164" w:rsidRDefault="00D13164">
      <w:pPr>
        <w:spacing w:line="600" w:lineRule="exact"/>
        <w:ind w:firstLineChars="200" w:firstLine="640"/>
        <w:rPr>
          <w:rFonts w:ascii="仿宋" w:eastAsia="仿宋" w:hAnsi="仿宋"/>
          <w:color w:val="000000"/>
          <w:sz w:val="32"/>
          <w:szCs w:val="32"/>
        </w:rPr>
      </w:pPr>
    </w:p>
    <w:p w14:paraId="57DFE7CC" w14:textId="77777777" w:rsidR="00D13164" w:rsidRDefault="00000000">
      <w:pPr>
        <w:spacing w:line="600" w:lineRule="exact"/>
        <w:ind w:firstLineChars="200" w:firstLine="640"/>
        <w:jc w:val="center"/>
        <w:rPr>
          <w:rFonts w:ascii="仿宋" w:eastAsia="仿宋" w:hAnsi="仿宋"/>
          <w:color w:val="000000"/>
          <w:sz w:val="32"/>
          <w:szCs w:val="32"/>
        </w:rPr>
      </w:pPr>
      <w:bookmarkStart w:id="52" w:name="_Toc15377207"/>
      <w:bookmarkStart w:id="53" w:name="_Toc79163612"/>
      <w:bookmarkStart w:id="54" w:name="_Toc15396605"/>
      <w:r>
        <w:rPr>
          <w:rFonts w:ascii="仿宋" w:eastAsia="仿宋" w:hAnsi="仿宋" w:hint="eastAsia"/>
          <w:color w:val="000000"/>
          <w:sz w:val="32"/>
          <w:szCs w:val="32"/>
        </w:rPr>
        <w:t>图2：收入决算结构图</w:t>
      </w:r>
    </w:p>
    <w:p w14:paraId="43CC5E37" w14:textId="77777777" w:rsidR="00D13164" w:rsidRDefault="00000000">
      <w:pPr>
        <w:pStyle w:val="11"/>
        <w:spacing w:line="600" w:lineRule="exact"/>
        <w:ind w:firstLine="640"/>
        <w:outlineLvl w:val="1"/>
        <w:rPr>
          <w:rStyle w:val="20"/>
          <w:rFonts w:ascii="黑体" w:eastAsia="黑体" w:hAnsi="黑体"/>
          <w:b w:val="0"/>
        </w:rPr>
      </w:pPr>
      <w:bookmarkStart w:id="55" w:name="_Toc23625"/>
      <w:r>
        <w:rPr>
          <w:rFonts w:ascii="黑体" w:eastAsia="黑体" w:hAnsi="黑体" w:hint="eastAsia"/>
          <w:color w:val="000000"/>
          <w:sz w:val="32"/>
          <w:szCs w:val="32"/>
        </w:rPr>
        <w:t>三、支</w:t>
      </w:r>
      <w:r>
        <w:rPr>
          <w:rStyle w:val="20"/>
          <w:rFonts w:ascii="黑体" w:eastAsia="黑体" w:hAnsi="黑体" w:hint="eastAsia"/>
          <w:b w:val="0"/>
        </w:rPr>
        <w:t>出决算情况说明</w:t>
      </w:r>
      <w:bookmarkEnd w:id="52"/>
      <w:bookmarkEnd w:id="53"/>
      <w:bookmarkEnd w:id="54"/>
      <w:bookmarkEnd w:id="55"/>
    </w:p>
    <w:p w14:paraId="12474D68" w14:textId="77777777" w:rsidR="00D13164" w:rsidRDefault="00000000">
      <w:pPr>
        <w:spacing w:line="600" w:lineRule="exact"/>
        <w:ind w:firstLineChars="200" w:firstLine="640"/>
        <w:jc w:val="center"/>
        <w:rPr>
          <w:rFonts w:ascii="仿宋_GB2312" w:eastAsia="仿宋_GB2312"/>
          <w:sz w:val="32"/>
          <w:szCs w:val="32"/>
        </w:rPr>
      </w:pPr>
      <w:r>
        <w:rPr>
          <w:rFonts w:ascii="仿宋_GB2312" w:eastAsia="仿宋_GB2312"/>
          <w:sz w:val="32"/>
          <w:szCs w:val="32"/>
        </w:rPr>
        <w:t>202</w:t>
      </w:r>
      <w:r>
        <w:rPr>
          <w:rFonts w:ascii="仿宋_GB2312" w:eastAsia="仿宋_GB2312" w:hint="eastAsia"/>
          <w:sz w:val="32"/>
          <w:szCs w:val="32"/>
        </w:rPr>
        <w:t>1年本年支出合计2477.22万元，其中：基本支出1848.08万元，占74.6</w:t>
      </w:r>
      <w:r>
        <w:rPr>
          <w:rFonts w:ascii="仿宋_GB2312" w:eastAsia="仿宋_GB2312"/>
          <w:sz w:val="32"/>
          <w:szCs w:val="32"/>
        </w:rPr>
        <w:t>%</w:t>
      </w:r>
      <w:r>
        <w:rPr>
          <w:rFonts w:ascii="仿宋_GB2312" w:eastAsia="仿宋_GB2312" w:hint="eastAsia"/>
          <w:sz w:val="32"/>
          <w:szCs w:val="32"/>
        </w:rPr>
        <w:t>；项目支出629.14万元，占25.4</w:t>
      </w:r>
      <w:r>
        <w:rPr>
          <w:rFonts w:ascii="仿宋_GB2312" w:eastAsia="仿宋_GB2312"/>
          <w:sz w:val="32"/>
          <w:szCs w:val="32"/>
        </w:rPr>
        <w:t>%</w:t>
      </w:r>
      <w:r>
        <w:rPr>
          <w:rFonts w:ascii="仿宋_GB2312" w:eastAsia="仿宋_GB2312" w:hint="eastAsia"/>
          <w:sz w:val="32"/>
          <w:szCs w:val="32"/>
        </w:rPr>
        <w:t>。</w:t>
      </w:r>
    </w:p>
    <w:p w14:paraId="5471580F" w14:textId="77777777" w:rsidR="00D13164" w:rsidRDefault="00000000">
      <w:pPr>
        <w:spacing w:line="600" w:lineRule="exact"/>
        <w:ind w:firstLineChars="200" w:firstLine="640"/>
        <w:jc w:val="center"/>
        <w:rPr>
          <w:rFonts w:ascii="仿宋_GB2312" w:eastAsia="仿宋_GB2312"/>
          <w:color w:val="FF0000"/>
          <w:sz w:val="32"/>
          <w:szCs w:val="32"/>
        </w:rPr>
      </w:pPr>
      <w:r>
        <w:rPr>
          <w:rFonts w:ascii="仿宋_GB2312" w:eastAsia="仿宋_GB2312" w:hint="eastAsia"/>
          <w:noProof/>
          <w:color w:val="FF0000"/>
          <w:sz w:val="32"/>
          <w:szCs w:val="32"/>
        </w:rPr>
        <w:drawing>
          <wp:anchor distT="0" distB="0" distL="114300" distR="114300" simplePos="0" relativeHeight="251661312" behindDoc="0" locked="0" layoutInCell="1" allowOverlap="1" wp14:anchorId="1FAAD797" wp14:editId="781D7732">
            <wp:simplePos x="0" y="0"/>
            <wp:positionH relativeFrom="column">
              <wp:posOffset>302260</wp:posOffset>
            </wp:positionH>
            <wp:positionV relativeFrom="page">
              <wp:posOffset>5986780</wp:posOffset>
            </wp:positionV>
            <wp:extent cx="4631690" cy="2564765"/>
            <wp:effectExtent l="0" t="0" r="0" b="6985"/>
            <wp:wrapTopAndBottom/>
            <wp:docPr id="7" name="图表 7" descr="7b0a202020202263686172745265734964223a202232303437343032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w:t>
      </w:r>
    </w:p>
    <w:p w14:paraId="1B4C2A04" w14:textId="77777777" w:rsidR="00D13164" w:rsidRDefault="00000000">
      <w:pPr>
        <w:spacing w:line="600" w:lineRule="exact"/>
        <w:ind w:firstLineChars="200" w:firstLine="640"/>
        <w:outlineLvl w:val="1"/>
        <w:rPr>
          <w:rStyle w:val="20"/>
          <w:rFonts w:ascii="黑体" w:eastAsia="黑体" w:hAnsi="黑体"/>
          <w:b w:val="0"/>
        </w:rPr>
      </w:pPr>
      <w:bookmarkStart w:id="56" w:name="_Toc15396606"/>
      <w:bookmarkStart w:id="57" w:name="_Toc15162"/>
      <w:bookmarkStart w:id="58" w:name="_Toc15377208"/>
      <w:bookmarkStart w:id="59" w:name="_Toc79163613"/>
      <w:r>
        <w:rPr>
          <w:rFonts w:ascii="黑体" w:eastAsia="黑体" w:hAnsi="黑体" w:hint="eastAsia"/>
          <w:color w:val="000000"/>
          <w:sz w:val="32"/>
          <w:szCs w:val="32"/>
        </w:rPr>
        <w:t>四、财</w:t>
      </w:r>
      <w:r>
        <w:rPr>
          <w:rStyle w:val="20"/>
          <w:rFonts w:ascii="黑体" w:eastAsia="黑体" w:hAnsi="黑体" w:hint="eastAsia"/>
          <w:b w:val="0"/>
        </w:rPr>
        <w:t>政拨款收入支出决算总体情况说明</w:t>
      </w:r>
      <w:bookmarkEnd w:id="56"/>
      <w:bookmarkEnd w:id="57"/>
      <w:bookmarkEnd w:id="58"/>
      <w:bookmarkEnd w:id="59"/>
    </w:p>
    <w:p w14:paraId="53F4AAE0" w14:textId="77777777" w:rsidR="00D13164" w:rsidRDefault="00000000">
      <w:pPr>
        <w:spacing w:line="600" w:lineRule="exact"/>
        <w:ind w:firstLineChars="200" w:firstLine="640"/>
      </w:pPr>
      <w:r>
        <w:rPr>
          <w:rFonts w:ascii="仿宋" w:eastAsia="仿宋" w:hAnsi="仿宋" w:hint="eastAsia"/>
          <w:color w:val="000000"/>
          <w:sz w:val="32"/>
          <w:szCs w:val="32"/>
        </w:rPr>
        <w:t>2021年财政拨款收入总决算2446.65万元,与2020年相</w:t>
      </w:r>
      <w:r>
        <w:rPr>
          <w:rFonts w:ascii="仿宋" w:eastAsia="仿宋" w:hAnsi="仿宋" w:hint="eastAsia"/>
          <w:color w:val="000000"/>
          <w:sz w:val="32"/>
          <w:szCs w:val="32"/>
        </w:rPr>
        <w:lastRenderedPageBreak/>
        <w:t>比，财政拨款收入增加295.19万元,增长13.72%，增加的主要原因一是新调入事业人员3人，年终绩效奖金增加，人员经费增加；二是完成基建项目一个，总投资93.66万元；三是完成党员活动室改造等。本年支出总决算数2477.22万元。支出增加248.8万元，增长9.79%，增长的主要原因是一是新调入事业人员3人，年终绩效奖金增加，人员经费增加；二是完成基建项目一个，总投资93.66万元；三是完成党员活动室改造等。</w:t>
      </w:r>
    </w:p>
    <w:p w14:paraId="6C4C41E4" w14:textId="77777777" w:rsidR="00D13164" w:rsidRDefault="00000000">
      <w:pPr>
        <w:spacing w:line="600" w:lineRule="exact"/>
        <w:jc w:val="center"/>
        <w:rPr>
          <w:rFonts w:ascii="仿宋" w:eastAsia="仿宋" w:hAnsi="仿宋"/>
          <w:b/>
          <w:color w:val="00B050"/>
          <w:sz w:val="32"/>
          <w:szCs w:val="32"/>
        </w:rPr>
      </w:pPr>
      <w:r>
        <w:rPr>
          <w:rFonts w:ascii="仿宋_GB2312" w:eastAsia="仿宋_GB2312"/>
          <w:noProof/>
          <w:color w:val="000000"/>
          <w:sz w:val="32"/>
          <w:szCs w:val="32"/>
        </w:rPr>
        <w:drawing>
          <wp:anchor distT="0" distB="0" distL="114300" distR="114300" simplePos="0" relativeHeight="251662336" behindDoc="0" locked="0" layoutInCell="1" allowOverlap="1" wp14:anchorId="1D72B3F9" wp14:editId="546F2635">
            <wp:simplePos x="0" y="0"/>
            <wp:positionH relativeFrom="column">
              <wp:posOffset>53340</wp:posOffset>
            </wp:positionH>
            <wp:positionV relativeFrom="page">
              <wp:posOffset>4064635</wp:posOffset>
            </wp:positionV>
            <wp:extent cx="5316855" cy="1548130"/>
            <wp:effectExtent l="4445" t="4445" r="12700" b="47625"/>
            <wp:wrapTopAndBottom/>
            <wp:docPr id="8" name="图表 8" descr="7b0a202020202263686172745265734964223a202232303437313337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p>
    <w:p w14:paraId="4488C4F5" w14:textId="77777777" w:rsidR="00D13164" w:rsidRDefault="00000000">
      <w:pPr>
        <w:spacing w:line="600" w:lineRule="exact"/>
        <w:ind w:firstLineChars="200" w:firstLine="640"/>
        <w:outlineLvl w:val="1"/>
        <w:rPr>
          <w:rStyle w:val="20"/>
          <w:rFonts w:ascii="黑体" w:eastAsia="黑体" w:hAnsi="黑体"/>
          <w:b w:val="0"/>
        </w:rPr>
      </w:pPr>
      <w:bookmarkStart w:id="60" w:name="_Toc15377209"/>
      <w:bookmarkStart w:id="61" w:name="_Toc79163614"/>
      <w:bookmarkStart w:id="62" w:name="_Toc15396607"/>
      <w:bookmarkStart w:id="63" w:name="_Toc10298"/>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60"/>
      <w:bookmarkEnd w:id="61"/>
      <w:bookmarkEnd w:id="62"/>
      <w:bookmarkEnd w:id="63"/>
    </w:p>
    <w:p w14:paraId="4DF8D208" w14:textId="77777777" w:rsidR="00D13164" w:rsidRDefault="00000000">
      <w:pPr>
        <w:spacing w:line="600" w:lineRule="exact"/>
        <w:ind w:firstLineChars="200" w:firstLine="643"/>
        <w:outlineLvl w:val="2"/>
        <w:rPr>
          <w:rFonts w:ascii="仿宋" w:eastAsia="仿宋" w:hAnsi="仿宋"/>
          <w:b/>
          <w:color w:val="000000"/>
          <w:sz w:val="32"/>
          <w:szCs w:val="32"/>
        </w:rPr>
      </w:pPr>
      <w:bookmarkStart w:id="64" w:name="_Toc15377210"/>
      <w:bookmarkStart w:id="65" w:name="_Toc367"/>
      <w:bookmarkStart w:id="66" w:name="_Toc79163615"/>
      <w:r>
        <w:rPr>
          <w:rFonts w:ascii="仿宋" w:eastAsia="仿宋" w:hAnsi="仿宋" w:hint="eastAsia"/>
          <w:b/>
          <w:color w:val="000000"/>
          <w:sz w:val="32"/>
          <w:szCs w:val="32"/>
        </w:rPr>
        <w:t>（一）一般公共预算财政拨款支出决算总体情况</w:t>
      </w:r>
      <w:bookmarkEnd w:id="64"/>
      <w:bookmarkEnd w:id="65"/>
      <w:bookmarkEnd w:id="66"/>
    </w:p>
    <w:p w14:paraId="5D9E4D61" w14:textId="77777777" w:rsidR="00D13164"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2021年度一般公共预算财政拨款支出2477.22万元，占本年支出合计的100%。与2020年相比，一般公共预算财政拨款增加248.8万元,增长9.79%，增长的主要原因是一是新调入事业人员3人，年终绩效奖金增加，人员经费增加；二是完成基建项目一个，总投资93.66万元；三是完成党员活动室改造等。</w:t>
      </w:r>
    </w:p>
    <w:p w14:paraId="1D0B5F3A" w14:textId="77777777" w:rsidR="00D13164" w:rsidRDefault="00000000">
      <w:pPr>
        <w:spacing w:line="600" w:lineRule="exact"/>
        <w:jc w:val="center"/>
        <w:rPr>
          <w:rFonts w:ascii="仿宋" w:eastAsia="仿宋" w:hAnsi="仿宋"/>
          <w:color w:val="000000"/>
          <w:sz w:val="32"/>
          <w:szCs w:val="32"/>
        </w:rPr>
      </w:pPr>
      <w:r>
        <w:rPr>
          <w:rFonts w:ascii="仿宋_GB2312" w:eastAsia="仿宋_GB2312"/>
          <w:noProof/>
          <w:color w:val="000000"/>
          <w:sz w:val="32"/>
          <w:szCs w:val="32"/>
        </w:rPr>
        <w:lastRenderedPageBreak/>
        <w:drawing>
          <wp:anchor distT="0" distB="0" distL="114300" distR="114300" simplePos="0" relativeHeight="251663360" behindDoc="0" locked="0" layoutInCell="1" allowOverlap="1" wp14:anchorId="4719956C" wp14:editId="3B8625BA">
            <wp:simplePos x="0" y="0"/>
            <wp:positionH relativeFrom="column">
              <wp:posOffset>155575</wp:posOffset>
            </wp:positionH>
            <wp:positionV relativeFrom="page">
              <wp:posOffset>989330</wp:posOffset>
            </wp:positionV>
            <wp:extent cx="5316855" cy="1548130"/>
            <wp:effectExtent l="4445" t="4445" r="12700" b="47625"/>
            <wp:wrapTopAndBottom/>
            <wp:docPr id="1" name="图表 1" descr="7b0a202020202263686172745265734964223a202232303437313337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14:paraId="5850F781" w14:textId="77777777" w:rsidR="00D13164" w:rsidRDefault="00000000">
      <w:pPr>
        <w:spacing w:line="600" w:lineRule="exact"/>
        <w:ind w:firstLineChars="200" w:firstLine="643"/>
        <w:outlineLvl w:val="2"/>
        <w:rPr>
          <w:rFonts w:ascii="仿宋" w:eastAsia="仿宋" w:hAnsi="仿宋"/>
          <w:b/>
          <w:color w:val="000000"/>
          <w:sz w:val="32"/>
          <w:szCs w:val="32"/>
        </w:rPr>
      </w:pPr>
      <w:bookmarkStart w:id="67" w:name="_Toc7203"/>
      <w:bookmarkStart w:id="68" w:name="_Toc15377211"/>
      <w:bookmarkStart w:id="69" w:name="_Toc79163616"/>
      <w:r>
        <w:rPr>
          <w:rFonts w:ascii="仿宋" w:eastAsia="仿宋" w:hAnsi="仿宋" w:hint="eastAsia"/>
          <w:b/>
          <w:color w:val="000000"/>
          <w:sz w:val="32"/>
          <w:szCs w:val="32"/>
        </w:rPr>
        <w:t>（二）一般公共预算财政拨款支出决算结构情况</w:t>
      </w:r>
      <w:bookmarkEnd w:id="67"/>
      <w:bookmarkEnd w:id="68"/>
      <w:bookmarkEnd w:id="69"/>
    </w:p>
    <w:p w14:paraId="3533FBFC" w14:textId="77777777" w:rsidR="00D13164" w:rsidRDefault="00000000">
      <w:pPr>
        <w:spacing w:line="600" w:lineRule="exact"/>
        <w:ind w:firstLine="640"/>
      </w:pPr>
      <w:r>
        <w:rPr>
          <w:rFonts w:ascii="仿宋" w:eastAsia="仿宋" w:hAnsi="仿宋" w:hint="eastAsia"/>
          <w:color w:val="000000"/>
          <w:sz w:val="32"/>
          <w:szCs w:val="32"/>
        </w:rPr>
        <w:t>2021年一般公共预算财政拨款支出2477.22万元，主要用于以下方面:</w:t>
      </w:r>
      <w:r>
        <w:rPr>
          <w:rFonts w:ascii="仿宋" w:eastAsia="仿宋" w:hAnsi="仿宋" w:hint="eastAsia"/>
          <w:b/>
          <w:color w:val="000000"/>
          <w:sz w:val="32"/>
          <w:szCs w:val="32"/>
        </w:rPr>
        <w:t>一般公共服务（类）</w:t>
      </w:r>
      <w:r>
        <w:rPr>
          <w:rFonts w:ascii="仿宋" w:eastAsia="仿宋" w:hAnsi="仿宋" w:hint="eastAsia"/>
          <w:color w:val="000000"/>
          <w:sz w:val="32"/>
          <w:szCs w:val="32"/>
        </w:rPr>
        <w:t>支出2145.57万元，占86.62%；</w:t>
      </w:r>
      <w:r>
        <w:rPr>
          <w:rFonts w:ascii="仿宋" w:eastAsia="仿宋" w:hAnsi="仿宋" w:hint="eastAsia"/>
          <w:b/>
          <w:color w:val="000000"/>
          <w:sz w:val="32"/>
          <w:szCs w:val="32"/>
        </w:rPr>
        <w:t>国防</w:t>
      </w:r>
      <w:r>
        <w:rPr>
          <w:rFonts w:ascii="仿宋" w:eastAsia="仿宋" w:hAnsi="仿宋" w:hint="eastAsia"/>
          <w:bCs/>
          <w:color w:val="000000"/>
          <w:sz w:val="32"/>
          <w:szCs w:val="32"/>
        </w:rPr>
        <w:t>支出</w:t>
      </w:r>
      <w:r>
        <w:rPr>
          <w:rFonts w:ascii="仿宋" w:eastAsia="仿宋" w:hAnsi="仿宋" w:hint="eastAsia"/>
          <w:color w:val="000000"/>
          <w:sz w:val="32"/>
          <w:szCs w:val="32"/>
        </w:rPr>
        <w:t>85.57万元，占3.45%；</w:t>
      </w:r>
      <w:r>
        <w:rPr>
          <w:rFonts w:ascii="仿宋" w:eastAsia="仿宋" w:hAnsi="仿宋" w:hint="eastAsia"/>
          <w:b/>
          <w:color w:val="000000"/>
          <w:sz w:val="32"/>
          <w:szCs w:val="32"/>
        </w:rPr>
        <w:t>社会保障和就业</w:t>
      </w:r>
      <w:r>
        <w:rPr>
          <w:rFonts w:ascii="仿宋" w:eastAsia="仿宋" w:hAnsi="仿宋" w:hint="eastAsia"/>
          <w:color w:val="000000"/>
          <w:sz w:val="32"/>
          <w:szCs w:val="32"/>
        </w:rPr>
        <w:t>支出129.36万元，占5.22%；</w:t>
      </w:r>
      <w:r>
        <w:rPr>
          <w:rFonts w:ascii="仿宋" w:eastAsia="仿宋" w:hAnsi="仿宋" w:hint="eastAsia"/>
          <w:b/>
          <w:color w:val="000000"/>
          <w:sz w:val="32"/>
          <w:szCs w:val="32"/>
        </w:rPr>
        <w:t>卫生健康</w:t>
      </w:r>
      <w:r>
        <w:rPr>
          <w:rFonts w:ascii="仿宋" w:eastAsia="仿宋" w:hAnsi="仿宋" w:hint="eastAsia"/>
          <w:color w:val="000000"/>
          <w:sz w:val="32"/>
          <w:szCs w:val="32"/>
        </w:rPr>
        <w:t>支出43.62万元，占1.76%；</w:t>
      </w:r>
      <w:r>
        <w:rPr>
          <w:rFonts w:ascii="仿宋" w:eastAsia="仿宋" w:hAnsi="仿宋" w:hint="eastAsia"/>
          <w:b/>
          <w:bCs/>
          <w:color w:val="000000"/>
          <w:sz w:val="32"/>
          <w:szCs w:val="32"/>
        </w:rPr>
        <w:t>住房保障</w:t>
      </w:r>
      <w:r>
        <w:rPr>
          <w:rFonts w:ascii="仿宋" w:eastAsia="仿宋" w:hAnsi="仿宋" w:hint="eastAsia"/>
          <w:color w:val="000000"/>
          <w:sz w:val="32"/>
          <w:szCs w:val="32"/>
        </w:rPr>
        <w:t>支出73.1万元，占2.95%。</w:t>
      </w:r>
      <w:r>
        <w:rPr>
          <w:rFonts w:ascii="仿宋_GB2312" w:eastAsia="仿宋_GB2312" w:hAnsi="仿宋_GB2312" w:cs="仿宋_GB2312" w:hint="eastAsia"/>
          <w:kern w:val="0"/>
          <w:sz w:val="28"/>
          <w:szCs w:val="28"/>
          <w:lang w:bidi="ar"/>
        </w:rPr>
        <w:t xml:space="preserve"> </w:t>
      </w:r>
    </w:p>
    <w:p w14:paraId="2656D082" w14:textId="77777777" w:rsidR="00D13164" w:rsidRDefault="00000000">
      <w:pPr>
        <w:spacing w:line="600" w:lineRule="exact"/>
        <w:jc w:val="center"/>
        <w:rPr>
          <w:rFonts w:ascii="仿宋" w:eastAsia="仿宋" w:hAnsi="仿宋"/>
          <w:color w:val="000000"/>
          <w:sz w:val="32"/>
          <w:szCs w:val="32"/>
          <w:highlight w:val="yellow"/>
        </w:rPr>
      </w:pPr>
      <w:r>
        <w:rPr>
          <w:rFonts w:ascii="仿宋_GB2312" w:eastAsia="仿宋_GB2312" w:hint="eastAsia"/>
          <w:noProof/>
          <w:color w:val="FF0000"/>
          <w:sz w:val="32"/>
          <w:szCs w:val="32"/>
        </w:rPr>
        <w:drawing>
          <wp:anchor distT="0" distB="0" distL="114300" distR="114300" simplePos="0" relativeHeight="251664384" behindDoc="0" locked="0" layoutInCell="1" allowOverlap="1" wp14:anchorId="24623414" wp14:editId="66749F22">
            <wp:simplePos x="0" y="0"/>
            <wp:positionH relativeFrom="column">
              <wp:posOffset>412750</wp:posOffset>
            </wp:positionH>
            <wp:positionV relativeFrom="page">
              <wp:posOffset>5402580</wp:posOffset>
            </wp:positionV>
            <wp:extent cx="4631690" cy="2564765"/>
            <wp:effectExtent l="0" t="0" r="0" b="6985"/>
            <wp:wrapTopAndBottom/>
            <wp:docPr id="2" name="图表 2" descr="7b0a202020202263686172745265734964223a202232303437343032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p>
    <w:p w14:paraId="6B89DC85" w14:textId="77777777" w:rsidR="00D13164" w:rsidRDefault="00000000">
      <w:pPr>
        <w:spacing w:line="600" w:lineRule="exact"/>
        <w:ind w:firstLineChars="200" w:firstLine="643"/>
        <w:outlineLvl w:val="2"/>
        <w:rPr>
          <w:rFonts w:ascii="仿宋" w:eastAsia="仿宋" w:hAnsi="仿宋"/>
          <w:b/>
          <w:color w:val="000000"/>
          <w:sz w:val="32"/>
          <w:szCs w:val="32"/>
        </w:rPr>
      </w:pPr>
      <w:bookmarkStart w:id="70" w:name="_Toc15377212"/>
      <w:bookmarkStart w:id="71" w:name="_Toc1092"/>
      <w:bookmarkStart w:id="72" w:name="_Toc79163617"/>
      <w:r>
        <w:rPr>
          <w:rFonts w:ascii="仿宋" w:eastAsia="仿宋" w:hAnsi="仿宋" w:hint="eastAsia"/>
          <w:b/>
          <w:color w:val="000000"/>
          <w:sz w:val="32"/>
          <w:szCs w:val="32"/>
        </w:rPr>
        <w:t>（三）一般公共预算财政拨款支出决算具体情况</w:t>
      </w:r>
      <w:bookmarkEnd w:id="70"/>
      <w:bookmarkEnd w:id="71"/>
      <w:bookmarkEnd w:id="72"/>
    </w:p>
    <w:p w14:paraId="22DDDD98" w14:textId="77777777" w:rsidR="00D13164" w:rsidRDefault="00000000">
      <w:pPr>
        <w:spacing w:line="600" w:lineRule="exact"/>
        <w:ind w:firstLineChars="200" w:firstLine="643"/>
        <w:rPr>
          <w:rFonts w:ascii="仿宋_GB2312" w:eastAsia="仿宋_GB2312"/>
          <w:b/>
          <w:bCs/>
          <w:sz w:val="32"/>
          <w:szCs w:val="32"/>
        </w:rPr>
      </w:pPr>
      <w:bookmarkStart w:id="73" w:name="_Toc15377213"/>
      <w:bookmarkStart w:id="74" w:name="_Toc15378460"/>
      <w:bookmarkStart w:id="75" w:name="_Toc15377444"/>
      <w:r>
        <w:rPr>
          <w:rFonts w:ascii="仿宋_GB2312" w:eastAsia="仿宋_GB2312"/>
          <w:b/>
          <w:bCs/>
          <w:sz w:val="32"/>
          <w:szCs w:val="32"/>
        </w:rPr>
        <w:t>202</w:t>
      </w:r>
      <w:r>
        <w:rPr>
          <w:rFonts w:ascii="仿宋_GB2312" w:eastAsia="仿宋_GB2312" w:hint="eastAsia"/>
          <w:b/>
          <w:bCs/>
          <w:sz w:val="32"/>
          <w:szCs w:val="32"/>
        </w:rPr>
        <w:t>1年一般公共预算支出决算数为2477.22万元，完成预算100</w:t>
      </w:r>
      <w:r>
        <w:rPr>
          <w:rFonts w:ascii="仿宋_GB2312" w:eastAsia="仿宋_GB2312"/>
          <w:b/>
          <w:bCs/>
          <w:sz w:val="32"/>
          <w:szCs w:val="32"/>
        </w:rPr>
        <w:t>%</w:t>
      </w:r>
      <w:r>
        <w:rPr>
          <w:rFonts w:ascii="仿宋_GB2312" w:eastAsia="仿宋_GB2312" w:hint="eastAsia"/>
          <w:b/>
          <w:bCs/>
          <w:sz w:val="32"/>
          <w:szCs w:val="32"/>
        </w:rPr>
        <w:t>。其中：</w:t>
      </w:r>
      <w:bookmarkEnd w:id="73"/>
      <w:bookmarkEnd w:id="74"/>
      <w:bookmarkEnd w:id="75"/>
    </w:p>
    <w:p w14:paraId="348ACCB0" w14:textId="77777777" w:rsidR="00D13164" w:rsidRDefault="00000000">
      <w:pPr>
        <w:snapToGrid w:val="0"/>
        <w:spacing w:line="576" w:lineRule="exact"/>
        <w:ind w:firstLineChars="200" w:firstLine="562"/>
        <w:rPr>
          <w:rFonts w:ascii="仿宋_GB2312" w:eastAsia="仿宋_GB2312" w:hAnsi="仿宋_GB2312" w:cs="仿宋_GB2312"/>
          <w:b/>
          <w:bCs/>
          <w:kern w:val="0"/>
          <w:sz w:val="28"/>
          <w:szCs w:val="28"/>
          <w:lang w:bidi="ar"/>
        </w:rPr>
      </w:pPr>
      <w:r>
        <w:rPr>
          <w:rFonts w:ascii="仿宋_GB2312" w:eastAsia="仿宋_GB2312" w:hAnsi="仿宋_GB2312" w:cs="仿宋_GB2312" w:hint="eastAsia"/>
          <w:b/>
          <w:bCs/>
          <w:kern w:val="0"/>
          <w:sz w:val="28"/>
          <w:szCs w:val="28"/>
          <w:lang w:bidi="ar"/>
        </w:rPr>
        <w:lastRenderedPageBreak/>
        <w:t>1.一般公共服务</w:t>
      </w:r>
    </w:p>
    <w:p w14:paraId="4BDB45D1" w14:textId="77777777" w:rsidR="00D13164" w:rsidRDefault="00000000">
      <w:pPr>
        <w:snapToGrid w:val="0"/>
        <w:spacing w:line="576" w:lineRule="exact"/>
        <w:ind w:firstLineChars="200" w:firstLine="562"/>
        <w:rPr>
          <w:rFonts w:ascii="仿宋_GB2312" w:eastAsia="仿宋_GB2312" w:hAnsi="仿宋_GB2312" w:cs="仿宋_GB2312"/>
          <w:kern w:val="0"/>
          <w:sz w:val="28"/>
          <w:szCs w:val="28"/>
          <w:lang w:bidi="ar"/>
        </w:rPr>
      </w:pPr>
      <w:r>
        <w:rPr>
          <w:rFonts w:ascii="仿宋_GB2312" w:eastAsia="仿宋_GB2312" w:hAnsi="仿宋_GB2312" w:cs="仿宋_GB2312" w:hint="eastAsia"/>
          <w:b/>
          <w:bCs/>
          <w:kern w:val="0"/>
          <w:sz w:val="28"/>
          <w:szCs w:val="28"/>
          <w:lang w:bidi="ar"/>
        </w:rPr>
        <w:t>2010301行政运行</w:t>
      </w:r>
      <w:r>
        <w:rPr>
          <w:rFonts w:ascii="仿宋_GB2312" w:eastAsia="仿宋_GB2312" w:hAnsi="仿宋_GB2312" w:cs="仿宋_GB2312" w:hint="eastAsia"/>
          <w:kern w:val="0"/>
          <w:sz w:val="28"/>
          <w:szCs w:val="28"/>
          <w:lang w:bidi="ar"/>
        </w:rPr>
        <w:t>2021年决算数为1602万元，完成预算100%；</w:t>
      </w:r>
      <w:r>
        <w:rPr>
          <w:rFonts w:ascii="仿宋_GB2312" w:eastAsia="仿宋_GB2312" w:hAnsi="仿宋_GB2312" w:cs="仿宋_GB2312" w:hint="eastAsia"/>
          <w:b/>
          <w:bCs/>
          <w:kern w:val="0"/>
          <w:sz w:val="28"/>
          <w:szCs w:val="28"/>
          <w:lang w:bidi="ar"/>
        </w:rPr>
        <w:t>2010302一般行政管理事务</w:t>
      </w:r>
      <w:r>
        <w:rPr>
          <w:rFonts w:ascii="仿宋_GB2312" w:eastAsia="仿宋_GB2312" w:hAnsi="仿宋_GB2312" w:cs="仿宋_GB2312" w:hint="eastAsia"/>
          <w:kern w:val="0"/>
          <w:sz w:val="28"/>
          <w:szCs w:val="28"/>
          <w:lang w:bidi="ar"/>
        </w:rPr>
        <w:t>2021年决算数为543.57万元，完成预算100%。</w:t>
      </w:r>
    </w:p>
    <w:p w14:paraId="36124083" w14:textId="77777777" w:rsidR="00D13164" w:rsidRDefault="00000000">
      <w:pPr>
        <w:snapToGrid w:val="0"/>
        <w:spacing w:line="576" w:lineRule="exact"/>
        <w:ind w:firstLineChars="200" w:firstLine="562"/>
        <w:rPr>
          <w:rFonts w:ascii="仿宋_GB2312" w:eastAsia="仿宋_GB2312" w:hAnsi="仿宋_GB2312" w:cs="仿宋_GB2312"/>
          <w:b/>
          <w:bCs/>
          <w:kern w:val="0"/>
          <w:sz w:val="28"/>
          <w:szCs w:val="28"/>
          <w:lang w:bidi="ar"/>
        </w:rPr>
      </w:pPr>
      <w:r>
        <w:rPr>
          <w:rFonts w:ascii="仿宋_GB2312" w:eastAsia="仿宋_GB2312" w:hAnsi="仿宋_GB2312" w:cs="仿宋_GB2312" w:hint="eastAsia"/>
          <w:b/>
          <w:bCs/>
          <w:kern w:val="0"/>
          <w:sz w:val="28"/>
          <w:szCs w:val="28"/>
          <w:lang w:bidi="ar"/>
        </w:rPr>
        <w:t>2.国防支出</w:t>
      </w:r>
    </w:p>
    <w:p w14:paraId="7541B668" w14:textId="77777777" w:rsidR="00D13164" w:rsidRDefault="00000000">
      <w:pPr>
        <w:snapToGrid w:val="0"/>
        <w:spacing w:line="576" w:lineRule="exact"/>
        <w:ind w:firstLineChars="200" w:firstLine="562"/>
        <w:rPr>
          <w:rFonts w:ascii="仿宋_GB2312" w:eastAsia="仿宋_GB2312" w:hAnsi="仿宋_GB2312" w:cs="仿宋_GB2312"/>
          <w:kern w:val="0"/>
          <w:sz w:val="28"/>
          <w:szCs w:val="28"/>
          <w:lang w:bidi="ar"/>
        </w:rPr>
      </w:pPr>
      <w:r>
        <w:rPr>
          <w:rFonts w:ascii="仿宋_GB2312" w:eastAsia="仿宋_GB2312" w:hAnsi="仿宋_GB2312" w:cs="仿宋_GB2312" w:hint="eastAsia"/>
          <w:b/>
          <w:bCs/>
          <w:kern w:val="0"/>
          <w:sz w:val="28"/>
          <w:szCs w:val="28"/>
          <w:lang w:bidi="ar"/>
        </w:rPr>
        <w:t>2030603人民防空</w:t>
      </w:r>
      <w:r>
        <w:rPr>
          <w:rFonts w:ascii="仿宋_GB2312" w:eastAsia="仿宋_GB2312" w:hAnsi="仿宋_GB2312" w:cs="仿宋_GB2312" w:hint="eastAsia"/>
          <w:kern w:val="0"/>
          <w:sz w:val="28"/>
          <w:szCs w:val="28"/>
          <w:lang w:bidi="ar"/>
        </w:rPr>
        <w:t>2021年决算数为85.57万元，完成预算100%。</w:t>
      </w:r>
    </w:p>
    <w:p w14:paraId="74FFA54B" w14:textId="77777777" w:rsidR="00D13164" w:rsidRDefault="00000000">
      <w:pPr>
        <w:snapToGrid w:val="0"/>
        <w:spacing w:line="576" w:lineRule="exact"/>
        <w:ind w:firstLineChars="200" w:firstLine="562"/>
        <w:rPr>
          <w:rFonts w:ascii="仿宋_GB2312" w:eastAsia="仿宋_GB2312" w:hAnsi="仿宋_GB2312" w:cs="仿宋_GB2312"/>
          <w:b/>
          <w:bCs/>
          <w:kern w:val="0"/>
          <w:sz w:val="28"/>
          <w:szCs w:val="28"/>
          <w:lang w:bidi="ar"/>
        </w:rPr>
      </w:pPr>
      <w:r>
        <w:rPr>
          <w:rFonts w:ascii="仿宋_GB2312" w:eastAsia="仿宋_GB2312" w:hAnsi="仿宋_GB2312" w:cs="仿宋_GB2312" w:hint="eastAsia"/>
          <w:b/>
          <w:bCs/>
          <w:kern w:val="0"/>
          <w:sz w:val="28"/>
          <w:szCs w:val="28"/>
          <w:lang w:bidi="ar"/>
        </w:rPr>
        <w:t>3.社会保障和就业</w:t>
      </w:r>
    </w:p>
    <w:p w14:paraId="0E7535A5" w14:textId="77777777" w:rsidR="00D13164" w:rsidRDefault="00000000">
      <w:pPr>
        <w:snapToGrid w:val="0"/>
        <w:spacing w:line="576" w:lineRule="exact"/>
        <w:ind w:firstLineChars="200" w:firstLine="562"/>
        <w:rPr>
          <w:rFonts w:ascii="仿宋_GB2312" w:eastAsia="仿宋_GB2312" w:hAnsi="仿宋_GB2312" w:cs="仿宋_GB2312"/>
          <w:kern w:val="0"/>
          <w:sz w:val="28"/>
          <w:szCs w:val="28"/>
          <w:lang w:bidi="ar"/>
        </w:rPr>
      </w:pPr>
      <w:r>
        <w:rPr>
          <w:rFonts w:ascii="仿宋_GB2312" w:eastAsia="仿宋_GB2312" w:hAnsi="仿宋_GB2312" w:cs="仿宋_GB2312" w:hint="eastAsia"/>
          <w:b/>
          <w:bCs/>
          <w:kern w:val="0"/>
          <w:sz w:val="28"/>
          <w:szCs w:val="28"/>
          <w:lang w:bidi="ar"/>
        </w:rPr>
        <w:t>2080505机关事业单位基本养老保险缴费支出</w:t>
      </w:r>
      <w:r>
        <w:rPr>
          <w:rFonts w:ascii="仿宋_GB2312" w:eastAsia="仿宋_GB2312" w:hAnsi="仿宋_GB2312" w:cs="仿宋_GB2312" w:hint="eastAsia"/>
          <w:kern w:val="0"/>
          <w:sz w:val="28"/>
          <w:szCs w:val="28"/>
          <w:lang w:bidi="ar"/>
        </w:rPr>
        <w:t>2021年决算数为70.48万元，完成预算100%；</w:t>
      </w:r>
      <w:r>
        <w:rPr>
          <w:rFonts w:ascii="仿宋_GB2312" w:eastAsia="仿宋_GB2312" w:hAnsi="仿宋_GB2312" w:cs="仿宋_GB2312" w:hint="eastAsia"/>
          <w:b/>
          <w:bCs/>
          <w:kern w:val="0"/>
          <w:sz w:val="28"/>
          <w:szCs w:val="28"/>
          <w:lang w:bidi="ar"/>
        </w:rPr>
        <w:t>2080506机关事业单位职业年金缴费支出</w:t>
      </w:r>
      <w:r>
        <w:rPr>
          <w:rFonts w:ascii="仿宋_GB2312" w:eastAsia="仿宋_GB2312" w:hAnsi="仿宋_GB2312" w:cs="仿宋_GB2312" w:hint="eastAsia"/>
          <w:kern w:val="0"/>
          <w:sz w:val="28"/>
          <w:szCs w:val="28"/>
          <w:lang w:bidi="ar"/>
        </w:rPr>
        <w:t>58.88万元，完成预算100%。</w:t>
      </w:r>
    </w:p>
    <w:p w14:paraId="4197B71C" w14:textId="77777777" w:rsidR="00D13164" w:rsidRDefault="00000000">
      <w:pPr>
        <w:snapToGrid w:val="0"/>
        <w:spacing w:line="576" w:lineRule="exact"/>
        <w:ind w:firstLineChars="200" w:firstLine="562"/>
        <w:rPr>
          <w:rFonts w:ascii="仿宋_GB2312" w:eastAsia="仿宋_GB2312" w:hAnsi="仿宋_GB2312" w:cs="仿宋_GB2312"/>
          <w:b/>
          <w:bCs/>
          <w:kern w:val="0"/>
          <w:sz w:val="28"/>
          <w:szCs w:val="28"/>
          <w:lang w:bidi="ar"/>
        </w:rPr>
      </w:pPr>
      <w:r>
        <w:rPr>
          <w:rFonts w:ascii="仿宋_GB2312" w:eastAsia="仿宋_GB2312" w:hAnsi="仿宋_GB2312" w:cs="仿宋_GB2312" w:hint="eastAsia"/>
          <w:b/>
          <w:bCs/>
          <w:kern w:val="0"/>
          <w:sz w:val="28"/>
          <w:szCs w:val="28"/>
          <w:lang w:bidi="ar"/>
        </w:rPr>
        <w:t xml:space="preserve">4.卫生健康 </w:t>
      </w:r>
    </w:p>
    <w:p w14:paraId="7458818A" w14:textId="77777777" w:rsidR="00D13164" w:rsidRDefault="00000000">
      <w:pPr>
        <w:snapToGrid w:val="0"/>
        <w:spacing w:line="576" w:lineRule="exact"/>
        <w:ind w:firstLineChars="200" w:firstLine="562"/>
        <w:rPr>
          <w:rFonts w:ascii="仿宋_GB2312" w:eastAsia="仿宋_GB2312" w:hAnsi="仿宋_GB2312" w:cs="仿宋_GB2312"/>
          <w:kern w:val="0"/>
          <w:sz w:val="28"/>
          <w:szCs w:val="28"/>
          <w:lang w:bidi="ar"/>
        </w:rPr>
      </w:pPr>
      <w:r>
        <w:rPr>
          <w:rFonts w:ascii="仿宋_GB2312" w:eastAsia="仿宋_GB2312" w:hAnsi="仿宋_GB2312" w:cs="仿宋_GB2312" w:hint="eastAsia"/>
          <w:b/>
          <w:bCs/>
          <w:kern w:val="0"/>
          <w:sz w:val="28"/>
          <w:szCs w:val="28"/>
          <w:lang w:bidi="ar"/>
        </w:rPr>
        <w:t>2101101行政单位医疗</w:t>
      </w:r>
      <w:r>
        <w:rPr>
          <w:rFonts w:ascii="仿宋_GB2312" w:eastAsia="仿宋_GB2312" w:hAnsi="仿宋_GB2312" w:cs="仿宋_GB2312" w:hint="eastAsia"/>
          <w:kern w:val="0"/>
          <w:sz w:val="28"/>
          <w:szCs w:val="28"/>
          <w:lang w:bidi="ar"/>
        </w:rPr>
        <w:t>2021年决算数为32.17万元，完成预算100%；</w:t>
      </w:r>
      <w:r>
        <w:rPr>
          <w:rFonts w:ascii="仿宋_GB2312" w:eastAsia="仿宋_GB2312" w:hAnsi="仿宋_GB2312" w:cs="仿宋_GB2312" w:hint="eastAsia"/>
          <w:b/>
          <w:bCs/>
          <w:kern w:val="0"/>
          <w:sz w:val="28"/>
          <w:szCs w:val="28"/>
          <w:lang w:bidi="ar"/>
        </w:rPr>
        <w:t>2101103公务员医疗补助</w:t>
      </w:r>
      <w:r>
        <w:rPr>
          <w:rFonts w:ascii="仿宋_GB2312" w:eastAsia="仿宋_GB2312" w:hAnsi="仿宋_GB2312" w:cs="仿宋_GB2312" w:hint="eastAsia"/>
          <w:kern w:val="0"/>
          <w:sz w:val="28"/>
          <w:szCs w:val="28"/>
          <w:lang w:bidi="ar"/>
        </w:rPr>
        <w:t>2021年决算数为11.45万元，完成预算100%。</w:t>
      </w:r>
    </w:p>
    <w:p w14:paraId="026E7935" w14:textId="77777777" w:rsidR="00D13164" w:rsidRDefault="00000000">
      <w:pPr>
        <w:spacing w:line="600" w:lineRule="exact"/>
        <w:ind w:firstLineChars="200" w:firstLine="562"/>
        <w:rPr>
          <w:rFonts w:ascii="仿宋_GB2312" w:eastAsia="仿宋_GB2312" w:hAnsi="仿宋_GB2312" w:cs="仿宋_GB2312"/>
          <w:b/>
          <w:bCs/>
          <w:kern w:val="0"/>
          <w:sz w:val="28"/>
          <w:szCs w:val="28"/>
          <w:lang w:bidi="ar"/>
        </w:rPr>
      </w:pPr>
      <w:r>
        <w:rPr>
          <w:rFonts w:ascii="仿宋_GB2312" w:eastAsia="仿宋_GB2312" w:hAnsi="仿宋_GB2312" w:cs="仿宋_GB2312" w:hint="eastAsia"/>
          <w:b/>
          <w:bCs/>
          <w:kern w:val="0"/>
          <w:sz w:val="28"/>
          <w:szCs w:val="28"/>
          <w:lang w:bidi="ar"/>
        </w:rPr>
        <w:t>5.住房保障</w:t>
      </w:r>
    </w:p>
    <w:p w14:paraId="632C9349" w14:textId="77777777" w:rsidR="00D13164" w:rsidRDefault="00000000">
      <w:pPr>
        <w:spacing w:line="600" w:lineRule="exact"/>
        <w:ind w:firstLineChars="200" w:firstLine="562"/>
        <w:rPr>
          <w:rStyle w:val="ae"/>
          <w:rFonts w:ascii="仿宋" w:eastAsia="仿宋" w:hAnsi="仿宋"/>
          <w:bCs/>
          <w:color w:val="000000"/>
          <w:sz w:val="32"/>
          <w:szCs w:val="32"/>
        </w:rPr>
      </w:pPr>
      <w:r>
        <w:rPr>
          <w:rFonts w:ascii="仿宋_GB2312" w:eastAsia="仿宋_GB2312" w:hAnsi="仿宋_GB2312" w:cs="仿宋_GB2312" w:hint="eastAsia"/>
          <w:b/>
          <w:bCs/>
          <w:kern w:val="0"/>
          <w:sz w:val="28"/>
          <w:szCs w:val="28"/>
          <w:lang w:bidi="ar"/>
        </w:rPr>
        <w:t>2210201住房公积金</w:t>
      </w:r>
      <w:r>
        <w:rPr>
          <w:rFonts w:ascii="仿宋_GB2312" w:eastAsia="仿宋_GB2312" w:hAnsi="仿宋_GB2312" w:cs="仿宋_GB2312" w:hint="eastAsia"/>
          <w:kern w:val="0"/>
          <w:sz w:val="28"/>
          <w:szCs w:val="28"/>
          <w:lang w:bidi="ar"/>
        </w:rPr>
        <w:t xml:space="preserve">2021年决算数为73.1万元，完成预算100%。 </w:t>
      </w:r>
    </w:p>
    <w:p w14:paraId="401B37BB" w14:textId="77777777" w:rsidR="00D13164" w:rsidRDefault="00000000">
      <w:pPr>
        <w:tabs>
          <w:tab w:val="right" w:pos="8306"/>
        </w:tabs>
        <w:spacing w:line="600" w:lineRule="exact"/>
        <w:ind w:firstLine="640"/>
        <w:outlineLvl w:val="1"/>
        <w:rPr>
          <w:rStyle w:val="20"/>
        </w:rPr>
      </w:pPr>
      <w:bookmarkStart w:id="76" w:name="_Toc79163618"/>
      <w:bookmarkStart w:id="77" w:name="_Toc24985"/>
      <w:bookmarkStart w:id="78" w:name="_Toc15396608"/>
      <w:bookmarkStart w:id="79"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76"/>
      <w:bookmarkEnd w:id="77"/>
      <w:bookmarkEnd w:id="78"/>
      <w:bookmarkEnd w:id="79"/>
      <w:r>
        <w:rPr>
          <w:rStyle w:val="20"/>
          <w:rFonts w:ascii="黑体" w:eastAsia="黑体" w:hAnsi="黑体"/>
          <w:b w:val="0"/>
        </w:rPr>
        <w:tab/>
      </w:r>
    </w:p>
    <w:p w14:paraId="6F35D41A" w14:textId="77777777" w:rsidR="00D13164" w:rsidRDefault="00000000">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2021年一般公共预算财政拨款基本支出1848.08万元，其中： </w:t>
      </w:r>
    </w:p>
    <w:p w14:paraId="7F16DB1C" w14:textId="77777777" w:rsidR="00D13164" w:rsidRDefault="00000000">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1271.09万元，主要包括：基本工资、津贴补贴、奖金、伙食补助费、绩效工资、机关事业单位基本养老保险缴费、职业年金缴费、其他社会保障缴费、其他工资福利支出、离休费、退休费、抚恤金、生活补助、医疗费、奖</w:t>
      </w:r>
      <w:r>
        <w:rPr>
          <w:rFonts w:ascii="仿宋" w:eastAsia="仿宋" w:hAnsi="仿宋" w:hint="eastAsia"/>
          <w:color w:val="000000"/>
          <w:sz w:val="32"/>
          <w:szCs w:val="32"/>
        </w:rPr>
        <w:lastRenderedPageBreak/>
        <w:t>励金、住房公积金、提租补贴、购房补贴、其他对个人和家庭的补助支出。</w:t>
      </w:r>
    </w:p>
    <w:p w14:paraId="2AE0B024" w14:textId="77777777" w:rsidR="00D13164" w:rsidRDefault="00000000">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公用经费576.99万元，主要包括：办公费、印刷费、咨询费、手续费、水费、电费、邮电费、取暖费、物业管理费、差旅费、因公出国（境）费用、维修（护）费、租赁费、会议费、培训费、公务接待费、劳务费、委托业务费、工会经费、福利费、其他交通费、税金及附加费用。 </w:t>
      </w:r>
    </w:p>
    <w:p w14:paraId="08D22F5F" w14:textId="77777777" w:rsidR="00D13164" w:rsidRDefault="00000000">
      <w:pPr>
        <w:spacing w:line="600" w:lineRule="exact"/>
        <w:ind w:firstLine="640"/>
        <w:outlineLvl w:val="1"/>
        <w:rPr>
          <w:rStyle w:val="20"/>
          <w:rFonts w:ascii="黑体" w:eastAsia="黑体" w:hAnsi="黑体"/>
          <w:b w:val="0"/>
        </w:rPr>
      </w:pPr>
      <w:bookmarkStart w:id="80" w:name="_Toc15396609"/>
      <w:bookmarkStart w:id="81" w:name="_Toc15377215"/>
      <w:bookmarkStart w:id="82" w:name="_Toc79163619"/>
      <w:bookmarkStart w:id="83" w:name="_Toc3357"/>
      <w:r>
        <w:rPr>
          <w:rFonts w:ascii="黑体" w:eastAsia="黑体" w:hint="eastAsia"/>
          <w:color w:val="000000"/>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80"/>
      <w:bookmarkEnd w:id="81"/>
      <w:bookmarkEnd w:id="82"/>
      <w:bookmarkEnd w:id="83"/>
    </w:p>
    <w:p w14:paraId="026FFE45" w14:textId="77777777" w:rsidR="00D13164" w:rsidRDefault="00000000">
      <w:pPr>
        <w:spacing w:line="600" w:lineRule="exact"/>
        <w:ind w:firstLine="640"/>
        <w:outlineLvl w:val="2"/>
        <w:rPr>
          <w:rFonts w:ascii="仿宋" w:eastAsia="仿宋" w:hAnsi="仿宋"/>
          <w:b/>
          <w:color w:val="000000"/>
          <w:sz w:val="32"/>
          <w:szCs w:val="32"/>
        </w:rPr>
      </w:pPr>
      <w:bookmarkStart w:id="84" w:name="_Toc15377216"/>
      <w:bookmarkStart w:id="85" w:name="_Toc79163620"/>
      <w:bookmarkStart w:id="86" w:name="_Toc29174"/>
      <w:r>
        <w:rPr>
          <w:rFonts w:ascii="仿宋" w:eastAsia="仿宋" w:hAnsi="仿宋" w:hint="eastAsia"/>
          <w:b/>
          <w:color w:val="000000"/>
          <w:sz w:val="32"/>
          <w:szCs w:val="32"/>
        </w:rPr>
        <w:t>（一）“三公”经费财政拨款支出决算总体情况说明</w:t>
      </w:r>
      <w:bookmarkEnd w:id="84"/>
      <w:bookmarkEnd w:id="85"/>
      <w:bookmarkEnd w:id="86"/>
    </w:p>
    <w:p w14:paraId="1D7A5DBB" w14:textId="77777777" w:rsidR="00D13164" w:rsidRDefault="00000000">
      <w:pPr>
        <w:spacing w:line="600" w:lineRule="exact"/>
        <w:ind w:firstLine="640"/>
        <w:rPr>
          <w:rFonts w:ascii="仿宋" w:eastAsia="仿宋" w:hAnsi="仿宋"/>
          <w:b/>
          <w:color w:val="FF0000"/>
          <w:sz w:val="32"/>
          <w:szCs w:val="32"/>
        </w:rPr>
      </w:pPr>
      <w:r>
        <w:rPr>
          <w:rFonts w:ascii="仿宋" w:eastAsia="仿宋" w:hAnsi="仿宋" w:hint="eastAsia"/>
          <w:color w:val="000000"/>
          <w:sz w:val="32"/>
          <w:szCs w:val="32"/>
        </w:rPr>
        <w:t>2021年度“三公”经费财政拨款支出决算为201.62万元，完成预算100%。</w:t>
      </w:r>
    </w:p>
    <w:p w14:paraId="7A6A9F68" w14:textId="77777777" w:rsidR="00D13164" w:rsidRDefault="00000000">
      <w:pPr>
        <w:spacing w:line="600" w:lineRule="exact"/>
        <w:ind w:firstLine="640"/>
        <w:outlineLvl w:val="2"/>
        <w:rPr>
          <w:rFonts w:ascii="仿宋" w:eastAsia="仿宋" w:hAnsi="仿宋"/>
          <w:b/>
          <w:color w:val="000000"/>
          <w:sz w:val="32"/>
          <w:szCs w:val="32"/>
        </w:rPr>
      </w:pPr>
      <w:bookmarkStart w:id="87" w:name="_Toc79163621"/>
      <w:bookmarkStart w:id="88" w:name="_Toc15377217"/>
      <w:bookmarkStart w:id="89" w:name="_Toc14190"/>
      <w:r>
        <w:rPr>
          <w:rFonts w:ascii="仿宋" w:eastAsia="仿宋" w:hAnsi="仿宋" w:hint="eastAsia"/>
          <w:b/>
          <w:color w:val="000000"/>
          <w:sz w:val="32"/>
          <w:szCs w:val="32"/>
        </w:rPr>
        <w:t>（二）“三公”经费财政拨款支出决算具体情况说明</w:t>
      </w:r>
      <w:bookmarkEnd w:id="87"/>
      <w:bookmarkEnd w:id="88"/>
      <w:bookmarkEnd w:id="89"/>
    </w:p>
    <w:p w14:paraId="67724CC5" w14:textId="77777777" w:rsidR="00D13164" w:rsidRDefault="00000000">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 xml:space="preserve">2021年度“三公”经费财政拨款支出决算中，因公出国（境）费支出决算0万元，占0%；公务用车购置及运行维护费支出决算188.88万元，占93.68%；公务接待费支出决算12.74万元，占6.32%。具体情况如下： </w:t>
      </w:r>
    </w:p>
    <w:p w14:paraId="26F8024D" w14:textId="77777777" w:rsidR="00D13164" w:rsidRDefault="00000000">
      <w:pPr>
        <w:spacing w:line="600" w:lineRule="exact"/>
        <w:jc w:val="center"/>
        <w:rPr>
          <w:rFonts w:ascii="仿宋" w:eastAsia="仿宋" w:hAnsi="仿宋"/>
          <w:color w:val="000000"/>
          <w:sz w:val="32"/>
          <w:szCs w:val="32"/>
        </w:rPr>
      </w:pPr>
      <w:r>
        <w:rPr>
          <w:rFonts w:ascii="仿宋_GB2312" w:eastAsia="仿宋_GB2312" w:hint="eastAsia"/>
          <w:noProof/>
          <w:color w:val="FF0000"/>
          <w:sz w:val="32"/>
          <w:szCs w:val="32"/>
        </w:rPr>
        <w:drawing>
          <wp:anchor distT="0" distB="0" distL="114300" distR="114300" simplePos="0" relativeHeight="251665408" behindDoc="0" locked="0" layoutInCell="1" allowOverlap="1" wp14:anchorId="2309BA36" wp14:editId="473981CF">
            <wp:simplePos x="0" y="0"/>
            <wp:positionH relativeFrom="column">
              <wp:posOffset>826135</wp:posOffset>
            </wp:positionH>
            <wp:positionV relativeFrom="page">
              <wp:posOffset>7149465</wp:posOffset>
            </wp:positionV>
            <wp:extent cx="3735070" cy="1668145"/>
            <wp:effectExtent l="0" t="0" r="0" b="8255"/>
            <wp:wrapTopAndBottom/>
            <wp:docPr id="3" name="图表 3" descr="7b0a202020202263686172745265734964223a202232303437343032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14:paraId="137D0A8F" w14:textId="77777777" w:rsidR="00D13164" w:rsidRDefault="00000000">
      <w:pPr>
        <w:spacing w:line="600" w:lineRule="exact"/>
        <w:ind w:firstLineChars="200" w:firstLine="643"/>
        <w:rPr>
          <w:rFonts w:ascii="仿宋_GB2312" w:eastAsia="仿宋_GB2312" w:hAnsi="仿宋_GB2312" w:cs="仿宋_GB2312"/>
          <w:kern w:val="0"/>
          <w:sz w:val="28"/>
          <w:szCs w:val="28"/>
          <w:lang w:bidi="ar"/>
        </w:rPr>
      </w:pPr>
      <w:r>
        <w:rPr>
          <w:rFonts w:ascii="仿宋_GB2312" w:eastAsia="仿宋_GB2312" w:hint="eastAsia"/>
          <w:b/>
          <w:color w:val="000000"/>
          <w:sz w:val="32"/>
          <w:szCs w:val="32"/>
        </w:rPr>
        <w:t>1.因公出国（境）经费支出</w:t>
      </w:r>
      <w:r>
        <w:rPr>
          <w:rFonts w:ascii="仿宋_GB2312" w:eastAsia="仿宋_GB2312" w:hint="eastAsia"/>
          <w:color w:val="000000"/>
          <w:sz w:val="32"/>
          <w:szCs w:val="32"/>
        </w:rPr>
        <w:t>0万元，</w:t>
      </w:r>
      <w:r>
        <w:rPr>
          <w:rStyle w:val="ae"/>
          <w:rFonts w:ascii="仿宋" w:eastAsia="仿宋" w:hAnsi="仿宋" w:hint="eastAsia"/>
          <w:b w:val="0"/>
          <w:bCs/>
          <w:color w:val="000000"/>
          <w:sz w:val="32"/>
          <w:szCs w:val="32"/>
        </w:rPr>
        <w:t>完成预算100</w:t>
      </w:r>
      <w:r>
        <w:rPr>
          <w:rStyle w:val="ae"/>
          <w:rFonts w:ascii="仿宋" w:eastAsia="仿宋" w:hAnsi="仿宋"/>
          <w:b w:val="0"/>
          <w:bCs/>
          <w:color w:val="000000"/>
          <w:sz w:val="32"/>
          <w:szCs w:val="32"/>
        </w:rPr>
        <w:t>%</w:t>
      </w:r>
      <w:r>
        <w:rPr>
          <w:rStyle w:val="ae"/>
          <w:rFonts w:ascii="仿宋" w:eastAsia="仿宋" w:hAnsi="仿宋" w:hint="eastAsia"/>
          <w:b w:val="0"/>
          <w:bCs/>
          <w:color w:val="000000"/>
          <w:sz w:val="32"/>
          <w:szCs w:val="32"/>
        </w:rPr>
        <w:t>。</w:t>
      </w:r>
      <w:r>
        <w:rPr>
          <w:rFonts w:ascii="仿宋_GB2312" w:eastAsia="仿宋_GB2312" w:hAnsi="仿宋_GB2312" w:cs="仿宋_GB2312" w:hint="eastAsia"/>
          <w:kern w:val="0"/>
          <w:sz w:val="28"/>
          <w:szCs w:val="28"/>
          <w:lang w:bidi="ar"/>
        </w:rPr>
        <w:t xml:space="preserve">　</w:t>
      </w:r>
    </w:p>
    <w:p w14:paraId="3F0AC779" w14:textId="77777777" w:rsidR="00D13164" w:rsidRDefault="00000000">
      <w:pPr>
        <w:spacing w:line="600" w:lineRule="exact"/>
        <w:ind w:firstLine="560"/>
        <w:rPr>
          <w:rFonts w:ascii="仿宋_GB2312" w:eastAsia="仿宋_GB2312"/>
          <w:color w:val="000000"/>
          <w:sz w:val="32"/>
          <w:szCs w:val="32"/>
        </w:rPr>
      </w:pPr>
      <w:r>
        <w:rPr>
          <w:rFonts w:ascii="仿宋_GB2312" w:eastAsia="仿宋_GB2312"/>
          <w:b/>
          <w:color w:val="000000"/>
          <w:sz w:val="32"/>
          <w:szCs w:val="32"/>
        </w:rPr>
        <w:lastRenderedPageBreak/>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188.88万元，</w:t>
      </w:r>
      <w:r>
        <w:rPr>
          <w:rStyle w:val="ae"/>
          <w:rFonts w:ascii="仿宋" w:eastAsia="仿宋" w:hAnsi="仿宋" w:hint="eastAsia"/>
          <w:b w:val="0"/>
          <w:bCs/>
          <w:color w:val="000000"/>
          <w:sz w:val="32"/>
          <w:szCs w:val="32"/>
        </w:rPr>
        <w:t>完成预算100</w:t>
      </w:r>
      <w:r>
        <w:rPr>
          <w:rStyle w:val="ae"/>
          <w:rFonts w:ascii="仿宋" w:eastAsia="仿宋" w:hAnsi="仿宋"/>
          <w:b w:val="0"/>
          <w:bCs/>
          <w:color w:val="000000"/>
          <w:sz w:val="32"/>
          <w:szCs w:val="32"/>
        </w:rPr>
        <w:t>%</w:t>
      </w:r>
      <w:r>
        <w:rPr>
          <w:rStyle w:val="ae"/>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w:t>
      </w:r>
      <w:r>
        <w:rPr>
          <w:rFonts w:ascii="仿宋_GB2312" w:eastAsia="仿宋_GB2312" w:hint="eastAsia"/>
          <w:color w:val="000000"/>
          <w:sz w:val="32"/>
          <w:szCs w:val="32"/>
        </w:rPr>
        <w:t>20年增加15.95万元，增长9.22</w:t>
      </w:r>
      <w:r>
        <w:rPr>
          <w:rFonts w:ascii="仿宋_GB2312" w:eastAsia="仿宋_GB2312"/>
          <w:color w:val="000000"/>
          <w:sz w:val="32"/>
          <w:szCs w:val="32"/>
        </w:rPr>
        <w:t>%</w:t>
      </w:r>
      <w:r>
        <w:rPr>
          <w:rFonts w:ascii="仿宋_GB2312" w:eastAsia="仿宋_GB2312" w:hint="eastAsia"/>
          <w:color w:val="000000"/>
          <w:sz w:val="32"/>
          <w:szCs w:val="32"/>
        </w:rPr>
        <w:t>。主要原因是本年度由于车辆老化，车辆大修费用增加，其中川U66615车更换发动机。</w:t>
      </w:r>
    </w:p>
    <w:p w14:paraId="1B93374A" w14:textId="77777777" w:rsidR="00D13164" w:rsidRDefault="00000000">
      <w:pPr>
        <w:spacing w:line="600" w:lineRule="exact"/>
        <w:ind w:firstLine="56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0万元。截至</w:t>
      </w:r>
      <w:r>
        <w:rPr>
          <w:rFonts w:ascii="仿宋_GB2312" w:eastAsia="仿宋_GB2312"/>
          <w:color w:val="000000"/>
          <w:sz w:val="32"/>
          <w:szCs w:val="32"/>
        </w:rPr>
        <w:t>202</w:t>
      </w:r>
      <w:r>
        <w:rPr>
          <w:rFonts w:ascii="仿宋_GB2312" w:eastAsia="仿宋_GB2312" w:hint="eastAsia"/>
          <w:color w:val="000000"/>
          <w:sz w:val="32"/>
          <w:szCs w:val="32"/>
        </w:rPr>
        <w:t>1年</w:t>
      </w:r>
      <w:r>
        <w:rPr>
          <w:rFonts w:ascii="仿宋_GB2312" w:eastAsia="仿宋_GB2312"/>
          <w:color w:val="000000"/>
          <w:sz w:val="32"/>
          <w:szCs w:val="32"/>
        </w:rPr>
        <w:t>12</w:t>
      </w:r>
      <w:r>
        <w:rPr>
          <w:rFonts w:ascii="仿宋_GB2312" w:eastAsia="仿宋_GB2312" w:hint="eastAsia"/>
          <w:color w:val="000000"/>
          <w:sz w:val="32"/>
          <w:szCs w:val="32"/>
        </w:rPr>
        <w:t>月底，单位共有公务用车16辆，其中：轿车1辆、越野车15辆。</w:t>
      </w:r>
    </w:p>
    <w:p w14:paraId="79BCCC8C" w14:textId="77777777" w:rsidR="00D13164" w:rsidRDefault="00000000">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188.88万元。主要用于政府工作等所需的公务用车燃料费、维修费、过路过桥费、保险费等支出。</w:t>
      </w:r>
    </w:p>
    <w:p w14:paraId="5B001FAD" w14:textId="77777777" w:rsidR="00D13164" w:rsidRDefault="00000000">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3.公务接待费支出</w:t>
      </w:r>
      <w:r>
        <w:rPr>
          <w:rFonts w:ascii="仿宋_GB2312" w:eastAsia="仿宋_GB2312" w:hint="eastAsia"/>
          <w:color w:val="000000"/>
          <w:sz w:val="32"/>
          <w:szCs w:val="32"/>
        </w:rPr>
        <w:t>12.74万元，</w:t>
      </w:r>
      <w:r>
        <w:rPr>
          <w:rStyle w:val="ae"/>
          <w:rFonts w:ascii="仿宋" w:eastAsia="仿宋" w:hAnsi="仿宋" w:hint="eastAsia"/>
          <w:b w:val="0"/>
          <w:bCs/>
          <w:color w:val="000000"/>
          <w:sz w:val="32"/>
          <w:szCs w:val="32"/>
        </w:rPr>
        <w:t>完成预算100</w:t>
      </w:r>
      <w:r>
        <w:rPr>
          <w:rStyle w:val="ae"/>
          <w:rFonts w:ascii="仿宋" w:eastAsia="仿宋" w:hAnsi="仿宋"/>
          <w:b w:val="0"/>
          <w:bCs/>
          <w:color w:val="000000"/>
          <w:sz w:val="32"/>
          <w:szCs w:val="32"/>
        </w:rPr>
        <w:t>%</w:t>
      </w:r>
      <w:r>
        <w:rPr>
          <w:rStyle w:val="ae"/>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w:t>
      </w:r>
      <w:r>
        <w:rPr>
          <w:rFonts w:ascii="仿宋_GB2312" w:eastAsia="仿宋_GB2312" w:hint="eastAsia"/>
          <w:color w:val="000000"/>
          <w:sz w:val="32"/>
          <w:szCs w:val="32"/>
        </w:rPr>
        <w:t>20年减少20.14万元，下降61.25</w:t>
      </w:r>
      <w:r>
        <w:rPr>
          <w:rFonts w:ascii="仿宋_GB2312" w:eastAsia="仿宋_GB2312"/>
          <w:color w:val="000000"/>
          <w:sz w:val="32"/>
          <w:szCs w:val="32"/>
        </w:rPr>
        <w:t>%</w:t>
      </w:r>
      <w:r>
        <w:rPr>
          <w:rFonts w:ascii="仿宋_GB2312" w:eastAsia="仿宋_GB2312" w:hint="eastAsia"/>
          <w:color w:val="000000"/>
          <w:sz w:val="32"/>
          <w:szCs w:val="32"/>
        </w:rPr>
        <w:t>。 主要原因一是厉行节约，减少接待支出；二是根据纪委相关文件对单位接待费用进行核查，对只有电话且未发函的单位不再安排接待。其中：</w:t>
      </w:r>
    </w:p>
    <w:p w14:paraId="2ECC23C3" w14:textId="77777777" w:rsidR="00D13164" w:rsidRDefault="00000000">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12.74</w:t>
      </w:r>
      <w:r>
        <w:rPr>
          <w:rFonts w:ascii="仿宋_GB2312" w:eastAsia="仿宋_GB2312" w:hint="eastAsia"/>
          <w:color w:val="000000"/>
          <w:sz w:val="32"/>
          <w:szCs w:val="32"/>
        </w:rPr>
        <w:t>万元，主要用于执行公务、开展业务活动开支的交通费、住宿费、用餐费等</w:t>
      </w:r>
      <w:r>
        <w:rPr>
          <w:rFonts w:ascii="仿宋_GB2312" w:eastAsia="仿宋_GB2312"/>
          <w:color w:val="000000"/>
          <w:sz w:val="32"/>
          <w:szCs w:val="32"/>
        </w:rPr>
        <w:t>)</w:t>
      </w:r>
      <w:r>
        <w:rPr>
          <w:rFonts w:ascii="仿宋_GB2312" w:eastAsia="仿宋_GB2312" w:hint="eastAsia"/>
          <w:color w:val="000000"/>
          <w:sz w:val="32"/>
          <w:szCs w:val="32"/>
        </w:rPr>
        <w:t>。国内公务接待182批次，1296人次（不包括陪同人员），共计支出12.74万元。</w:t>
      </w:r>
    </w:p>
    <w:p w14:paraId="6884C99A" w14:textId="77777777" w:rsidR="00D13164" w:rsidRDefault="00000000">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0.27</w:t>
      </w:r>
      <w:r>
        <w:rPr>
          <w:rFonts w:ascii="仿宋_GB2312" w:eastAsia="仿宋_GB2312" w:hint="eastAsia"/>
          <w:color w:val="000000"/>
          <w:sz w:val="32"/>
          <w:szCs w:val="32"/>
        </w:rPr>
        <w:t>万元，外事接待1批次，25人，共计支出0.27万元</w:t>
      </w:r>
      <w:bookmarkStart w:id="90" w:name="_Toc15396610"/>
      <w:bookmarkStart w:id="91" w:name="_Toc79163622"/>
      <w:bookmarkStart w:id="92" w:name="_Toc15377218"/>
      <w:r>
        <w:rPr>
          <w:rFonts w:ascii="仿宋_GB2312" w:eastAsia="仿宋_GB2312" w:hint="eastAsia"/>
          <w:color w:val="000000"/>
          <w:sz w:val="32"/>
          <w:szCs w:val="32"/>
        </w:rPr>
        <w:t>。</w:t>
      </w:r>
    </w:p>
    <w:p w14:paraId="49370A03" w14:textId="77777777" w:rsidR="00D13164" w:rsidRDefault="00000000">
      <w:pPr>
        <w:spacing w:line="600" w:lineRule="exact"/>
        <w:ind w:firstLineChars="200" w:firstLine="640"/>
        <w:rPr>
          <w:rStyle w:val="20"/>
          <w:rFonts w:ascii="黑体" w:eastAsia="黑体" w:hAnsi="黑体"/>
        </w:rPr>
      </w:pPr>
      <w:r>
        <w:rPr>
          <w:rFonts w:ascii="黑体" w:eastAsia="黑体" w:hint="eastAsia"/>
          <w:color w:val="000000"/>
          <w:sz w:val="32"/>
          <w:szCs w:val="32"/>
        </w:rPr>
        <w:t>八、</w:t>
      </w:r>
      <w:r>
        <w:rPr>
          <w:rStyle w:val="20"/>
          <w:rFonts w:ascii="黑体" w:eastAsia="黑体" w:hAnsi="黑体" w:hint="eastAsia"/>
          <w:b w:val="0"/>
        </w:rPr>
        <w:t>政府性基金预算支出决算情况说明</w:t>
      </w:r>
      <w:bookmarkEnd w:id="90"/>
      <w:bookmarkEnd w:id="91"/>
      <w:bookmarkEnd w:id="92"/>
    </w:p>
    <w:p w14:paraId="5F87F299" w14:textId="77777777" w:rsidR="00D13164" w:rsidRDefault="00000000">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1年政府性基金预算拨款支出0万元。</w:t>
      </w:r>
    </w:p>
    <w:p w14:paraId="7D72CBCB" w14:textId="77777777" w:rsidR="00D13164" w:rsidRDefault="00D13164">
      <w:pPr>
        <w:spacing w:line="600" w:lineRule="exact"/>
        <w:ind w:firstLine="640"/>
        <w:rPr>
          <w:rFonts w:ascii="仿宋_GB2312" w:eastAsia="仿宋_GB2312"/>
          <w:color w:val="000000"/>
          <w:sz w:val="32"/>
          <w:szCs w:val="32"/>
        </w:rPr>
      </w:pPr>
    </w:p>
    <w:p w14:paraId="38012062" w14:textId="77777777" w:rsidR="00D13164" w:rsidRDefault="00000000">
      <w:pPr>
        <w:numPr>
          <w:ilvl w:val="0"/>
          <w:numId w:val="4"/>
        </w:numPr>
        <w:spacing w:line="600" w:lineRule="exact"/>
        <w:ind w:firstLine="640"/>
        <w:outlineLvl w:val="1"/>
        <w:rPr>
          <w:rStyle w:val="20"/>
          <w:rFonts w:ascii="黑体" w:eastAsia="黑体" w:hAnsi="黑体"/>
          <w:b w:val="0"/>
        </w:rPr>
      </w:pPr>
      <w:bookmarkStart w:id="93" w:name="_Toc15377219"/>
      <w:bookmarkStart w:id="94" w:name="_Toc15396611"/>
      <w:bookmarkStart w:id="95" w:name="_Toc79163623"/>
      <w:bookmarkStart w:id="96" w:name="_Toc19569"/>
      <w:r>
        <w:rPr>
          <w:rStyle w:val="20"/>
          <w:rFonts w:ascii="黑体" w:eastAsia="黑体" w:hAnsi="黑体" w:hint="eastAsia"/>
          <w:b w:val="0"/>
        </w:rPr>
        <w:lastRenderedPageBreak/>
        <w:t>国有资本经营预算支出决算情况说明</w:t>
      </w:r>
      <w:bookmarkEnd w:id="93"/>
      <w:bookmarkEnd w:id="94"/>
      <w:bookmarkEnd w:id="95"/>
      <w:bookmarkEnd w:id="96"/>
    </w:p>
    <w:p w14:paraId="1E443056" w14:textId="77777777" w:rsidR="00D13164" w:rsidRDefault="00000000">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1年国有资本经营预算拨款支出0万元。</w:t>
      </w:r>
    </w:p>
    <w:p w14:paraId="38FF19D3" w14:textId="77777777" w:rsidR="00D13164" w:rsidRDefault="00D13164">
      <w:pPr>
        <w:spacing w:line="580" w:lineRule="exact"/>
        <w:rPr>
          <w:rFonts w:ascii="方正小标宋简体" w:eastAsia="方正小标宋简体" w:hAnsi="方正小标宋简体" w:cs="方正小标宋简体"/>
          <w:sz w:val="44"/>
          <w:szCs w:val="44"/>
        </w:rPr>
      </w:pPr>
    </w:p>
    <w:p w14:paraId="2D8E918A" w14:textId="77777777" w:rsidR="00D13164" w:rsidRDefault="00000000">
      <w:pPr>
        <w:spacing w:line="600" w:lineRule="exact"/>
        <w:ind w:firstLineChars="250" w:firstLine="800"/>
        <w:outlineLvl w:val="1"/>
        <w:rPr>
          <w:rStyle w:val="20"/>
          <w:rFonts w:ascii="黑体" w:eastAsia="黑体" w:hAnsi="黑体"/>
        </w:rPr>
      </w:pPr>
      <w:bookmarkStart w:id="97" w:name="_Toc15377221"/>
      <w:bookmarkStart w:id="98" w:name="_Toc79163624"/>
      <w:bookmarkStart w:id="99" w:name="_Toc15396612"/>
      <w:bookmarkStart w:id="100" w:name="_Toc22743"/>
      <w:r>
        <w:rPr>
          <w:rFonts w:ascii="黑体" w:eastAsia="黑体" w:hAnsi="黑体" w:hint="eastAsia"/>
          <w:color w:val="000000"/>
          <w:sz w:val="32"/>
          <w:szCs w:val="32"/>
        </w:rPr>
        <w:t>十</w:t>
      </w:r>
      <w:r>
        <w:rPr>
          <w:rStyle w:val="20"/>
          <w:rFonts w:ascii="黑体" w:eastAsia="黑体" w:hAnsi="黑体" w:hint="eastAsia"/>
        </w:rPr>
        <w:t>、</w:t>
      </w:r>
      <w:r>
        <w:rPr>
          <w:rStyle w:val="20"/>
          <w:rFonts w:ascii="黑体" w:eastAsia="黑体" w:hAnsi="黑体" w:hint="eastAsia"/>
          <w:b w:val="0"/>
        </w:rPr>
        <w:t>其他重要事项的情况说明</w:t>
      </w:r>
      <w:bookmarkEnd w:id="97"/>
      <w:bookmarkEnd w:id="98"/>
      <w:bookmarkEnd w:id="99"/>
      <w:bookmarkEnd w:id="100"/>
    </w:p>
    <w:p w14:paraId="51722576" w14:textId="77777777" w:rsidR="00D13164" w:rsidRDefault="00000000">
      <w:pPr>
        <w:spacing w:line="600" w:lineRule="exact"/>
        <w:ind w:firstLineChars="200" w:firstLine="643"/>
        <w:outlineLvl w:val="2"/>
        <w:rPr>
          <w:rFonts w:ascii="仿宋" w:eastAsia="仿宋" w:hAnsi="仿宋"/>
          <w:color w:val="000000"/>
          <w:sz w:val="32"/>
          <w:szCs w:val="32"/>
        </w:rPr>
      </w:pPr>
      <w:bookmarkStart w:id="101" w:name="_Toc15377222"/>
      <w:bookmarkStart w:id="102" w:name="_Toc79163625"/>
      <w:bookmarkStart w:id="103" w:name="_Toc7752"/>
      <w:r>
        <w:rPr>
          <w:rFonts w:ascii="仿宋" w:eastAsia="仿宋" w:hAnsi="仿宋" w:hint="eastAsia"/>
          <w:b/>
          <w:color w:val="000000"/>
          <w:sz w:val="32"/>
          <w:szCs w:val="32"/>
        </w:rPr>
        <w:t>（一）机关运行经费支出情况</w:t>
      </w:r>
      <w:bookmarkEnd w:id="101"/>
      <w:bookmarkEnd w:id="102"/>
      <w:bookmarkEnd w:id="103"/>
    </w:p>
    <w:p w14:paraId="231400E7" w14:textId="77777777" w:rsidR="00D13164" w:rsidRDefault="00000000">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1年，松潘县人民政府办公室机关运行经费支出577万元，比</w:t>
      </w:r>
      <w:r>
        <w:rPr>
          <w:rFonts w:ascii="仿宋_GB2312" w:eastAsia="仿宋_GB2312"/>
          <w:color w:val="000000"/>
          <w:sz w:val="32"/>
          <w:szCs w:val="32"/>
        </w:rPr>
        <w:t>20</w:t>
      </w:r>
      <w:r>
        <w:rPr>
          <w:rFonts w:ascii="仿宋_GB2312" w:eastAsia="仿宋_GB2312" w:hint="eastAsia"/>
          <w:color w:val="000000"/>
          <w:sz w:val="32"/>
          <w:szCs w:val="32"/>
        </w:rPr>
        <w:t>20年减少290.44万元，下降33.48</w:t>
      </w:r>
      <w:r>
        <w:rPr>
          <w:rFonts w:ascii="仿宋_GB2312" w:eastAsia="仿宋_GB2312"/>
          <w:color w:val="000000"/>
          <w:sz w:val="32"/>
          <w:szCs w:val="32"/>
        </w:rPr>
        <w:t>%</w:t>
      </w:r>
      <w:r>
        <w:rPr>
          <w:rFonts w:ascii="仿宋_GB2312" w:eastAsia="仿宋_GB2312" w:hint="eastAsia"/>
          <w:color w:val="000000"/>
          <w:sz w:val="32"/>
          <w:szCs w:val="32"/>
        </w:rPr>
        <w:t>。主要原因是一是部分经费根据用途列为项目支出，当年项目支出高于往年项目支出，基本支出公用经费低于往年费用。二是新增部分项目，如党员活动室提升改造、新增松潘县政务中心停车场及周边绿化建设项目等，致使费用增加。</w:t>
      </w:r>
    </w:p>
    <w:p w14:paraId="51735A02" w14:textId="77777777" w:rsidR="00D13164" w:rsidRDefault="00000000">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04" w:name="_Toc79163626"/>
      <w:bookmarkStart w:id="105" w:name="_Toc15377223"/>
      <w:bookmarkStart w:id="106" w:name="_Toc26423"/>
      <w:r>
        <w:rPr>
          <w:rFonts w:ascii="仿宋" w:eastAsia="仿宋" w:hAnsi="仿宋" w:hint="eastAsia"/>
          <w:b/>
          <w:color w:val="000000"/>
          <w:sz w:val="32"/>
          <w:szCs w:val="32"/>
        </w:rPr>
        <w:t>（二）政府采购支出情况</w:t>
      </w:r>
      <w:bookmarkEnd w:id="104"/>
      <w:bookmarkEnd w:id="105"/>
      <w:bookmarkEnd w:id="106"/>
    </w:p>
    <w:p w14:paraId="5150F27D" w14:textId="77777777" w:rsidR="00D13164" w:rsidRDefault="00000000">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w:t>
      </w:r>
      <w:r>
        <w:rPr>
          <w:rFonts w:ascii="仿宋_GB2312" w:eastAsia="仿宋_GB2312" w:hint="eastAsia"/>
          <w:color w:val="000000"/>
          <w:sz w:val="32"/>
          <w:szCs w:val="32"/>
        </w:rPr>
        <w:t>1年，松潘县人民政府办公室政府采购支出总额24.9万元，其中：政府采购货物支出24.9元。主要用于办公设备采购、党员活动室提升改造采购固定资产及职工周转房家电采购等。</w:t>
      </w:r>
    </w:p>
    <w:p w14:paraId="2973979A" w14:textId="77777777" w:rsidR="00D13164" w:rsidRDefault="00000000">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07" w:name="_Toc79163627"/>
      <w:bookmarkStart w:id="108" w:name="_Toc29972"/>
      <w:bookmarkStart w:id="109" w:name="_Toc15377224"/>
      <w:r>
        <w:rPr>
          <w:rFonts w:ascii="仿宋" w:eastAsia="仿宋" w:hAnsi="仿宋" w:hint="eastAsia"/>
          <w:b/>
          <w:color w:val="000000"/>
          <w:sz w:val="32"/>
          <w:szCs w:val="32"/>
        </w:rPr>
        <w:t>（三）国有资产占有使用情况</w:t>
      </w:r>
      <w:bookmarkEnd w:id="107"/>
      <w:bookmarkEnd w:id="108"/>
      <w:bookmarkEnd w:id="109"/>
    </w:p>
    <w:p w14:paraId="528BC1E4" w14:textId="77777777" w:rsidR="00D13164" w:rsidRDefault="00000000">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w:t>
      </w:r>
      <w:r>
        <w:rPr>
          <w:rFonts w:ascii="仿宋_GB2312" w:eastAsia="仿宋_GB2312" w:hint="eastAsia"/>
          <w:color w:val="000000"/>
          <w:sz w:val="32"/>
          <w:szCs w:val="32"/>
        </w:rPr>
        <w:t>1年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日，松潘县人民政府办公室共有车辆16辆，其中：公务用车16辆，单价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14:paraId="569A2497" w14:textId="77777777" w:rsidR="00D13164" w:rsidRDefault="00000000">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10" w:name="_Toc79163628"/>
      <w:bookmarkStart w:id="111" w:name="_Toc13360"/>
      <w:r>
        <w:rPr>
          <w:rFonts w:ascii="仿宋" w:eastAsia="仿宋" w:hAnsi="仿宋" w:hint="eastAsia"/>
          <w:b/>
          <w:color w:val="000000"/>
          <w:sz w:val="32"/>
          <w:szCs w:val="32"/>
        </w:rPr>
        <w:t>（四）预算绩效管理情况。</w:t>
      </w:r>
      <w:bookmarkEnd w:id="110"/>
      <w:bookmarkEnd w:id="111"/>
    </w:p>
    <w:p w14:paraId="727A89BF" w14:textId="77777777" w:rsidR="00D13164" w:rsidRDefault="0000000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按照预算绩效管理要求，本部门对2021年一般公共预算项目支出开展了绩效目标管理，共编制绩效目标2个，涉及财政资金360万元。</w:t>
      </w:r>
    </w:p>
    <w:p w14:paraId="62035CDF" w14:textId="77777777" w:rsidR="00D13164" w:rsidRDefault="00D13164">
      <w:pPr>
        <w:pStyle w:val="21"/>
        <w:ind w:firstLine="640"/>
        <w:rPr>
          <w:rFonts w:ascii="仿宋_GB2312" w:hAnsi="仿宋_GB2312" w:cs="仿宋_GB2312"/>
          <w:szCs w:val="32"/>
        </w:rPr>
      </w:pPr>
    </w:p>
    <w:p w14:paraId="360EB3D9" w14:textId="77777777" w:rsidR="00D13164" w:rsidRDefault="00D13164">
      <w:pPr>
        <w:rPr>
          <w:rFonts w:ascii="仿宋_GB2312" w:eastAsia="仿宋_GB2312" w:hAnsi="仿宋_GB2312" w:cs="仿宋_GB2312"/>
          <w:sz w:val="32"/>
          <w:szCs w:val="32"/>
        </w:rPr>
      </w:pPr>
    </w:p>
    <w:p w14:paraId="6D1667B1" w14:textId="77777777" w:rsidR="00D13164" w:rsidRDefault="00D13164">
      <w:pPr>
        <w:pStyle w:val="21"/>
        <w:ind w:firstLine="640"/>
        <w:rPr>
          <w:rFonts w:ascii="仿宋_GB2312" w:hAnsi="仿宋_GB2312" w:cs="仿宋_GB2312"/>
          <w:szCs w:val="32"/>
        </w:rPr>
      </w:pPr>
    </w:p>
    <w:p w14:paraId="0F94E5AB" w14:textId="77777777" w:rsidR="00D13164" w:rsidRDefault="00D13164">
      <w:pPr>
        <w:rPr>
          <w:rFonts w:ascii="仿宋_GB2312" w:eastAsia="仿宋_GB2312" w:hAnsi="仿宋_GB2312" w:cs="仿宋_GB2312"/>
          <w:sz w:val="32"/>
          <w:szCs w:val="32"/>
        </w:rPr>
      </w:pPr>
    </w:p>
    <w:p w14:paraId="5E3B880B" w14:textId="77777777" w:rsidR="00D13164" w:rsidRDefault="00D13164">
      <w:pPr>
        <w:pStyle w:val="21"/>
        <w:ind w:firstLine="640"/>
        <w:rPr>
          <w:rFonts w:ascii="仿宋_GB2312" w:hAnsi="仿宋_GB2312" w:cs="仿宋_GB2312"/>
          <w:szCs w:val="32"/>
        </w:rPr>
      </w:pPr>
    </w:p>
    <w:p w14:paraId="2CDEED4E" w14:textId="77777777" w:rsidR="00D13164" w:rsidRDefault="00D13164">
      <w:pPr>
        <w:rPr>
          <w:rFonts w:ascii="仿宋_GB2312" w:eastAsia="仿宋_GB2312" w:hAnsi="仿宋_GB2312" w:cs="仿宋_GB2312"/>
          <w:sz w:val="32"/>
          <w:szCs w:val="32"/>
        </w:rPr>
      </w:pPr>
    </w:p>
    <w:p w14:paraId="7F42A4F8" w14:textId="77777777" w:rsidR="00D13164" w:rsidRDefault="00D13164">
      <w:pPr>
        <w:pStyle w:val="21"/>
        <w:ind w:firstLine="640"/>
        <w:rPr>
          <w:rFonts w:ascii="仿宋_GB2312" w:hAnsi="仿宋_GB2312" w:cs="仿宋_GB2312"/>
          <w:szCs w:val="32"/>
        </w:rPr>
      </w:pPr>
    </w:p>
    <w:p w14:paraId="3ABFC3EB" w14:textId="77777777" w:rsidR="00D13164" w:rsidRDefault="00D13164">
      <w:pPr>
        <w:rPr>
          <w:rFonts w:ascii="仿宋_GB2312" w:eastAsia="仿宋_GB2312" w:hAnsi="仿宋_GB2312" w:cs="仿宋_GB2312"/>
          <w:sz w:val="32"/>
          <w:szCs w:val="32"/>
        </w:rPr>
      </w:pPr>
    </w:p>
    <w:p w14:paraId="69CBD1BB" w14:textId="77777777" w:rsidR="00D13164" w:rsidRDefault="00D13164">
      <w:pPr>
        <w:pStyle w:val="21"/>
        <w:ind w:firstLine="640"/>
        <w:rPr>
          <w:rFonts w:ascii="仿宋_GB2312" w:hAnsi="仿宋_GB2312" w:cs="仿宋_GB2312"/>
          <w:szCs w:val="32"/>
        </w:rPr>
      </w:pPr>
    </w:p>
    <w:p w14:paraId="4B39D816" w14:textId="77777777" w:rsidR="00D13164" w:rsidRDefault="00D13164">
      <w:pPr>
        <w:rPr>
          <w:rFonts w:ascii="仿宋_GB2312" w:eastAsia="仿宋_GB2312" w:hAnsi="仿宋_GB2312" w:cs="仿宋_GB2312"/>
          <w:sz w:val="32"/>
          <w:szCs w:val="32"/>
        </w:rPr>
      </w:pPr>
    </w:p>
    <w:p w14:paraId="0523A614" w14:textId="77777777" w:rsidR="00D13164" w:rsidRDefault="00D13164">
      <w:pPr>
        <w:pStyle w:val="21"/>
        <w:ind w:firstLine="640"/>
        <w:rPr>
          <w:rFonts w:ascii="仿宋_GB2312" w:hAnsi="仿宋_GB2312" w:cs="仿宋_GB2312"/>
          <w:szCs w:val="32"/>
        </w:rPr>
      </w:pPr>
    </w:p>
    <w:p w14:paraId="43A6F7D3" w14:textId="77777777" w:rsidR="00D13164" w:rsidRDefault="00D13164">
      <w:pPr>
        <w:rPr>
          <w:rFonts w:ascii="仿宋_GB2312" w:eastAsia="仿宋_GB2312" w:hAnsi="仿宋_GB2312" w:cs="仿宋_GB2312"/>
          <w:sz w:val="32"/>
          <w:szCs w:val="32"/>
        </w:rPr>
      </w:pPr>
    </w:p>
    <w:p w14:paraId="777E3A15" w14:textId="77777777" w:rsidR="00D13164" w:rsidRDefault="00D13164">
      <w:pPr>
        <w:pStyle w:val="21"/>
        <w:ind w:firstLine="640"/>
        <w:rPr>
          <w:rFonts w:ascii="仿宋_GB2312" w:hAnsi="仿宋_GB2312" w:cs="仿宋_GB2312"/>
          <w:szCs w:val="32"/>
        </w:rPr>
      </w:pPr>
    </w:p>
    <w:p w14:paraId="40872F11" w14:textId="77777777" w:rsidR="00D13164" w:rsidRDefault="00D13164">
      <w:pPr>
        <w:rPr>
          <w:rFonts w:ascii="仿宋_GB2312" w:eastAsia="仿宋_GB2312" w:hAnsi="仿宋_GB2312" w:cs="仿宋_GB2312"/>
          <w:sz w:val="32"/>
          <w:szCs w:val="32"/>
        </w:rPr>
      </w:pPr>
    </w:p>
    <w:p w14:paraId="1D256756" w14:textId="77777777" w:rsidR="00D13164" w:rsidRDefault="00D13164">
      <w:pPr>
        <w:pStyle w:val="21"/>
        <w:ind w:firstLine="640"/>
        <w:rPr>
          <w:rFonts w:ascii="仿宋_GB2312" w:hAnsi="仿宋_GB2312" w:cs="仿宋_GB2312"/>
          <w:szCs w:val="32"/>
        </w:rPr>
      </w:pPr>
    </w:p>
    <w:p w14:paraId="3EF9FEA5" w14:textId="77777777" w:rsidR="00D13164" w:rsidRDefault="00D13164">
      <w:pPr>
        <w:rPr>
          <w:rFonts w:ascii="仿宋_GB2312" w:eastAsia="仿宋_GB2312" w:hAnsi="仿宋_GB2312" w:cs="仿宋_GB2312"/>
          <w:sz w:val="32"/>
          <w:szCs w:val="32"/>
        </w:rPr>
      </w:pPr>
    </w:p>
    <w:p w14:paraId="17AAE6D2" w14:textId="77777777" w:rsidR="00D13164" w:rsidRDefault="00D13164">
      <w:pPr>
        <w:pStyle w:val="21"/>
        <w:ind w:firstLine="640"/>
        <w:rPr>
          <w:rFonts w:ascii="仿宋_GB2312" w:hAnsi="仿宋_GB2312" w:cs="仿宋_GB2312"/>
          <w:szCs w:val="32"/>
        </w:rPr>
      </w:pPr>
    </w:p>
    <w:p w14:paraId="1265C8D4" w14:textId="77777777" w:rsidR="00D13164" w:rsidRDefault="00D13164">
      <w:pPr>
        <w:rPr>
          <w:rFonts w:ascii="仿宋_GB2312" w:eastAsia="仿宋_GB2312" w:hAnsi="仿宋_GB2312" w:cs="仿宋_GB2312"/>
          <w:sz w:val="32"/>
          <w:szCs w:val="32"/>
        </w:rPr>
      </w:pPr>
    </w:p>
    <w:p w14:paraId="65D62BE1" w14:textId="77777777" w:rsidR="00D13164" w:rsidRDefault="00D13164">
      <w:pPr>
        <w:pStyle w:val="21"/>
        <w:ind w:firstLine="640"/>
      </w:pPr>
    </w:p>
    <w:p w14:paraId="645E3FC9" w14:textId="77777777" w:rsidR="00D13164" w:rsidRDefault="00D13164">
      <w:pPr>
        <w:pStyle w:val="21"/>
        <w:ind w:firstLine="640"/>
        <w:rPr>
          <w:rFonts w:ascii="仿宋_GB2312" w:hAnsi="仿宋_GB2312" w:cs="仿宋_GB2312"/>
          <w:szCs w:val="32"/>
        </w:rPr>
      </w:pPr>
    </w:p>
    <w:p w14:paraId="0EC1F530" w14:textId="77777777" w:rsidR="00D13164" w:rsidRDefault="00D13164"/>
    <w:p w14:paraId="41E7ECE2" w14:textId="77777777" w:rsidR="00D13164" w:rsidRDefault="00000000">
      <w:pPr>
        <w:numPr>
          <w:ilvl w:val="0"/>
          <w:numId w:val="5"/>
        </w:numPr>
        <w:spacing w:line="600" w:lineRule="exact"/>
        <w:ind w:firstLineChars="150" w:firstLine="660"/>
        <w:jc w:val="center"/>
        <w:outlineLvl w:val="0"/>
        <w:rPr>
          <w:rStyle w:val="10"/>
          <w:rFonts w:ascii="黑体" w:eastAsia="黑体" w:hAnsi="黑体"/>
          <w:b w:val="0"/>
        </w:rPr>
      </w:pPr>
      <w:bookmarkStart w:id="112" w:name="_Toc5293"/>
      <w:bookmarkStart w:id="113" w:name="_Toc15396613"/>
      <w:bookmarkStart w:id="114" w:name="_Toc15377225"/>
      <w:bookmarkStart w:id="115" w:name="_Toc79163629"/>
      <w:r>
        <w:rPr>
          <w:rFonts w:ascii="黑体" w:eastAsia="黑体" w:hAnsi="黑体" w:hint="eastAsia"/>
          <w:color w:val="000000"/>
          <w:sz w:val="44"/>
          <w:szCs w:val="44"/>
        </w:rPr>
        <w:lastRenderedPageBreak/>
        <w:t>名</w:t>
      </w:r>
      <w:r>
        <w:rPr>
          <w:rStyle w:val="10"/>
          <w:rFonts w:ascii="黑体" w:eastAsia="黑体" w:hAnsi="黑体" w:hint="eastAsia"/>
          <w:b w:val="0"/>
        </w:rPr>
        <w:t>词解释</w:t>
      </w:r>
      <w:bookmarkEnd w:id="112"/>
      <w:bookmarkEnd w:id="113"/>
      <w:bookmarkEnd w:id="114"/>
      <w:bookmarkEnd w:id="115"/>
    </w:p>
    <w:p w14:paraId="797767A6" w14:textId="77777777" w:rsidR="00D13164" w:rsidRDefault="00D13164">
      <w:pPr>
        <w:spacing w:line="600" w:lineRule="exact"/>
        <w:jc w:val="left"/>
        <w:rPr>
          <w:rFonts w:ascii="宋体"/>
          <w:b/>
          <w:color w:val="000000"/>
          <w:sz w:val="44"/>
          <w:szCs w:val="44"/>
        </w:rPr>
      </w:pPr>
    </w:p>
    <w:p w14:paraId="74D04B6E" w14:textId="77777777" w:rsidR="00D13164" w:rsidRDefault="00000000">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14:paraId="75EAAC2D" w14:textId="77777777" w:rsidR="00D13164" w:rsidRDefault="00000000">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14:paraId="46DC25DF" w14:textId="77777777" w:rsidR="00D13164" w:rsidRDefault="00000000">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14:paraId="06A5A8AB" w14:textId="77777777" w:rsidR="00D13164" w:rsidRDefault="00000000">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14:paraId="1C4454A2" w14:textId="77777777" w:rsidR="00D13164" w:rsidRDefault="00000000">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14:paraId="046F7A49" w14:textId="77777777" w:rsidR="00D13164" w:rsidRDefault="00000000">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14:paraId="43B2F52C" w14:textId="77777777" w:rsidR="00D13164" w:rsidRDefault="00000000">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43746ABB" w14:textId="77777777" w:rsidR="00D13164" w:rsidRDefault="00000000">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14:paraId="642F684A" w14:textId="77777777" w:rsidR="00D13164" w:rsidRDefault="00000000">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14:paraId="09C0CF5B" w14:textId="77777777" w:rsidR="00D13164" w:rsidRDefault="00000000">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14:paraId="44DF7BD3" w14:textId="77777777" w:rsidR="00D13164" w:rsidRDefault="00000000">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w:t>
      </w:r>
      <w:r>
        <w:rPr>
          <w:rFonts w:ascii="仿宋_GB2312" w:eastAsia="仿宋_GB2312" w:hint="eastAsia"/>
          <w:color w:val="000000"/>
          <w:sz w:val="32"/>
          <w:szCs w:val="32"/>
        </w:rPr>
        <w:lastRenderedPageBreak/>
        <w:t>动之外开展非独立核算经营活动发生的支出。</w:t>
      </w:r>
    </w:p>
    <w:p w14:paraId="4C9E161C" w14:textId="77777777" w:rsidR="00D13164" w:rsidRDefault="0000000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14:paraId="67C2FC72" w14:textId="77777777" w:rsidR="00D13164" w:rsidRDefault="0000000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3E5B9E2C" w14:textId="77777777" w:rsidR="00D13164" w:rsidRDefault="00D13164">
      <w:pPr>
        <w:pStyle w:val="Default"/>
        <w:spacing w:line="560" w:lineRule="exact"/>
        <w:ind w:firstLineChars="200" w:firstLine="640"/>
        <w:rPr>
          <w:rFonts w:ascii="仿宋_GB2312" w:eastAsia="仿宋_GB2312" w:cs="黑体"/>
          <w:sz w:val="32"/>
          <w:szCs w:val="32"/>
        </w:rPr>
      </w:pPr>
    </w:p>
    <w:p w14:paraId="5BCFC205" w14:textId="77777777" w:rsidR="00D13164" w:rsidRDefault="00D13164">
      <w:pPr>
        <w:ind w:firstLineChars="200" w:firstLine="643"/>
        <w:rPr>
          <w:rFonts w:ascii="仿宋" w:eastAsia="仿宋" w:hAnsi="仿宋"/>
          <w:b/>
          <w:color w:val="000000"/>
          <w:sz w:val="32"/>
          <w:szCs w:val="32"/>
        </w:rPr>
      </w:pPr>
    </w:p>
    <w:p w14:paraId="4C5310F5" w14:textId="77777777" w:rsidR="00D13164" w:rsidRDefault="00000000">
      <w:pPr>
        <w:spacing w:line="600" w:lineRule="exact"/>
        <w:jc w:val="center"/>
        <w:outlineLvl w:val="0"/>
        <w:rPr>
          <w:rStyle w:val="10"/>
          <w:rFonts w:ascii="黑体" w:eastAsia="黑体" w:hAnsi="黑体"/>
          <w:b w:val="0"/>
        </w:rPr>
      </w:pPr>
      <w:bookmarkStart w:id="116" w:name="_Toc15377226"/>
      <w:r>
        <w:rPr>
          <w:rFonts w:ascii="宋体"/>
          <w:b/>
          <w:color w:val="000000"/>
          <w:sz w:val="44"/>
          <w:szCs w:val="44"/>
        </w:rPr>
        <w:br w:type="page"/>
      </w:r>
      <w:bookmarkStart w:id="117" w:name="_Toc20981"/>
      <w:bookmarkStart w:id="118" w:name="_Toc79163630"/>
      <w:bookmarkStart w:id="119" w:name="_Toc15396614"/>
      <w:r>
        <w:rPr>
          <w:rFonts w:ascii="黑体" w:eastAsia="黑体" w:hAnsi="黑体" w:hint="eastAsia"/>
          <w:color w:val="000000"/>
          <w:sz w:val="44"/>
          <w:szCs w:val="44"/>
        </w:rPr>
        <w:lastRenderedPageBreak/>
        <w:t>第</w:t>
      </w:r>
      <w:r>
        <w:rPr>
          <w:rStyle w:val="10"/>
          <w:rFonts w:ascii="黑体" w:eastAsia="黑体" w:hAnsi="黑体" w:hint="eastAsia"/>
          <w:b w:val="0"/>
        </w:rPr>
        <w:t>四部分</w:t>
      </w:r>
      <w:r>
        <w:rPr>
          <w:rStyle w:val="10"/>
          <w:rFonts w:ascii="黑体" w:eastAsia="黑体" w:hAnsi="黑体"/>
          <w:b w:val="0"/>
        </w:rPr>
        <w:t xml:space="preserve"> </w:t>
      </w:r>
      <w:r>
        <w:rPr>
          <w:rStyle w:val="10"/>
          <w:rFonts w:ascii="黑体" w:eastAsia="黑体" w:hAnsi="黑体" w:hint="eastAsia"/>
          <w:b w:val="0"/>
        </w:rPr>
        <w:t>附件</w:t>
      </w:r>
      <w:bookmarkEnd w:id="117"/>
      <w:bookmarkEnd w:id="118"/>
      <w:bookmarkEnd w:id="119"/>
    </w:p>
    <w:p w14:paraId="29BE6A5C" w14:textId="77777777" w:rsidR="00D13164" w:rsidRDefault="00000000">
      <w:pPr>
        <w:spacing w:line="600" w:lineRule="exact"/>
        <w:jc w:val="left"/>
        <w:outlineLvl w:val="0"/>
        <w:rPr>
          <w:rFonts w:ascii="方正小标宋简体" w:eastAsia="方正小标宋简体" w:hAnsi="方正小标宋简体" w:cs="方正小标宋简体"/>
          <w:sz w:val="32"/>
          <w:szCs w:val="32"/>
        </w:rPr>
      </w:pPr>
      <w:bookmarkStart w:id="120" w:name="_Toc79163631"/>
      <w:bookmarkStart w:id="121" w:name="_Toc5456"/>
      <w:r>
        <w:rPr>
          <w:rFonts w:ascii="黑体" w:eastAsia="黑体" w:hAnsi="黑体" w:cs="黑体" w:hint="eastAsia"/>
          <w:sz w:val="32"/>
          <w:szCs w:val="32"/>
        </w:rPr>
        <w:t>附件</w:t>
      </w:r>
      <w:r>
        <w:rPr>
          <w:rFonts w:ascii="黑体" w:eastAsia="黑体" w:hAnsi="黑体" w:cs="黑体"/>
          <w:sz w:val="32"/>
          <w:szCs w:val="32"/>
        </w:rPr>
        <w:t>1</w:t>
      </w:r>
      <w:bookmarkEnd w:id="120"/>
      <w:bookmarkEnd w:id="121"/>
    </w:p>
    <w:p w14:paraId="09031FB8" w14:textId="77777777" w:rsidR="00D13164" w:rsidRDefault="00D13164">
      <w:pPr>
        <w:spacing w:line="580" w:lineRule="exact"/>
        <w:jc w:val="center"/>
        <w:rPr>
          <w:rFonts w:ascii="方正小标宋简体" w:eastAsia="方正小标宋简体" w:hAnsi="方正小标宋简体" w:cs="方正小标宋简体"/>
          <w:sz w:val="44"/>
          <w:szCs w:val="44"/>
        </w:rPr>
      </w:pPr>
    </w:p>
    <w:p w14:paraId="57E49695" w14:textId="77777777" w:rsidR="00D13164" w:rsidRDefault="00000000">
      <w:pPr>
        <w:spacing w:line="600" w:lineRule="exact"/>
        <w:jc w:val="center"/>
        <w:outlineLvl w:val="0"/>
        <w:rPr>
          <w:rFonts w:ascii="方正小标宋简体" w:eastAsia="方正小标宋简体" w:hAnsi="黑体" w:cs="黑体"/>
          <w:sz w:val="44"/>
          <w:szCs w:val="44"/>
        </w:rPr>
      </w:pPr>
      <w:bookmarkStart w:id="122" w:name="_Toc21336"/>
      <w:bookmarkStart w:id="123" w:name="_Toc79163632"/>
      <w:r>
        <w:rPr>
          <w:rFonts w:ascii="方正小标宋简体" w:eastAsia="方正小标宋简体" w:hAnsi="黑体" w:cs="黑体" w:hint="eastAsia"/>
          <w:sz w:val="44"/>
          <w:szCs w:val="44"/>
        </w:rPr>
        <w:t>松潘县人民政府办公室</w:t>
      </w:r>
      <w:bookmarkEnd w:id="122"/>
    </w:p>
    <w:p w14:paraId="7771A991" w14:textId="77777777" w:rsidR="00D13164" w:rsidRDefault="00000000">
      <w:pPr>
        <w:spacing w:line="600" w:lineRule="exact"/>
        <w:jc w:val="center"/>
        <w:outlineLvl w:val="0"/>
        <w:rPr>
          <w:rFonts w:ascii="方正小标宋简体" w:eastAsia="方正小标宋简体" w:hAnsi="黑体" w:cs="黑体"/>
          <w:sz w:val="44"/>
          <w:szCs w:val="44"/>
        </w:rPr>
      </w:pPr>
      <w:bookmarkStart w:id="124" w:name="_Toc21481"/>
      <w:r>
        <w:rPr>
          <w:rFonts w:ascii="方正小标宋简体" w:eastAsia="方正小标宋简体" w:hAnsi="黑体" w:cs="黑体"/>
          <w:sz w:val="44"/>
          <w:szCs w:val="44"/>
        </w:rPr>
        <w:t>202</w:t>
      </w:r>
      <w:r>
        <w:rPr>
          <w:rFonts w:ascii="方正小标宋简体" w:eastAsia="方正小标宋简体" w:hAnsi="黑体" w:cs="黑体" w:hint="eastAsia"/>
          <w:sz w:val="44"/>
          <w:szCs w:val="44"/>
        </w:rPr>
        <w:t>1年部门整体支出绩效评价报告</w:t>
      </w:r>
      <w:bookmarkEnd w:id="123"/>
      <w:bookmarkEnd w:id="124"/>
    </w:p>
    <w:p w14:paraId="5E831EE7" w14:textId="77777777" w:rsidR="00D13164" w:rsidRDefault="00000000">
      <w:pPr>
        <w:widowControl/>
        <w:spacing w:line="580" w:lineRule="exact"/>
        <w:ind w:firstLineChars="200" w:firstLine="64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14:paraId="67456E3D" w14:textId="77777777" w:rsidR="00D13164" w:rsidRDefault="00D13164">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14:paraId="6DA310B2" w14:textId="77777777" w:rsidR="00D13164" w:rsidRDefault="00000000">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14:paraId="23C46424" w14:textId="77777777" w:rsidR="00D13164" w:rsidRDefault="00000000">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14:paraId="40428D13" w14:textId="77777777" w:rsidR="00D13164" w:rsidRDefault="00000000">
      <w:pPr>
        <w:pStyle w:val="22"/>
        <w:widowControl/>
        <w:shd w:val="clear" w:color="070000" w:fill="FFFFFF"/>
        <w:spacing w:beforeAutospacing="0" w:afterAutospacing="0" w:line="576" w:lineRule="exact"/>
        <w:ind w:firstLineChars="181" w:firstLine="579"/>
        <w:jc w:val="both"/>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t>松潘县人民政府办公室属一级预算单位，独立编制机构数1个，独立核算机构数1个。</w:t>
      </w:r>
      <w:r>
        <w:rPr>
          <w:rFonts w:ascii="仿宋_GB2312" w:eastAsia="仿宋_GB2312" w:hAnsi="仿宋_GB2312" w:cs="仿宋_GB2312" w:hint="eastAsia"/>
          <w:color w:val="000000"/>
          <w:sz w:val="32"/>
          <w:szCs w:val="32"/>
        </w:rPr>
        <w:t>根据职责要求，内设科室及直属事业单位如下：</w:t>
      </w:r>
    </w:p>
    <w:p w14:paraId="542ADD21" w14:textId="77777777" w:rsidR="00D13164" w:rsidRDefault="00000000">
      <w:pPr>
        <w:pStyle w:val="22"/>
        <w:widowControl/>
        <w:shd w:val="clear" w:color="070000" w:fill="FFFFFF"/>
        <w:spacing w:beforeAutospacing="0" w:afterAutospacing="0" w:line="576" w:lineRule="exact"/>
        <w:ind w:firstLineChars="181" w:firstLine="579"/>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（1）综合股</w:t>
      </w:r>
    </w:p>
    <w:p w14:paraId="0B7222EB" w14:textId="77777777" w:rsidR="00D13164" w:rsidRDefault="00000000">
      <w:pPr>
        <w:pStyle w:val="22"/>
        <w:widowControl/>
        <w:shd w:val="clear" w:color="070000" w:fill="FFFFFF"/>
        <w:spacing w:beforeAutospacing="0" w:afterAutospacing="0" w:line="576" w:lineRule="exact"/>
        <w:ind w:firstLineChars="181" w:firstLine="579"/>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县政府、县政府办公室文电的收发、登记、分办工作；负责密码电报的分办、传阅、管理；负责县政府办公室的机要、保密、档案、印鉴管理等工作；协助办公室领导组织、协调机关日常工作；负责县政府全体会议、常务会议等会议的会务工作；负责县政府大型活动的组织协调；负责县政府办公室日常会务、接待和事务的协调办理工作；负责县政府总值班室工作。</w:t>
      </w:r>
    </w:p>
    <w:p w14:paraId="34B24260" w14:textId="77777777" w:rsidR="00D13164" w:rsidRDefault="00000000">
      <w:pPr>
        <w:pStyle w:val="22"/>
        <w:widowControl/>
        <w:shd w:val="clear" w:color="070000" w:fill="FFFFFF"/>
        <w:spacing w:beforeAutospacing="0" w:afterAutospacing="0" w:line="576" w:lineRule="exact"/>
        <w:ind w:firstLineChars="181" w:firstLine="579"/>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（2）秘书股</w:t>
      </w:r>
    </w:p>
    <w:p w14:paraId="35A92EC6" w14:textId="77777777" w:rsidR="00D13164" w:rsidRDefault="00000000">
      <w:pPr>
        <w:pStyle w:val="22"/>
        <w:widowControl/>
        <w:shd w:val="clear" w:color="070000" w:fill="FFFFFF"/>
        <w:spacing w:beforeAutospacing="0" w:afterAutospacing="0" w:line="576" w:lineRule="exact"/>
        <w:ind w:firstLineChars="181" w:firstLine="579"/>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负责起草县政府及办公室的综合性文稿；协助县政府领导搞好调查研究，起草讲话稿、调查报告和</w:t>
      </w:r>
      <w:proofErr w:type="gramStart"/>
      <w:r>
        <w:rPr>
          <w:rFonts w:ascii="仿宋_GB2312" w:eastAsia="仿宋_GB2312" w:hAnsi="仿宋_GB2312" w:cs="仿宋_GB2312" w:hint="eastAsia"/>
          <w:color w:val="000000"/>
          <w:sz w:val="32"/>
          <w:szCs w:val="32"/>
        </w:rPr>
        <w:t>文、</w:t>
      </w:r>
      <w:proofErr w:type="gramEnd"/>
      <w:r>
        <w:rPr>
          <w:rFonts w:ascii="仿宋_GB2312" w:eastAsia="仿宋_GB2312" w:hAnsi="仿宋_GB2312" w:cs="仿宋_GB2312" w:hint="eastAsia"/>
          <w:color w:val="000000"/>
          <w:sz w:val="32"/>
          <w:szCs w:val="32"/>
        </w:rPr>
        <w:t>电、函；负责县政府、县政府办公室名义发出公文的校对、印制等工作。</w:t>
      </w:r>
    </w:p>
    <w:p w14:paraId="367429DD" w14:textId="77777777" w:rsidR="00D13164" w:rsidRDefault="00000000">
      <w:pPr>
        <w:pStyle w:val="22"/>
        <w:widowControl/>
        <w:shd w:val="clear" w:color="070000" w:fill="FFFFFF"/>
        <w:spacing w:beforeAutospacing="0" w:afterAutospacing="0" w:line="576" w:lineRule="exact"/>
        <w:ind w:firstLineChars="181" w:firstLine="579"/>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（3）行政股</w:t>
      </w:r>
    </w:p>
    <w:p w14:paraId="2176C526" w14:textId="35DDB481" w:rsidR="00D13164" w:rsidRDefault="00000000">
      <w:pPr>
        <w:pStyle w:val="22"/>
        <w:widowControl/>
        <w:shd w:val="clear" w:color="070000" w:fill="FFFFFF"/>
        <w:spacing w:beforeAutospacing="0" w:afterAutospacing="0" w:line="576" w:lineRule="exact"/>
        <w:ind w:firstLineChars="181" w:firstLine="579"/>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县政府领导同志的服务事务和机关后勤管理工作；负责会场的管理工作；负责县政府机关的安保工作；负责机关和直属单位的财务管理工作；负责机关、直属机构的人事管理、机构编制和教育培训工作；负责机关和直属退休人员工作；负责县政府办公室物</w:t>
      </w:r>
      <w:r w:rsidR="0091230D">
        <w:rPr>
          <w:rFonts w:ascii="仿宋_GB2312" w:eastAsia="仿宋_GB2312" w:hAnsi="仿宋_GB2312" w:cs="仿宋_GB2312" w:hint="eastAsia"/>
          <w:color w:val="000000"/>
          <w:sz w:val="32"/>
          <w:szCs w:val="32"/>
        </w:rPr>
        <w:t>资</w:t>
      </w:r>
      <w:r>
        <w:rPr>
          <w:rFonts w:ascii="仿宋_GB2312" w:eastAsia="仿宋_GB2312" w:hAnsi="仿宋_GB2312" w:cs="仿宋_GB2312" w:hint="eastAsia"/>
          <w:color w:val="000000"/>
          <w:sz w:val="32"/>
          <w:szCs w:val="32"/>
        </w:rPr>
        <w:t>采购工作；负责县政府办公室工程项目工作；负责县政府办公室国有资产管理工作；负责县政府职工食堂管理工作。</w:t>
      </w:r>
    </w:p>
    <w:p w14:paraId="64760FAE" w14:textId="77777777" w:rsidR="00D13164" w:rsidRDefault="00000000">
      <w:pPr>
        <w:pStyle w:val="22"/>
        <w:widowControl/>
        <w:numPr>
          <w:ilvl w:val="0"/>
          <w:numId w:val="6"/>
        </w:numPr>
        <w:shd w:val="clear" w:color="070000" w:fill="FFFFFF"/>
        <w:spacing w:beforeAutospacing="0" w:afterAutospacing="0" w:line="576" w:lineRule="exact"/>
        <w:ind w:firstLineChars="181" w:firstLine="579"/>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驻蓉办</w:t>
      </w:r>
    </w:p>
    <w:p w14:paraId="20446DFD" w14:textId="77777777" w:rsidR="00D13164" w:rsidRDefault="00000000">
      <w:pPr>
        <w:pStyle w:val="22"/>
        <w:widowControl/>
        <w:shd w:val="clear" w:color="070000" w:fill="FFFFFF"/>
        <w:spacing w:beforeAutospacing="0" w:afterAutospacing="0" w:line="576" w:lineRule="exact"/>
        <w:ind w:firstLineChars="181" w:firstLine="579"/>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负责县政府的对外联络工作；负责收集、反馈发展经济的有关信息；负责县政府领导同志到外地出差的有关接待、联络工作。</w:t>
      </w:r>
    </w:p>
    <w:p w14:paraId="7C3C4C56" w14:textId="77777777" w:rsidR="00D13164" w:rsidRDefault="00000000">
      <w:pPr>
        <w:pStyle w:val="22"/>
        <w:widowControl/>
        <w:shd w:val="clear" w:color="070000" w:fill="FFFFFF"/>
        <w:spacing w:beforeAutospacing="0" w:afterAutospacing="0" w:line="576" w:lineRule="exact"/>
        <w:ind w:firstLineChars="181" w:firstLine="579"/>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（5）人防办</w:t>
      </w:r>
    </w:p>
    <w:p w14:paraId="30497FBF" w14:textId="77777777" w:rsidR="00D13164" w:rsidRDefault="00000000">
      <w:pPr>
        <w:pStyle w:val="22"/>
        <w:widowControl/>
        <w:shd w:val="clear" w:color="070000" w:fill="FFFFFF"/>
        <w:spacing w:beforeAutospacing="0" w:afterAutospacing="0" w:line="576" w:lineRule="exact"/>
        <w:ind w:firstLineChars="181" w:firstLine="579"/>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负责县政府人民防空和民防工作，指导全县人民防空和民防工作。 </w:t>
      </w:r>
    </w:p>
    <w:p w14:paraId="0EB689A6" w14:textId="77777777" w:rsidR="00D13164" w:rsidRDefault="00000000">
      <w:pPr>
        <w:pStyle w:val="22"/>
        <w:widowControl/>
        <w:shd w:val="clear" w:color="070000" w:fill="FFFFFF"/>
        <w:spacing w:beforeAutospacing="0" w:afterAutospacing="0" w:line="576" w:lineRule="exact"/>
        <w:ind w:firstLineChars="181" w:firstLine="579"/>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（6）信息办</w:t>
      </w:r>
    </w:p>
    <w:p w14:paraId="0BCB4ED2" w14:textId="77777777" w:rsidR="00D13164" w:rsidRDefault="00000000">
      <w:pPr>
        <w:pStyle w:val="22"/>
        <w:widowControl/>
        <w:shd w:val="clear" w:color="070000" w:fill="FFFFFF"/>
        <w:spacing w:beforeAutospacing="0" w:afterAutospacing="0" w:line="576" w:lineRule="exact"/>
        <w:ind w:firstLineChars="181" w:firstLine="579"/>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指导、监督全县政府信息公开工作和机关行政效能建设工作，指导、监督全县政府系统电子政务工作和政府网建设。</w:t>
      </w:r>
    </w:p>
    <w:p w14:paraId="119B7388" w14:textId="77777777" w:rsidR="00D13164" w:rsidRDefault="00000000">
      <w:pPr>
        <w:pStyle w:val="22"/>
        <w:widowControl/>
        <w:shd w:val="clear" w:color="070000" w:fill="FFFFFF"/>
        <w:spacing w:beforeAutospacing="0" w:afterAutospacing="0" w:line="576" w:lineRule="exact"/>
        <w:ind w:firstLineChars="181" w:firstLine="579"/>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（7）外事办</w:t>
      </w:r>
    </w:p>
    <w:p w14:paraId="13ABE673" w14:textId="77777777" w:rsidR="00D13164" w:rsidRDefault="00000000">
      <w:pPr>
        <w:pStyle w:val="22"/>
        <w:widowControl/>
        <w:shd w:val="clear" w:color="070000" w:fill="FFFFFF"/>
        <w:spacing w:beforeAutospacing="0" w:afterAutospacing="0" w:line="576" w:lineRule="exact"/>
        <w:ind w:firstLineChars="181" w:firstLine="579"/>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负责接待</w:t>
      </w:r>
      <w:proofErr w:type="gramStart"/>
      <w:r>
        <w:rPr>
          <w:rFonts w:ascii="仿宋_GB2312" w:eastAsia="仿宋_GB2312" w:hAnsi="仿宋_GB2312" w:cs="仿宋_GB2312" w:hint="eastAsia"/>
          <w:color w:val="000000"/>
          <w:sz w:val="32"/>
          <w:szCs w:val="32"/>
        </w:rPr>
        <w:t>外媒记者</w:t>
      </w:r>
      <w:proofErr w:type="gramEnd"/>
      <w:r>
        <w:rPr>
          <w:rFonts w:ascii="仿宋_GB2312" w:eastAsia="仿宋_GB2312" w:hAnsi="仿宋_GB2312" w:cs="仿宋_GB2312" w:hint="eastAsia"/>
          <w:color w:val="000000"/>
          <w:sz w:val="32"/>
          <w:szCs w:val="32"/>
        </w:rPr>
        <w:t>等工作。</w:t>
      </w:r>
    </w:p>
    <w:p w14:paraId="44B48C8A" w14:textId="77777777" w:rsidR="00D13164" w:rsidRDefault="00000000">
      <w:pPr>
        <w:pStyle w:val="22"/>
        <w:widowControl/>
        <w:numPr>
          <w:ilvl w:val="0"/>
          <w:numId w:val="7"/>
        </w:numPr>
        <w:shd w:val="clear" w:color="070000" w:fill="FFFFFF"/>
        <w:spacing w:beforeAutospacing="0" w:afterAutospacing="0" w:line="576" w:lineRule="exact"/>
        <w:ind w:firstLineChars="181" w:firstLine="579"/>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机关事务服务中心</w:t>
      </w:r>
    </w:p>
    <w:p w14:paraId="5D805DE7" w14:textId="77777777" w:rsidR="00D13164" w:rsidRDefault="00000000">
      <w:pPr>
        <w:pStyle w:val="22"/>
        <w:widowControl/>
        <w:shd w:val="clear" w:color="070000" w:fill="FFFFFF"/>
        <w:spacing w:beforeAutospacing="0" w:afterAutospacing="0" w:line="576" w:lineRule="exact"/>
        <w:ind w:firstLineChars="181" w:firstLine="579"/>
        <w:jc w:val="both"/>
        <w:rPr>
          <w:lang w:val="zh-CN"/>
        </w:rPr>
      </w:pPr>
      <w:r>
        <w:rPr>
          <w:rFonts w:ascii="仿宋_GB2312" w:eastAsia="仿宋_GB2312" w:hAnsi="仿宋_GB2312" w:cs="仿宋_GB2312" w:hint="eastAsia"/>
          <w:color w:val="000000"/>
          <w:sz w:val="32"/>
          <w:szCs w:val="32"/>
        </w:rPr>
        <w:t>负责县直机关事务的管理、保障、服务工作；负责县直行政事业单位国有资产管理工作；负责拟定全县党政机关和事业单位公务车辆管理办法并组织实施；负责县直行政事业</w:t>
      </w:r>
      <w:r>
        <w:rPr>
          <w:rFonts w:ascii="仿宋_GB2312" w:eastAsia="仿宋_GB2312" w:hAnsi="仿宋_GB2312" w:cs="仿宋_GB2312" w:hint="eastAsia"/>
          <w:color w:val="000000"/>
          <w:sz w:val="32"/>
          <w:szCs w:val="32"/>
        </w:rPr>
        <w:lastRenderedPageBreak/>
        <w:t>单位办公用房管理等工作；负责全县公共机构节能等工作；负责县直机关办公区的安保、消防、绿化、卫生等工作；负责机关运行成本等工作。</w:t>
      </w:r>
    </w:p>
    <w:p w14:paraId="209F439B" w14:textId="77777777" w:rsidR="00D13164" w:rsidRDefault="00000000">
      <w:pPr>
        <w:widowControl/>
        <w:numPr>
          <w:ilvl w:val="0"/>
          <w:numId w:val="8"/>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机构职能</w:t>
      </w:r>
    </w:p>
    <w:p w14:paraId="18F15F3D" w14:textId="77777777" w:rsidR="00D13164" w:rsidRDefault="00000000">
      <w:pPr>
        <w:pStyle w:val="13"/>
        <w:spacing w:line="576" w:lineRule="exact"/>
        <w:ind w:firstLineChars="181" w:firstLine="579"/>
        <w:rPr>
          <w:rFonts w:ascii="仿宋_GB2312" w:hAnsi="仿宋_GB2312" w:cs="仿宋_GB2312"/>
          <w:color w:val="000000"/>
          <w:sz w:val="32"/>
          <w:szCs w:val="32"/>
          <w:lang w:val="zh-CN"/>
        </w:rPr>
      </w:pPr>
      <w:r>
        <w:rPr>
          <w:rFonts w:ascii="仿宋_GB2312" w:hAnsi="仿宋_GB2312" w:cs="仿宋_GB2312" w:hint="eastAsia"/>
          <w:color w:val="000000"/>
          <w:sz w:val="32"/>
          <w:szCs w:val="32"/>
          <w:lang w:val="zh-CN"/>
        </w:rPr>
        <w:t>（1）协助县政府领导同志组织起草或审核以县政府、县政府办公室各名义发布的公文，办理州政府、州政府办公室及各委局发送县政府的文电，指导全县行政机关公文处理工作。</w:t>
      </w:r>
    </w:p>
    <w:p w14:paraId="7EDF5709" w14:textId="77777777" w:rsidR="00D13164" w:rsidRDefault="00000000">
      <w:pPr>
        <w:pStyle w:val="13"/>
        <w:spacing w:line="576" w:lineRule="exact"/>
        <w:ind w:firstLineChars="181" w:firstLine="579"/>
        <w:rPr>
          <w:rFonts w:ascii="仿宋_GB2312" w:hAnsi="仿宋_GB2312" w:cs="仿宋_GB2312"/>
          <w:color w:val="000000"/>
          <w:sz w:val="32"/>
          <w:szCs w:val="32"/>
          <w:lang w:val="zh-CN"/>
        </w:rPr>
      </w:pPr>
      <w:r>
        <w:rPr>
          <w:rFonts w:ascii="仿宋_GB2312" w:hAnsi="仿宋_GB2312" w:cs="仿宋_GB2312" w:hint="eastAsia"/>
          <w:color w:val="000000"/>
          <w:sz w:val="32"/>
          <w:szCs w:val="32"/>
          <w:lang w:val="zh-CN"/>
        </w:rPr>
        <w:t>（2）研究县政府部门和各乡镇人民政府请示县政府的事项，提出审核意见，报县政府领导同志审批。</w:t>
      </w:r>
    </w:p>
    <w:p w14:paraId="591AF718" w14:textId="77777777" w:rsidR="00D13164" w:rsidRDefault="00000000">
      <w:pPr>
        <w:pStyle w:val="13"/>
        <w:spacing w:line="576" w:lineRule="exact"/>
        <w:ind w:firstLineChars="181" w:firstLine="579"/>
        <w:rPr>
          <w:rFonts w:ascii="仿宋_GB2312" w:hAnsi="仿宋_GB2312" w:cs="仿宋_GB2312"/>
          <w:color w:val="000000"/>
          <w:sz w:val="32"/>
          <w:szCs w:val="32"/>
          <w:lang w:val="zh-CN"/>
        </w:rPr>
      </w:pPr>
      <w:r>
        <w:rPr>
          <w:rFonts w:ascii="仿宋_GB2312" w:hAnsi="仿宋_GB2312" w:cs="仿宋_GB2312" w:hint="eastAsia"/>
          <w:color w:val="000000"/>
          <w:sz w:val="32"/>
          <w:szCs w:val="32"/>
          <w:lang w:val="zh-CN"/>
        </w:rPr>
        <w:t>（3）负责县政府会议的准备工作，协助县政府领导同志组织实施会议决定事项。</w:t>
      </w:r>
    </w:p>
    <w:p w14:paraId="7A863340" w14:textId="77777777" w:rsidR="00D13164" w:rsidRDefault="00000000">
      <w:pPr>
        <w:pStyle w:val="13"/>
        <w:spacing w:line="576" w:lineRule="exact"/>
        <w:ind w:firstLineChars="181" w:firstLine="579"/>
        <w:rPr>
          <w:rFonts w:ascii="仿宋_GB2312" w:hAnsi="仿宋_GB2312" w:cs="仿宋_GB2312"/>
          <w:color w:val="000000"/>
          <w:sz w:val="32"/>
          <w:szCs w:val="32"/>
          <w:lang w:val="zh-CN"/>
        </w:rPr>
      </w:pPr>
      <w:r>
        <w:rPr>
          <w:rFonts w:ascii="仿宋_GB2312" w:hAnsi="仿宋_GB2312" w:cs="仿宋_GB2312" w:hint="eastAsia"/>
          <w:color w:val="000000"/>
          <w:sz w:val="32"/>
          <w:szCs w:val="32"/>
          <w:lang w:val="zh-CN"/>
        </w:rPr>
        <w:t>（4）根据县政府领导同志的指示，对政府部门间争议问题提出处理意见和建议，报县政府领导同志决定。</w:t>
      </w:r>
    </w:p>
    <w:p w14:paraId="09690ECC" w14:textId="77777777" w:rsidR="00D13164" w:rsidRDefault="00000000">
      <w:pPr>
        <w:pStyle w:val="13"/>
        <w:spacing w:line="576" w:lineRule="exact"/>
        <w:ind w:firstLineChars="181" w:firstLine="579"/>
        <w:rPr>
          <w:rFonts w:ascii="仿宋_GB2312" w:hAnsi="仿宋_GB2312" w:cs="仿宋_GB2312"/>
          <w:color w:val="000000"/>
          <w:sz w:val="32"/>
          <w:szCs w:val="32"/>
          <w:lang w:val="zh-CN"/>
        </w:rPr>
      </w:pPr>
      <w:r>
        <w:rPr>
          <w:rFonts w:ascii="仿宋_GB2312" w:hAnsi="仿宋_GB2312" w:cs="仿宋_GB2312" w:hint="eastAsia"/>
          <w:color w:val="000000"/>
          <w:sz w:val="32"/>
          <w:szCs w:val="32"/>
          <w:lang w:val="zh-CN"/>
        </w:rPr>
        <w:t>（5）督促检查县政府各部门和各乡镇人民政府对县政府决定事项及县政府领导同志指示的贯彻落实情况，及时向县政府领导同志报告。</w:t>
      </w:r>
    </w:p>
    <w:p w14:paraId="1E6954FE" w14:textId="77777777" w:rsidR="00D13164" w:rsidRDefault="00000000">
      <w:pPr>
        <w:pStyle w:val="13"/>
        <w:spacing w:line="576" w:lineRule="exact"/>
        <w:ind w:firstLineChars="181" w:firstLine="579"/>
        <w:rPr>
          <w:rFonts w:ascii="仿宋_GB2312" w:hAnsi="仿宋_GB2312" w:cs="仿宋_GB2312"/>
          <w:color w:val="000000"/>
          <w:sz w:val="32"/>
          <w:szCs w:val="32"/>
          <w:lang w:val="zh-CN"/>
        </w:rPr>
      </w:pPr>
      <w:r>
        <w:rPr>
          <w:rFonts w:ascii="仿宋_GB2312" w:hAnsi="仿宋_GB2312" w:cs="仿宋_GB2312" w:hint="eastAsia"/>
          <w:color w:val="000000"/>
          <w:sz w:val="32"/>
          <w:szCs w:val="32"/>
          <w:lang w:val="zh-CN"/>
        </w:rPr>
        <w:t>（6）负责县政府值班工作，指导乡镇人民政府和县政府部门值班工作，及时报告重要情况。</w:t>
      </w:r>
    </w:p>
    <w:p w14:paraId="49EE668B" w14:textId="77777777" w:rsidR="00D13164" w:rsidRDefault="00000000">
      <w:pPr>
        <w:pStyle w:val="13"/>
        <w:spacing w:line="576" w:lineRule="exact"/>
        <w:ind w:firstLineChars="181" w:firstLine="579"/>
        <w:rPr>
          <w:rFonts w:ascii="仿宋_GB2312" w:hAnsi="仿宋_GB2312" w:cs="仿宋_GB2312"/>
          <w:color w:val="000000"/>
          <w:sz w:val="32"/>
          <w:szCs w:val="32"/>
          <w:lang w:val="zh-CN"/>
        </w:rPr>
      </w:pPr>
      <w:r>
        <w:rPr>
          <w:rFonts w:ascii="仿宋_GB2312" w:hAnsi="仿宋_GB2312" w:cs="仿宋_GB2312" w:hint="eastAsia"/>
          <w:color w:val="000000"/>
          <w:sz w:val="32"/>
          <w:szCs w:val="32"/>
          <w:lang w:val="zh-CN"/>
        </w:rPr>
        <w:t>（7）指导、监督全县政府信息公开工作和机关行政效能建设工作，指导、监督全县政府系统电子政务工作和政府网建设。</w:t>
      </w:r>
    </w:p>
    <w:p w14:paraId="59E0CD45" w14:textId="77777777" w:rsidR="00D13164" w:rsidRDefault="00000000">
      <w:pPr>
        <w:pStyle w:val="13"/>
        <w:spacing w:line="576" w:lineRule="exact"/>
        <w:ind w:firstLineChars="181" w:firstLine="579"/>
        <w:rPr>
          <w:rFonts w:ascii="仿宋_GB2312" w:hAnsi="仿宋_GB2312" w:cs="仿宋_GB2312"/>
          <w:color w:val="000000"/>
          <w:sz w:val="32"/>
          <w:szCs w:val="32"/>
          <w:lang w:val="zh-CN"/>
        </w:rPr>
      </w:pPr>
      <w:r>
        <w:rPr>
          <w:rFonts w:ascii="仿宋_GB2312" w:hAnsi="仿宋_GB2312" w:cs="仿宋_GB2312" w:hint="eastAsia"/>
          <w:color w:val="000000"/>
          <w:sz w:val="32"/>
          <w:szCs w:val="32"/>
          <w:lang w:val="zh-CN"/>
        </w:rPr>
        <w:t>（8）组织办理涉及县政府工作的人大代表议案、批评建议和政协委员提案、建议案工作。</w:t>
      </w:r>
    </w:p>
    <w:p w14:paraId="202FA3B0" w14:textId="77777777" w:rsidR="00D13164" w:rsidRDefault="00000000">
      <w:pPr>
        <w:widowControl/>
        <w:adjustRightInd w:val="0"/>
        <w:snapToGrid w:val="0"/>
        <w:spacing w:line="576" w:lineRule="exact"/>
        <w:ind w:firstLineChars="181" w:firstLine="579"/>
        <w:jc w:val="left"/>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lastRenderedPageBreak/>
        <w:t>（9）负责县政府人民防空和民防工作，指导全县人民防空和民防工作。</w:t>
      </w:r>
    </w:p>
    <w:p w14:paraId="5EA765B0" w14:textId="77777777" w:rsidR="00D13164" w:rsidRDefault="00000000">
      <w:pPr>
        <w:pStyle w:val="BodyTextFirstIndent21"/>
        <w:ind w:firstLine="640"/>
        <w:rPr>
          <w:lang w:val="zh-CN"/>
        </w:rPr>
      </w:pPr>
      <w:r>
        <w:rPr>
          <w:rFonts w:ascii="仿宋_GB2312" w:eastAsia="仿宋_GB2312" w:hAnsi="仿宋_GB2312" w:cs="仿宋_GB2312" w:hint="eastAsia"/>
          <w:color w:val="000000"/>
          <w:kern w:val="0"/>
          <w:szCs w:val="32"/>
          <w:lang w:val="zh-CN"/>
        </w:rPr>
        <w:t>（</w:t>
      </w:r>
      <w:r>
        <w:rPr>
          <w:rFonts w:ascii="仿宋_GB2312" w:eastAsia="仿宋_GB2312" w:hAnsi="仿宋_GB2312" w:cs="仿宋_GB2312" w:hint="eastAsia"/>
          <w:color w:val="000000"/>
          <w:kern w:val="0"/>
          <w:szCs w:val="32"/>
        </w:rPr>
        <w:t>10</w:t>
      </w:r>
      <w:r>
        <w:rPr>
          <w:rFonts w:ascii="仿宋_GB2312" w:eastAsia="仿宋_GB2312" w:hAnsi="仿宋_GB2312" w:cs="仿宋_GB2312" w:hint="eastAsia"/>
          <w:color w:val="000000"/>
          <w:kern w:val="0"/>
          <w:szCs w:val="32"/>
          <w:lang w:val="zh-CN"/>
        </w:rPr>
        <w:t>）</w:t>
      </w:r>
      <w:r>
        <w:rPr>
          <w:rFonts w:ascii="仿宋_GB2312" w:eastAsia="仿宋_GB2312" w:hAnsi="仿宋_GB2312" w:cs="仿宋_GB2312" w:hint="eastAsia"/>
          <w:color w:val="000000"/>
          <w:kern w:val="0"/>
          <w:szCs w:val="32"/>
        </w:rPr>
        <w:t>负责机关事务服务工作</w:t>
      </w:r>
    </w:p>
    <w:p w14:paraId="56F4E71B" w14:textId="77777777" w:rsidR="00D13164" w:rsidRDefault="00000000">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14:paraId="0C52CC4E" w14:textId="77777777" w:rsidR="00D13164" w:rsidRDefault="00000000">
      <w:pPr>
        <w:pStyle w:val="BodyTextFirstIndent21"/>
        <w:ind w:firstLine="640"/>
        <w:rPr>
          <w:lang w:val="zh-CN"/>
        </w:rPr>
      </w:pPr>
      <w:r>
        <w:rPr>
          <w:rFonts w:ascii="仿宋_GB2312" w:eastAsia="仿宋_GB2312" w:hAnsi="仿宋_GB2312" w:cs="仿宋_GB2312" w:hint="eastAsia"/>
          <w:color w:val="000000"/>
          <w:kern w:val="0"/>
          <w:szCs w:val="32"/>
        </w:rPr>
        <w:t>机关编制23名，其中主任1名，副主任2名，机关党委书记1名，工勤10名。事业编制12名，其中人防办编制3名，信息办编制3名，机关事务服务中心编制6名。</w:t>
      </w:r>
    </w:p>
    <w:p w14:paraId="5F74897A" w14:textId="77777777" w:rsidR="00D13164" w:rsidRDefault="00000000">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14:paraId="14CAEF8E" w14:textId="77777777" w:rsidR="00D13164" w:rsidRDefault="00000000">
      <w:pPr>
        <w:widowControl/>
        <w:adjustRightInd w:val="0"/>
        <w:snapToGrid w:val="0"/>
        <w:spacing w:line="576" w:lineRule="exact"/>
        <w:ind w:firstLineChars="181" w:firstLine="579"/>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14:paraId="4854D315" w14:textId="77777777" w:rsidR="00D13164" w:rsidRDefault="00000000">
      <w:pPr>
        <w:widowControl/>
        <w:adjustRightInd w:val="0"/>
        <w:snapToGrid w:val="0"/>
        <w:spacing w:line="576" w:lineRule="exact"/>
        <w:ind w:firstLineChars="181" w:firstLine="579"/>
        <w:jc w:val="left"/>
        <w:rPr>
          <w:rFonts w:ascii="仿宋_GB2312" w:eastAsia="仿宋_GB2312" w:hAnsi="宋体" w:cs="宋体"/>
          <w:color w:val="000000"/>
          <w:kern w:val="0"/>
          <w:sz w:val="32"/>
          <w:szCs w:val="32"/>
          <w:highlight w:val="yellow"/>
          <w:shd w:val="clear" w:color="auto" w:fill="FFFFFF"/>
          <w:lang w:val="zh-CN"/>
        </w:rPr>
      </w:pPr>
      <w:r>
        <w:rPr>
          <w:rFonts w:ascii="仿宋_GB2312" w:eastAsia="仿宋_GB2312" w:hAnsi="仿宋_GB2312" w:cs="仿宋_GB2312" w:hint="eastAsia"/>
          <w:kern w:val="0"/>
          <w:sz w:val="32"/>
          <w:szCs w:val="32"/>
        </w:rPr>
        <w:t>2021年收入共计2446.65万元，其中一般公共财政拨款2446.65万元，占总收入的100％；政府性基金财政拨款0万元，占总收入的0％。其中：人员经费1271.09万元，公用经费576.99万元，项目支出598.57万元。</w:t>
      </w:r>
    </w:p>
    <w:p w14:paraId="7932A4D1" w14:textId="77777777" w:rsidR="00D13164" w:rsidRDefault="00000000">
      <w:pPr>
        <w:widowControl/>
        <w:numPr>
          <w:ilvl w:val="0"/>
          <w:numId w:val="8"/>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部门财政资金支出情况</w:t>
      </w:r>
    </w:p>
    <w:p w14:paraId="26E9DE1D" w14:textId="77777777" w:rsidR="00D13164" w:rsidRDefault="00000000">
      <w:pPr>
        <w:widowControl/>
        <w:adjustRightInd w:val="0"/>
        <w:snapToGrid w:val="0"/>
        <w:spacing w:line="576" w:lineRule="exact"/>
        <w:ind w:firstLineChars="181" w:firstLine="380"/>
        <w:jc w:val="left"/>
        <w:rPr>
          <w:rFonts w:ascii="仿宋_GB2312" w:eastAsia="仿宋_GB2312" w:hAnsi="仿宋_GB2312" w:cs="仿宋_GB2312"/>
          <w:color w:val="000000"/>
          <w:kern w:val="0"/>
          <w:sz w:val="32"/>
          <w:szCs w:val="32"/>
        </w:rPr>
      </w:pPr>
      <w:r>
        <w:rPr>
          <w:rFonts w:hint="eastAsia"/>
        </w:rPr>
        <w:t xml:space="preserve">  </w:t>
      </w:r>
      <w:r>
        <w:rPr>
          <w:rFonts w:ascii="仿宋_GB2312" w:eastAsia="仿宋_GB2312" w:hAnsi="仿宋_GB2312" w:cs="仿宋_GB2312" w:hint="eastAsia"/>
          <w:color w:val="000000"/>
          <w:kern w:val="0"/>
          <w:sz w:val="32"/>
          <w:szCs w:val="32"/>
        </w:rPr>
        <w:t>2021年本年支出合计2477.22万元，其中：基本支出</w:t>
      </w:r>
      <w:r>
        <w:rPr>
          <w:rFonts w:ascii="仿宋_GB2312" w:eastAsia="仿宋_GB2312" w:hAnsi="仿宋_GB2312" w:cs="仿宋_GB2312" w:hint="eastAsia"/>
          <w:kern w:val="0"/>
          <w:sz w:val="32"/>
          <w:szCs w:val="32"/>
        </w:rPr>
        <w:t>1848.08</w:t>
      </w:r>
      <w:r>
        <w:rPr>
          <w:rFonts w:ascii="仿宋_GB2312" w:eastAsia="仿宋_GB2312" w:hAnsi="仿宋_GB2312" w:cs="仿宋_GB2312" w:hint="eastAsia"/>
          <w:color w:val="000000"/>
          <w:kern w:val="0"/>
          <w:sz w:val="32"/>
          <w:szCs w:val="32"/>
        </w:rPr>
        <w:t>万元，占74.6%；项目支出</w:t>
      </w:r>
      <w:r>
        <w:rPr>
          <w:rFonts w:ascii="仿宋_GB2312" w:eastAsia="仿宋_GB2312" w:hAnsi="仿宋_GB2312" w:cs="仿宋_GB2312" w:hint="eastAsia"/>
          <w:kern w:val="0"/>
          <w:sz w:val="32"/>
          <w:szCs w:val="32"/>
        </w:rPr>
        <w:t>629.14</w:t>
      </w:r>
      <w:r>
        <w:rPr>
          <w:rFonts w:ascii="仿宋_GB2312" w:eastAsia="仿宋_GB2312" w:hAnsi="仿宋_GB2312" w:cs="仿宋_GB2312" w:hint="eastAsia"/>
          <w:color w:val="000000"/>
          <w:kern w:val="0"/>
          <w:sz w:val="32"/>
          <w:szCs w:val="32"/>
        </w:rPr>
        <w:t>万元，占25.4%。其中：2021年一般公共预算财政拨款支出</w:t>
      </w:r>
      <w:r>
        <w:rPr>
          <w:rFonts w:ascii="仿宋_GB2312" w:eastAsia="仿宋_GB2312" w:hAnsi="仿宋_GB2312" w:cs="仿宋_GB2312" w:hint="eastAsia"/>
          <w:kern w:val="0"/>
          <w:sz w:val="32"/>
          <w:szCs w:val="32"/>
        </w:rPr>
        <w:t>2477.22</w:t>
      </w:r>
      <w:r>
        <w:rPr>
          <w:rFonts w:ascii="仿宋_GB2312" w:eastAsia="仿宋_GB2312" w:hAnsi="仿宋_GB2312" w:cs="仿宋_GB2312" w:hint="eastAsia"/>
          <w:color w:val="000000"/>
          <w:kern w:val="0"/>
          <w:sz w:val="32"/>
          <w:szCs w:val="32"/>
        </w:rPr>
        <w:t>元，主要用于以下方面:</w:t>
      </w:r>
      <w:r>
        <w:rPr>
          <w:rFonts w:ascii="仿宋_GB2312" w:eastAsia="仿宋_GB2312" w:hAnsi="仿宋_GB2312" w:cs="仿宋_GB2312" w:hint="eastAsia"/>
          <w:kern w:val="0"/>
          <w:sz w:val="32"/>
          <w:szCs w:val="32"/>
        </w:rPr>
        <w:t>一般公共服务支出2145.57万元，占86.62%；国防支出85.57万元，占3.45%；社会保障和就业支出129.36万元，占5.22%；卫生健康支出43.62万元，占1.76%；住房保障支出73.1万元，占2.95%。</w:t>
      </w:r>
    </w:p>
    <w:p w14:paraId="74FABF7F" w14:textId="77777777" w:rsidR="00D13164" w:rsidRDefault="00000000">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14:paraId="5291577B" w14:textId="77777777" w:rsidR="00D13164" w:rsidRDefault="00000000">
      <w:pPr>
        <w:widowControl/>
        <w:adjustRightInd w:val="0"/>
        <w:snapToGrid w:val="0"/>
        <w:spacing w:line="576" w:lineRule="exact"/>
        <w:ind w:firstLineChars="181" w:firstLine="579"/>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14:paraId="2CD5FCB3" w14:textId="77777777" w:rsidR="00D13164" w:rsidRDefault="00000000">
      <w:pPr>
        <w:widowControl/>
        <w:adjustRightInd w:val="0"/>
        <w:snapToGrid w:val="0"/>
        <w:spacing w:line="576" w:lineRule="exact"/>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color w:val="000000"/>
          <w:kern w:val="0"/>
          <w:sz w:val="32"/>
          <w:szCs w:val="32"/>
          <w:shd w:val="clear" w:color="auto" w:fill="FFFFFF"/>
        </w:rPr>
        <w:t>1.</w:t>
      </w:r>
      <w:r>
        <w:rPr>
          <w:rFonts w:ascii="仿宋_GB2312" w:eastAsia="仿宋_GB2312" w:hAnsi="仿宋_GB2312" w:cs="仿宋_GB2312" w:hint="eastAsia"/>
          <w:kern w:val="0"/>
          <w:sz w:val="32"/>
          <w:szCs w:val="32"/>
          <w:lang w:val="zh-CN"/>
        </w:rPr>
        <w:t>预算编制情况</w:t>
      </w:r>
    </w:p>
    <w:p w14:paraId="284C31E6" w14:textId="77777777" w:rsidR="00D13164" w:rsidRDefault="00000000">
      <w:pPr>
        <w:spacing w:line="576" w:lineRule="exact"/>
        <w:ind w:firstLineChars="181" w:firstLine="579"/>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lastRenderedPageBreak/>
        <w:t>预算编制应当做到程序规范、方法科学、编制及时、内容完整、项目细化、数据准确。为了加快部门预算由“重使用”到“重管理”的绩效转变，我办严格把好部门预算编制质量关，一是统一编制要求，确保预算编制质量。根据我</w:t>
      </w:r>
      <w:proofErr w:type="gramStart"/>
      <w:r>
        <w:rPr>
          <w:rFonts w:ascii="仿宋_GB2312" w:eastAsia="仿宋_GB2312" w:hAnsi="仿宋_GB2312" w:cs="仿宋_GB2312" w:hint="eastAsia"/>
          <w:color w:val="000000"/>
          <w:kern w:val="0"/>
          <w:sz w:val="32"/>
          <w:szCs w:val="32"/>
          <w:lang w:val="zh-CN"/>
        </w:rPr>
        <w:t>办实际</w:t>
      </w:r>
      <w:proofErr w:type="gramEnd"/>
      <w:r>
        <w:rPr>
          <w:rFonts w:ascii="仿宋_GB2312" w:eastAsia="仿宋_GB2312" w:hAnsi="仿宋_GB2312" w:cs="仿宋_GB2312" w:hint="eastAsia"/>
          <w:color w:val="000000"/>
          <w:kern w:val="0"/>
          <w:sz w:val="32"/>
          <w:szCs w:val="32"/>
          <w:lang w:val="zh-CN"/>
        </w:rPr>
        <w:t>要求，从基本支出和项目支出两方面细化。</w:t>
      </w:r>
      <w:r>
        <w:rPr>
          <w:rFonts w:ascii="仿宋_GB2312" w:eastAsia="仿宋_GB2312" w:hAnsi="仿宋_GB2312" w:cs="仿宋_GB2312" w:hint="eastAsia"/>
          <w:color w:val="000000"/>
          <w:kern w:val="0"/>
          <w:sz w:val="32"/>
          <w:szCs w:val="32"/>
        </w:rPr>
        <w:t>二是建立协调机制，确保预算正常运行。</w:t>
      </w:r>
      <w:r>
        <w:rPr>
          <w:rFonts w:ascii="仿宋_GB2312" w:eastAsia="仿宋_GB2312" w:hAnsi="仿宋_GB2312" w:cs="仿宋_GB2312" w:hint="eastAsia"/>
          <w:color w:val="000000"/>
          <w:kern w:val="0"/>
          <w:sz w:val="32"/>
          <w:szCs w:val="32"/>
          <w:lang w:val="zh-CN"/>
        </w:rPr>
        <w:t>建立内部预算编制、预算执行、资产管理、基建管理、人事管理等岗位的沟通协调机制，按照规定进行项目评审，确保预算编制部门及时取得和有效运用与预算编制相关的信息，根据工作计划细化预算编制，提高预算编制的科学性。</w:t>
      </w:r>
    </w:p>
    <w:p w14:paraId="0E231A5A" w14:textId="77777777" w:rsidR="00D13164" w:rsidRDefault="00000000">
      <w:pPr>
        <w:spacing w:line="576" w:lineRule="exact"/>
        <w:ind w:firstLineChars="181" w:firstLine="579"/>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按照绩效管理要求，本部门对2021年一般公共预算项目支出开展了绩效目标管理，</w:t>
      </w:r>
      <w:r>
        <w:rPr>
          <w:rFonts w:ascii="仿宋_GB2312" w:eastAsia="仿宋_GB2312" w:hAnsi="仿宋_GB2312" w:cs="仿宋_GB2312" w:hint="eastAsia"/>
          <w:kern w:val="0"/>
          <w:sz w:val="32"/>
          <w:szCs w:val="32"/>
        </w:rPr>
        <w:t>共编制绩效目标18个，涉及财政资金775.32万元。</w:t>
      </w:r>
    </w:p>
    <w:p w14:paraId="73B6A158" w14:textId="77777777" w:rsidR="00D13164" w:rsidRDefault="00000000">
      <w:pPr>
        <w:widowControl/>
        <w:adjustRightInd w:val="0"/>
        <w:snapToGrid w:val="0"/>
        <w:spacing w:line="576" w:lineRule="exact"/>
        <w:ind w:firstLineChars="181" w:firstLine="579"/>
        <w:jc w:val="left"/>
        <w:rPr>
          <w:rFonts w:ascii="楷体_GB2312" w:eastAsia="楷体_GB2312" w:hAnsi="楷体_GB2312" w:cs="楷体_GB2312"/>
          <w:b/>
          <w:bCs/>
          <w:color w:val="FF0000"/>
          <w:kern w:val="0"/>
          <w:sz w:val="32"/>
          <w:szCs w:val="32"/>
          <w:lang w:val="zh-CN"/>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lang w:val="zh-CN"/>
        </w:rPr>
        <w:t>执行管理情况</w:t>
      </w:r>
      <w:r>
        <w:rPr>
          <w:rFonts w:ascii="楷体_GB2312" w:eastAsia="楷体_GB2312" w:hAnsi="楷体_GB2312" w:cs="楷体_GB2312" w:hint="eastAsia"/>
          <w:b/>
          <w:bCs/>
          <w:color w:val="FF0000"/>
          <w:kern w:val="0"/>
          <w:sz w:val="32"/>
          <w:szCs w:val="32"/>
          <w:lang w:val="zh-CN"/>
        </w:rPr>
        <w:tab/>
      </w:r>
    </w:p>
    <w:p w14:paraId="4058A514" w14:textId="77777777" w:rsidR="00D13164" w:rsidRDefault="00000000">
      <w:pPr>
        <w:spacing w:line="576" w:lineRule="exact"/>
        <w:ind w:firstLineChars="181" w:firstLine="579"/>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kern w:val="0"/>
          <w:sz w:val="32"/>
          <w:szCs w:val="32"/>
        </w:rPr>
        <w:t>部门预算执行进度情况</w:t>
      </w:r>
    </w:p>
    <w:p w14:paraId="23C1D0B3" w14:textId="77777777" w:rsidR="00D13164" w:rsidRDefault="00000000">
      <w:pPr>
        <w:spacing w:line="576" w:lineRule="exact"/>
        <w:ind w:firstLineChars="181" w:firstLine="579"/>
        <w:rPr>
          <w:rFonts w:ascii="仿宋_GB2312" w:eastAsia="仿宋_GB2312" w:hAnsi="仿宋_GB2312" w:cs="仿宋_GB2312"/>
          <w:kern w:val="0"/>
          <w:sz w:val="32"/>
          <w:szCs w:val="32"/>
          <w:lang w:val="zh-CN"/>
        </w:rPr>
      </w:pPr>
      <w:r>
        <w:rPr>
          <w:rFonts w:ascii="仿宋_GB2312" w:eastAsia="仿宋_GB2312" w:hAnsi="仿宋_GB2312" w:cs="仿宋_GB2312" w:hint="eastAsia"/>
          <w:color w:val="000000"/>
          <w:kern w:val="0"/>
          <w:sz w:val="32"/>
          <w:szCs w:val="32"/>
        </w:rPr>
        <w:t>我办2021年度财政拨款收入总决算</w:t>
      </w:r>
      <w:r>
        <w:rPr>
          <w:rFonts w:ascii="仿宋_GB2312" w:eastAsia="仿宋_GB2312" w:hAnsi="仿宋_GB2312" w:cs="仿宋_GB2312" w:hint="eastAsia"/>
          <w:kern w:val="0"/>
          <w:sz w:val="32"/>
          <w:szCs w:val="32"/>
        </w:rPr>
        <w:t>2446.65万元</w:t>
      </w:r>
      <w:r>
        <w:rPr>
          <w:rFonts w:ascii="仿宋_GB2312" w:eastAsia="仿宋_GB2312" w:hAnsi="仿宋_GB2312" w:cs="仿宋_GB2312" w:hint="eastAsia"/>
          <w:color w:val="000000"/>
          <w:kern w:val="0"/>
          <w:sz w:val="32"/>
          <w:szCs w:val="32"/>
        </w:rPr>
        <w:t>,本年支出总决算数2477.22万元。与2020年相比，财政拨款收入增加295.2万元，增长13.72%；支出增加248.81万元，增长11.16%，增长的主要原因是：一是新调入事业人员3人，年终绩效奖金增加，人员经费增加；二是完成基建项目一个，总投资93.66万元；三是完成党员活动室改造等。</w:t>
      </w:r>
      <w:r>
        <w:rPr>
          <w:rFonts w:ascii="仿宋_GB2312" w:eastAsia="仿宋_GB2312" w:hAnsi="仿宋_GB2312" w:cs="仿宋_GB2312" w:hint="eastAsia"/>
          <w:kern w:val="0"/>
          <w:sz w:val="32"/>
          <w:szCs w:val="32"/>
        </w:rPr>
        <w:t>其中：</w:t>
      </w:r>
      <w:r>
        <w:rPr>
          <w:rFonts w:ascii="仿宋_GB2312" w:eastAsia="仿宋_GB2312" w:hAnsi="仿宋_GB2312" w:cs="仿宋_GB2312" w:hint="eastAsia"/>
          <w:color w:val="000000"/>
          <w:kern w:val="0"/>
          <w:sz w:val="32"/>
          <w:szCs w:val="32"/>
        </w:rPr>
        <w:t>基本支出</w:t>
      </w:r>
      <w:r>
        <w:rPr>
          <w:rFonts w:ascii="仿宋_GB2312" w:eastAsia="仿宋_GB2312" w:hAnsi="仿宋_GB2312" w:cs="仿宋_GB2312" w:hint="eastAsia"/>
          <w:kern w:val="0"/>
          <w:sz w:val="32"/>
          <w:szCs w:val="32"/>
        </w:rPr>
        <w:t>1848.08</w:t>
      </w:r>
      <w:r>
        <w:rPr>
          <w:rFonts w:ascii="仿宋_GB2312" w:eastAsia="仿宋_GB2312" w:hAnsi="仿宋_GB2312" w:cs="仿宋_GB2312" w:hint="eastAsia"/>
          <w:color w:val="000000"/>
          <w:kern w:val="0"/>
          <w:sz w:val="32"/>
          <w:szCs w:val="32"/>
        </w:rPr>
        <w:t>万元，占74.6%；项目支出</w:t>
      </w:r>
      <w:r>
        <w:rPr>
          <w:rFonts w:ascii="仿宋_GB2312" w:eastAsia="仿宋_GB2312" w:hAnsi="仿宋_GB2312" w:cs="仿宋_GB2312" w:hint="eastAsia"/>
          <w:kern w:val="0"/>
          <w:sz w:val="32"/>
          <w:szCs w:val="32"/>
        </w:rPr>
        <w:t>629.14</w:t>
      </w:r>
      <w:r>
        <w:rPr>
          <w:rFonts w:ascii="仿宋_GB2312" w:eastAsia="仿宋_GB2312" w:hAnsi="仿宋_GB2312" w:cs="仿宋_GB2312" w:hint="eastAsia"/>
          <w:color w:val="000000"/>
          <w:kern w:val="0"/>
          <w:sz w:val="32"/>
          <w:szCs w:val="32"/>
        </w:rPr>
        <w:t>万元，占25.4%。其中：2021年一般公共预算财政拨款支出</w:t>
      </w:r>
      <w:r>
        <w:rPr>
          <w:rFonts w:ascii="仿宋_GB2312" w:eastAsia="仿宋_GB2312" w:hAnsi="仿宋_GB2312" w:cs="仿宋_GB2312" w:hint="eastAsia"/>
          <w:kern w:val="0"/>
          <w:sz w:val="32"/>
          <w:szCs w:val="32"/>
        </w:rPr>
        <w:t>2477.22</w:t>
      </w:r>
      <w:r>
        <w:rPr>
          <w:rFonts w:ascii="仿宋_GB2312" w:eastAsia="仿宋_GB2312" w:hAnsi="仿宋_GB2312" w:cs="仿宋_GB2312" w:hint="eastAsia"/>
          <w:color w:val="000000"/>
          <w:kern w:val="0"/>
          <w:sz w:val="32"/>
          <w:szCs w:val="32"/>
        </w:rPr>
        <w:t>元，主要用于以下方面:</w:t>
      </w:r>
      <w:r>
        <w:rPr>
          <w:rFonts w:ascii="仿宋_GB2312" w:eastAsia="仿宋_GB2312" w:hAnsi="仿宋_GB2312" w:cs="仿宋_GB2312" w:hint="eastAsia"/>
          <w:kern w:val="0"/>
          <w:sz w:val="32"/>
          <w:szCs w:val="32"/>
        </w:rPr>
        <w:t>一般公共服务支出2145.57万元，</w:t>
      </w:r>
      <w:r>
        <w:rPr>
          <w:rFonts w:ascii="仿宋_GB2312" w:eastAsia="仿宋_GB2312" w:hAnsi="仿宋_GB2312" w:cs="仿宋_GB2312" w:hint="eastAsia"/>
          <w:kern w:val="0"/>
          <w:sz w:val="32"/>
          <w:szCs w:val="32"/>
        </w:rPr>
        <w:lastRenderedPageBreak/>
        <w:t>占86.61%；国防支出85.57万元，占3.45%；社会保障和就业支出129.36万元，占5.22%；卫生健康支出43.62万元，占1.76%；住房保障支出73.1万元，占2.96%</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kern w:val="0"/>
          <w:sz w:val="32"/>
          <w:szCs w:val="32"/>
        </w:rPr>
        <w:t>2021年支出按预算进度执行。</w:t>
      </w:r>
    </w:p>
    <w:p w14:paraId="5D703419" w14:textId="77777777" w:rsidR="00D13164" w:rsidRDefault="00000000">
      <w:pPr>
        <w:spacing w:line="576" w:lineRule="exact"/>
        <w:ind w:firstLineChars="181" w:firstLine="579"/>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lang w:val="zh-CN"/>
        </w:rPr>
        <w:t>）中期评估</w:t>
      </w:r>
    </w:p>
    <w:p w14:paraId="348B9174" w14:textId="77777777" w:rsidR="00D13164" w:rsidRDefault="00000000">
      <w:pPr>
        <w:spacing w:line="576" w:lineRule="exact"/>
        <w:ind w:firstLineChars="181" w:firstLine="579"/>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我办严格按照预算进度进行了中期评估。</w:t>
      </w:r>
    </w:p>
    <w:p w14:paraId="6957D7F8" w14:textId="77777777" w:rsidR="00D13164" w:rsidRDefault="00000000">
      <w:pPr>
        <w:spacing w:line="576" w:lineRule="exact"/>
        <w:ind w:firstLineChars="181" w:firstLine="579"/>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lang w:val="zh-CN"/>
        </w:rPr>
        <w:t>（</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lang w:val="zh-CN"/>
        </w:rPr>
        <w:t>）节能降耗及“三公”经费预算执行情况</w:t>
      </w:r>
    </w:p>
    <w:p w14:paraId="6A053436" w14:textId="77777777" w:rsidR="00D13164" w:rsidRDefault="00000000">
      <w:pPr>
        <w:widowControl/>
        <w:adjustRightInd w:val="0"/>
        <w:snapToGrid w:val="0"/>
        <w:spacing w:line="576" w:lineRule="exact"/>
        <w:ind w:firstLineChars="181" w:firstLine="579"/>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2021年度“三公”经费财政拨款支出决算数比2020年减少4.19万元，减少2.04%，其中：公务用车购置及运行维护费支出决算增加15.95万元，增长9.23%；因公出国（境）费用减少0万元；公务接待费支出决算减少20.15万元，减少61.27%。增减变动的主要原因一是厉行节约，减少接待支出；二是根据纪委相关文件对单位接待费用进行核查，对只有电话且未发函的单位不再安排接待；三是车辆老化，车辆大修费用增加，其中川U66615车更换发动机。</w:t>
      </w:r>
    </w:p>
    <w:p w14:paraId="64B0E3C4" w14:textId="77777777" w:rsidR="00D13164" w:rsidRDefault="00000000">
      <w:pPr>
        <w:widowControl/>
        <w:adjustRightInd w:val="0"/>
        <w:snapToGrid w:val="0"/>
        <w:spacing w:line="576" w:lineRule="exact"/>
        <w:ind w:firstLineChars="181" w:firstLine="579"/>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lang w:val="zh-CN"/>
        </w:rPr>
        <w:t>综合管理情况</w:t>
      </w:r>
    </w:p>
    <w:p w14:paraId="711EC279" w14:textId="77777777" w:rsidR="00D13164" w:rsidRDefault="00000000">
      <w:pPr>
        <w:spacing w:line="576" w:lineRule="exact"/>
        <w:ind w:firstLineChars="181" w:firstLine="579"/>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lang w:val="zh-CN"/>
        </w:rPr>
        <w:t>）政策采购实施计划情况</w:t>
      </w:r>
    </w:p>
    <w:p w14:paraId="441787DB" w14:textId="77777777" w:rsidR="00D13164" w:rsidRDefault="00000000">
      <w:pPr>
        <w:spacing w:line="576" w:lineRule="exact"/>
        <w:ind w:firstLineChars="181" w:firstLine="579"/>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严格按照政府采购计划及预算进行政府采购。</w:t>
      </w:r>
    </w:p>
    <w:p w14:paraId="55C3A59D" w14:textId="77777777" w:rsidR="00D13164" w:rsidRDefault="00000000">
      <w:pPr>
        <w:spacing w:line="576" w:lineRule="exact"/>
        <w:ind w:firstLineChars="181" w:firstLine="579"/>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lang w:val="zh-CN"/>
        </w:rPr>
        <w:t>）资产管理情况</w:t>
      </w:r>
    </w:p>
    <w:p w14:paraId="4DB555B2" w14:textId="77777777" w:rsidR="00D13164" w:rsidRDefault="00000000">
      <w:pPr>
        <w:spacing w:line="576" w:lineRule="exact"/>
        <w:ind w:firstLineChars="181" w:firstLine="579"/>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rPr>
        <w:t>资产管理控制目标是预防国有资产流失，严格按相关的法律法规标准购置、配置和使用资产，并与单位的政府职能相适应，科学合理地优化资产结构。加强对实物资产和无形资产的管理，明确相关部门和岗位的职责权限，强化对配置、使用和处置等关键环节的管控。一是对资产实施归口管理。</w:t>
      </w:r>
      <w:r>
        <w:rPr>
          <w:rFonts w:ascii="仿宋_GB2312" w:eastAsia="仿宋_GB2312" w:hAnsi="仿宋_GB2312" w:cs="仿宋_GB2312" w:hint="eastAsia"/>
          <w:color w:val="000000"/>
          <w:kern w:val="0"/>
          <w:sz w:val="32"/>
          <w:szCs w:val="32"/>
        </w:rPr>
        <w:lastRenderedPageBreak/>
        <w:t>二是按照国有资产管理相关规定，明确资产的调剂、租借、对外投资、处置的程序、审批权限和责任。三是建立</w:t>
      </w:r>
      <w:proofErr w:type="gramStart"/>
      <w:r>
        <w:rPr>
          <w:rFonts w:ascii="仿宋_GB2312" w:eastAsia="仿宋_GB2312" w:hAnsi="仿宋_GB2312" w:cs="仿宋_GB2312" w:hint="eastAsia"/>
          <w:color w:val="000000"/>
          <w:kern w:val="0"/>
          <w:sz w:val="32"/>
          <w:szCs w:val="32"/>
        </w:rPr>
        <w:t>资产台</w:t>
      </w:r>
      <w:proofErr w:type="gramEnd"/>
      <w:r>
        <w:rPr>
          <w:rFonts w:ascii="仿宋_GB2312" w:eastAsia="仿宋_GB2312" w:hAnsi="仿宋_GB2312" w:cs="仿宋_GB2312" w:hint="eastAsia"/>
          <w:color w:val="000000"/>
          <w:kern w:val="0"/>
          <w:sz w:val="32"/>
          <w:szCs w:val="32"/>
        </w:rPr>
        <w:t>账，加强资产的实物管理。四是建立资产信息管理系统，做好资产的统计、报告、分析工作，实现对资产的动态管理。</w:t>
      </w:r>
    </w:p>
    <w:p w14:paraId="40A56974" w14:textId="77777777" w:rsidR="00D13164" w:rsidRDefault="00000000">
      <w:pPr>
        <w:spacing w:line="576" w:lineRule="exact"/>
        <w:ind w:firstLineChars="181" w:firstLine="579"/>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lang w:val="zh-CN"/>
        </w:rPr>
        <w:t>）内控制度管理情况</w:t>
      </w:r>
    </w:p>
    <w:p w14:paraId="24CB4E2D" w14:textId="77777777" w:rsidR="00D13164" w:rsidRDefault="00000000">
      <w:pPr>
        <w:spacing w:line="576" w:lineRule="exact"/>
        <w:ind w:firstLineChars="181" w:firstLine="579"/>
        <w:rPr>
          <w:rFonts w:ascii="仿宋_GB2312" w:eastAsia="仿宋_GB2312" w:hAnsi="宋体" w:cs="宋体"/>
          <w:color w:val="000000"/>
          <w:kern w:val="0"/>
          <w:sz w:val="32"/>
          <w:szCs w:val="32"/>
          <w:shd w:val="clear" w:color="auto" w:fill="FFFFFF"/>
          <w:lang w:val="zh-CN"/>
        </w:rPr>
      </w:pPr>
      <w:r>
        <w:rPr>
          <w:rFonts w:ascii="仿宋_GB2312" w:eastAsia="仿宋_GB2312" w:hAnsi="仿宋_GB2312" w:cs="仿宋_GB2312" w:hint="eastAsia"/>
          <w:color w:val="000000"/>
          <w:kern w:val="0"/>
          <w:sz w:val="32"/>
          <w:szCs w:val="32"/>
        </w:rPr>
        <w:t>健全</w:t>
      </w:r>
      <w:proofErr w:type="gramStart"/>
      <w:r>
        <w:rPr>
          <w:rFonts w:ascii="仿宋_GB2312" w:eastAsia="仿宋_GB2312" w:hAnsi="仿宋_GB2312" w:cs="仿宋_GB2312" w:hint="eastAsia"/>
          <w:color w:val="000000"/>
          <w:kern w:val="0"/>
          <w:sz w:val="32"/>
          <w:szCs w:val="32"/>
        </w:rPr>
        <w:t>完善部门</w:t>
      </w:r>
      <w:proofErr w:type="gramEnd"/>
      <w:r>
        <w:rPr>
          <w:rFonts w:ascii="仿宋_GB2312" w:eastAsia="仿宋_GB2312" w:hAnsi="仿宋_GB2312" w:cs="仿宋_GB2312" w:hint="eastAsia"/>
          <w:color w:val="000000"/>
          <w:kern w:val="0"/>
          <w:sz w:val="32"/>
          <w:szCs w:val="32"/>
        </w:rPr>
        <w:t>内控制度，全面梳理业务流程，明确业务环节，分析风险隐患，完善风险评估机制，制定风险应对策略。建立单位内控监督约束机制，确保资金安全、合理、有效使用，最大限度发挥财政资金使用效益。</w:t>
      </w:r>
    </w:p>
    <w:p w14:paraId="2682CF51" w14:textId="77777777" w:rsidR="00D13164" w:rsidRDefault="00000000">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14:paraId="03582E65" w14:textId="77777777" w:rsidR="00D13164" w:rsidRDefault="00000000">
      <w:pPr>
        <w:spacing w:line="576" w:lineRule="exact"/>
        <w:ind w:firstLineChars="181" w:firstLine="579"/>
        <w:rPr>
          <w:rFonts w:ascii="仿宋_GB2312" w:eastAsia="仿宋_GB2312" w:hAnsi="仿宋_GB2312" w:cs="仿宋_GB2312"/>
          <w:color w:val="000000"/>
          <w:kern w:val="0"/>
          <w:sz w:val="32"/>
          <w:szCs w:val="32"/>
          <w:lang w:val="zh-CN"/>
        </w:rPr>
      </w:pPr>
      <w:r>
        <w:rPr>
          <w:rFonts w:ascii="仿宋_GB2312" w:eastAsia="仿宋_GB2312" w:hAnsi="宋体" w:cs="宋体" w:hint="eastAsia"/>
          <w:color w:val="000000"/>
          <w:kern w:val="0"/>
          <w:sz w:val="32"/>
          <w:szCs w:val="32"/>
          <w:shd w:val="clear" w:color="auto" w:fill="FFFFFF"/>
        </w:rPr>
        <w:t>1.</w:t>
      </w:r>
      <w:r>
        <w:rPr>
          <w:rFonts w:ascii="仿宋_GB2312" w:eastAsia="仿宋_GB2312" w:hAnsi="仿宋_GB2312" w:cs="仿宋_GB2312" w:hint="eastAsia"/>
          <w:color w:val="000000"/>
          <w:kern w:val="0"/>
          <w:sz w:val="32"/>
          <w:szCs w:val="32"/>
          <w:lang w:val="zh-CN"/>
        </w:rPr>
        <w:t>信息公开情况</w:t>
      </w:r>
    </w:p>
    <w:p w14:paraId="68F8959B" w14:textId="77777777" w:rsidR="00D13164" w:rsidRDefault="00000000">
      <w:pPr>
        <w:spacing w:line="576" w:lineRule="exact"/>
        <w:ind w:firstLineChars="181" w:firstLine="579"/>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根据财政要求，按时在政府信息公开网站进行预决算公开及其他相关信息公开。</w:t>
      </w:r>
    </w:p>
    <w:p w14:paraId="23904F00" w14:textId="77777777" w:rsidR="00D13164" w:rsidRDefault="00000000">
      <w:pPr>
        <w:spacing w:line="576" w:lineRule="exact"/>
        <w:ind w:firstLineChars="181" w:firstLine="579"/>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lang w:val="zh-CN"/>
        </w:rPr>
        <w:t>绩效评价及依法接受财政监督情况</w:t>
      </w:r>
    </w:p>
    <w:p w14:paraId="723377DB" w14:textId="77777777" w:rsidR="00D13164" w:rsidRDefault="00000000">
      <w:pPr>
        <w:spacing w:line="576" w:lineRule="exact"/>
        <w:ind w:firstLineChars="181" w:firstLine="579"/>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rPr>
        <w:t>根据财政要求，对本单位部门整体支出绩效进行自评，并撰写部门整体支出绩效自评报告。在接受财政部门监督检查时，如实提供会计凭证、会计账簿、财务会计报告和其他会计资料，不存在拒绝、隐匿、谎报等情况。</w:t>
      </w:r>
    </w:p>
    <w:p w14:paraId="3B8A09FD" w14:textId="77777777" w:rsidR="00D13164" w:rsidRDefault="00000000">
      <w:pPr>
        <w:widowControl/>
        <w:adjustRightInd w:val="0"/>
        <w:snapToGrid w:val="0"/>
        <w:spacing w:line="576" w:lineRule="exact"/>
        <w:ind w:firstLineChars="181" w:firstLine="579"/>
        <w:jc w:val="left"/>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lang w:val="zh-CN"/>
        </w:rPr>
        <w:t>整体绩效</w:t>
      </w:r>
    </w:p>
    <w:p w14:paraId="39AE0B73" w14:textId="77777777" w:rsidR="00D13164" w:rsidRDefault="00000000">
      <w:pPr>
        <w:spacing w:line="576" w:lineRule="exact"/>
        <w:ind w:firstLineChars="181" w:firstLine="579"/>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我办在政府的领导下，开拓创新，真抓实干，在服务政府决策上有了新举措，落实政府决策上有了新绩效，形成工作合力上有了新局面，机制制度创新上有了新突破，为松潘经济社会发展做出了积极的贡献，具体表现为：</w:t>
      </w:r>
    </w:p>
    <w:p w14:paraId="64F9FAC4" w14:textId="77777777" w:rsidR="00D13164" w:rsidRDefault="00000000">
      <w:pPr>
        <w:numPr>
          <w:ilvl w:val="0"/>
          <w:numId w:val="9"/>
        </w:numPr>
        <w:spacing w:line="576" w:lineRule="exact"/>
        <w:ind w:firstLineChars="181" w:firstLine="579"/>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围绕政府决策、决定、规定和工作部署, 精细准</w:t>
      </w:r>
      <w:r>
        <w:rPr>
          <w:rFonts w:ascii="仿宋_GB2312" w:eastAsia="仿宋_GB2312" w:hAnsi="仿宋_GB2312" w:cs="仿宋_GB2312" w:hint="eastAsia"/>
          <w:color w:val="000000"/>
          <w:kern w:val="0"/>
          <w:sz w:val="32"/>
          <w:szCs w:val="32"/>
        </w:rPr>
        <w:lastRenderedPageBreak/>
        <w:t>确地做好文稿服务，深入开展调查研究，准确收集反馈信息，及时掌握综合重要情况，当好参谋助手，更好地为政府决策服务.</w:t>
      </w:r>
    </w:p>
    <w:p w14:paraId="65160FB0" w14:textId="77777777" w:rsidR="00D13164" w:rsidRDefault="00000000">
      <w:pPr>
        <w:numPr>
          <w:ilvl w:val="0"/>
          <w:numId w:val="9"/>
        </w:numPr>
        <w:spacing w:line="576" w:lineRule="exact"/>
        <w:ind w:firstLineChars="181" w:firstLine="579"/>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抓好督查督办，推动政府决策贯彻落实。</w:t>
      </w:r>
    </w:p>
    <w:p w14:paraId="1A64AEA7" w14:textId="77777777" w:rsidR="00D13164" w:rsidRDefault="00000000">
      <w:pPr>
        <w:numPr>
          <w:ilvl w:val="0"/>
          <w:numId w:val="9"/>
        </w:numPr>
        <w:spacing w:line="576" w:lineRule="exact"/>
        <w:ind w:firstLineChars="181" w:firstLine="579"/>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措施有力，脱贫攻坚工作进展良好，我办在全县脱贫攻坚对口帮扶工作中负责小姓乡，切实承担帮扶责任，定期到小姓乡开展脱贫攻坚各项帮扶工作。</w:t>
      </w:r>
    </w:p>
    <w:p w14:paraId="238CFCBC" w14:textId="77777777" w:rsidR="00D13164" w:rsidRDefault="00000000">
      <w:pPr>
        <w:numPr>
          <w:ilvl w:val="0"/>
          <w:numId w:val="9"/>
        </w:numPr>
        <w:spacing w:line="576" w:lineRule="exact"/>
        <w:ind w:firstLineChars="181" w:firstLine="579"/>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重视机要保密，确保执政履职安全有序。</w:t>
      </w:r>
    </w:p>
    <w:p w14:paraId="72C87762" w14:textId="77777777" w:rsidR="00D13164" w:rsidRDefault="00000000">
      <w:pPr>
        <w:numPr>
          <w:ilvl w:val="0"/>
          <w:numId w:val="9"/>
        </w:numPr>
        <w:spacing w:line="576" w:lineRule="exact"/>
        <w:ind w:firstLineChars="181" w:firstLine="579"/>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坚持以人为本，信访、接待等工作周到细致。</w:t>
      </w:r>
    </w:p>
    <w:p w14:paraId="0F98E88F" w14:textId="77777777" w:rsidR="00D13164" w:rsidRDefault="00000000">
      <w:pPr>
        <w:numPr>
          <w:ilvl w:val="0"/>
          <w:numId w:val="9"/>
        </w:numPr>
        <w:spacing w:line="576" w:lineRule="exact"/>
        <w:ind w:firstLineChars="181" w:firstLine="579"/>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做好后勤保障，创造良好的工作生活条件。在接待工作方面，与县公务服务中心一道，本着热情、周到、节俭的原则，详细制定接待预案，严格接待标准，规范接待程序，全面落实“光盘行动”，厉行节约，反对铺张浪费。</w:t>
      </w:r>
    </w:p>
    <w:p w14:paraId="781E7676" w14:textId="77777777" w:rsidR="00D13164" w:rsidRDefault="00000000">
      <w:pPr>
        <w:numPr>
          <w:ilvl w:val="0"/>
          <w:numId w:val="9"/>
        </w:numPr>
        <w:spacing w:line="576" w:lineRule="exact"/>
        <w:ind w:firstLineChars="181" w:firstLine="579"/>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强化办公室自身建设，狠抓理论学习教育培训，加强机关作风及干部队伍建设，加大干部培养教育和选拔任用力度，办公室人员队伍综合素质明显提高，充分发挥了政府办党组织和党员的作用。</w:t>
      </w:r>
    </w:p>
    <w:p w14:paraId="43B375C4" w14:textId="77777777" w:rsidR="00D13164" w:rsidRDefault="00000000">
      <w:pPr>
        <w:spacing w:line="576" w:lineRule="exact"/>
        <w:ind w:firstLineChars="181" w:firstLine="579"/>
        <w:rPr>
          <w:rFonts w:ascii="仿宋_GB2312" w:eastAsia="仿宋_GB2312" w:hAnsi="宋体" w:cs="宋体"/>
          <w:color w:val="000000"/>
          <w:kern w:val="0"/>
          <w:sz w:val="32"/>
          <w:szCs w:val="32"/>
          <w:shd w:val="clear" w:color="auto" w:fill="FFFFFF"/>
          <w:lang w:val="zh-CN"/>
        </w:rPr>
      </w:pPr>
      <w:r>
        <w:rPr>
          <w:rFonts w:ascii="仿宋_GB2312" w:eastAsia="仿宋_GB2312" w:hAnsi="仿宋_GB2312" w:cs="仿宋_GB2312" w:hint="eastAsia"/>
          <w:color w:val="000000"/>
          <w:kern w:val="0"/>
          <w:sz w:val="32"/>
          <w:szCs w:val="32"/>
        </w:rPr>
        <w:t>2021年度我办</w:t>
      </w:r>
      <w:r>
        <w:rPr>
          <w:rFonts w:ascii="仿宋_GB2312" w:eastAsia="仿宋_GB2312" w:hAnsi="仿宋_GB2312" w:cs="仿宋_GB2312" w:hint="eastAsia"/>
          <w:color w:val="000000"/>
          <w:kern w:val="0"/>
          <w:sz w:val="32"/>
          <w:szCs w:val="32"/>
          <w:lang w:val="zh-CN"/>
        </w:rPr>
        <w:t>各项指标在县委、县政府的绩效考核全部合格。</w:t>
      </w:r>
    </w:p>
    <w:p w14:paraId="56B9C56E" w14:textId="77777777" w:rsidR="00D13164" w:rsidRDefault="00000000">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14:paraId="2FD7F603" w14:textId="77777777" w:rsidR="00D13164" w:rsidRDefault="00000000">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14:paraId="0B059DE5" w14:textId="77777777" w:rsidR="00D13164" w:rsidRDefault="00000000">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仿宋_GB2312" w:cs="仿宋_GB2312" w:hint="eastAsia"/>
          <w:color w:val="000000"/>
          <w:kern w:val="0"/>
          <w:sz w:val="32"/>
          <w:szCs w:val="32"/>
        </w:rPr>
        <w:t>根据我办2021年整体支出绩效评价指标体系规定的内容，经我单位自我综合评价。</w:t>
      </w:r>
    </w:p>
    <w:p w14:paraId="718714A2" w14:textId="77777777" w:rsidR="00D13164" w:rsidRDefault="00000000">
      <w:pPr>
        <w:widowControl/>
        <w:numPr>
          <w:ilvl w:val="0"/>
          <w:numId w:val="10"/>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存在问题</w:t>
      </w:r>
    </w:p>
    <w:p w14:paraId="662F7EC3" w14:textId="77777777" w:rsidR="00D13164" w:rsidRDefault="00000000">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仿宋_GB2312" w:cs="仿宋_GB2312" w:hint="eastAsia"/>
          <w:color w:val="000000"/>
          <w:kern w:val="0"/>
          <w:sz w:val="32"/>
          <w:szCs w:val="32"/>
          <w:lang w:val="zh-CN"/>
        </w:rPr>
        <w:lastRenderedPageBreak/>
        <w:t>我</w:t>
      </w:r>
      <w:proofErr w:type="gramStart"/>
      <w:r>
        <w:rPr>
          <w:rFonts w:ascii="仿宋_GB2312" w:eastAsia="仿宋_GB2312" w:hAnsi="仿宋_GB2312" w:cs="仿宋_GB2312" w:hint="eastAsia"/>
          <w:color w:val="000000"/>
          <w:kern w:val="0"/>
          <w:sz w:val="32"/>
          <w:szCs w:val="32"/>
          <w:lang w:val="zh-CN"/>
        </w:rPr>
        <w:t>办预算</w:t>
      </w:r>
      <w:proofErr w:type="gramEnd"/>
      <w:r>
        <w:rPr>
          <w:rFonts w:ascii="仿宋_GB2312" w:eastAsia="仿宋_GB2312" w:hAnsi="仿宋_GB2312" w:cs="仿宋_GB2312" w:hint="eastAsia"/>
          <w:color w:val="000000"/>
          <w:kern w:val="0"/>
          <w:sz w:val="32"/>
          <w:szCs w:val="32"/>
          <w:lang w:val="zh-CN"/>
        </w:rPr>
        <w:t>编制有待完善，需建立健全绩效考评制度。从源头把控“三公”经费开支。我办有公务用车</w:t>
      </w:r>
      <w:r>
        <w:rPr>
          <w:rFonts w:ascii="仿宋_GB2312" w:eastAsia="仿宋_GB2312" w:hAnsi="仿宋_GB2312" w:cs="仿宋_GB2312" w:hint="eastAsia"/>
          <w:color w:val="000000"/>
          <w:kern w:val="0"/>
          <w:sz w:val="32"/>
          <w:szCs w:val="32"/>
        </w:rPr>
        <w:t>16辆，其中10辆车年限久，公里数高，车辆老化，车辆维修维护费用高，致使公务用车运行维护费使用超进度。</w:t>
      </w:r>
    </w:p>
    <w:p w14:paraId="471EFF0B" w14:textId="77777777" w:rsidR="00D13164" w:rsidRDefault="00000000">
      <w:pPr>
        <w:widowControl/>
        <w:numPr>
          <w:ilvl w:val="0"/>
          <w:numId w:val="10"/>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改进建议</w:t>
      </w:r>
    </w:p>
    <w:p w14:paraId="0B2B1AAC" w14:textId="77777777" w:rsidR="00D13164" w:rsidRDefault="00000000">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仿宋_GB2312" w:cs="仿宋_GB2312" w:hint="eastAsia"/>
          <w:color w:val="000000"/>
          <w:kern w:val="0"/>
          <w:sz w:val="32"/>
          <w:szCs w:val="32"/>
          <w:lang w:val="zh-CN"/>
        </w:rPr>
        <w:t>在今后的工作一方面要严格预算编制，做到细化精确，争取一些费用纳入财政预算中；另一方面要严格落实专项经费使用管理规定，做到专款专用;同时应及时与财政部门衔接，调减专项资金的预算安排，调增人员基本支出的预算安排。三是确保财政供养人员及时到位，保障各项工作的顺利实行。四是在经费开支上严格按照八项规定执行。</w:t>
      </w:r>
    </w:p>
    <w:p w14:paraId="0FAAEB84" w14:textId="77777777" w:rsidR="00D13164" w:rsidRDefault="00D13164">
      <w:pPr>
        <w:spacing w:line="580" w:lineRule="exact"/>
        <w:ind w:firstLineChars="200" w:firstLine="640"/>
        <w:rPr>
          <w:rFonts w:ascii="仿宋_GB2312" w:eastAsia="仿宋_GB2312" w:hAnsi="仿宋_GB2312" w:cs="仿宋_GB2312"/>
          <w:sz w:val="32"/>
          <w:szCs w:val="32"/>
        </w:rPr>
      </w:pPr>
    </w:p>
    <w:p w14:paraId="2B19CED1" w14:textId="77777777" w:rsidR="00D13164" w:rsidRDefault="00D13164">
      <w:pPr>
        <w:pStyle w:val="BodyTextFirstIndent21"/>
        <w:ind w:firstLine="640"/>
        <w:rPr>
          <w:rFonts w:ascii="仿宋_GB2312" w:eastAsia="仿宋_GB2312" w:hAnsi="仿宋_GB2312" w:cs="仿宋_GB2312"/>
          <w:szCs w:val="32"/>
        </w:rPr>
      </w:pPr>
    </w:p>
    <w:p w14:paraId="181FF3AE" w14:textId="77777777" w:rsidR="00D13164" w:rsidRDefault="00D13164">
      <w:pPr>
        <w:rPr>
          <w:rFonts w:ascii="仿宋_GB2312" w:eastAsia="仿宋_GB2312" w:hAnsi="仿宋_GB2312" w:cs="仿宋_GB2312"/>
          <w:sz w:val="32"/>
          <w:szCs w:val="32"/>
        </w:rPr>
      </w:pPr>
    </w:p>
    <w:p w14:paraId="1CD42631" w14:textId="77777777" w:rsidR="00D13164" w:rsidRDefault="00D13164">
      <w:pPr>
        <w:pStyle w:val="BodyTextFirstIndent21"/>
        <w:ind w:firstLine="640"/>
        <w:rPr>
          <w:rFonts w:ascii="仿宋_GB2312" w:eastAsia="仿宋_GB2312" w:hAnsi="仿宋_GB2312" w:cs="仿宋_GB2312"/>
          <w:szCs w:val="32"/>
        </w:rPr>
      </w:pPr>
    </w:p>
    <w:p w14:paraId="11C9E053" w14:textId="77777777" w:rsidR="00D13164" w:rsidRDefault="00D13164">
      <w:pPr>
        <w:rPr>
          <w:rFonts w:ascii="仿宋_GB2312" w:eastAsia="仿宋_GB2312" w:hAnsi="仿宋_GB2312" w:cs="仿宋_GB2312"/>
          <w:sz w:val="32"/>
          <w:szCs w:val="32"/>
        </w:rPr>
      </w:pPr>
    </w:p>
    <w:p w14:paraId="08AF7E50" w14:textId="77777777" w:rsidR="00D13164" w:rsidRDefault="00D13164">
      <w:pPr>
        <w:pStyle w:val="BodyTextFirstIndent21"/>
        <w:ind w:firstLine="640"/>
        <w:rPr>
          <w:rFonts w:ascii="仿宋_GB2312" w:eastAsia="仿宋_GB2312" w:hAnsi="仿宋_GB2312" w:cs="仿宋_GB2312"/>
          <w:szCs w:val="32"/>
        </w:rPr>
      </w:pPr>
    </w:p>
    <w:p w14:paraId="4F8D7257" w14:textId="77777777" w:rsidR="00D13164" w:rsidRDefault="00D13164">
      <w:pPr>
        <w:rPr>
          <w:rFonts w:ascii="仿宋_GB2312" w:eastAsia="仿宋_GB2312" w:hAnsi="仿宋_GB2312" w:cs="仿宋_GB2312"/>
          <w:sz w:val="32"/>
          <w:szCs w:val="32"/>
        </w:rPr>
      </w:pPr>
    </w:p>
    <w:p w14:paraId="0068650D" w14:textId="77777777" w:rsidR="00D13164" w:rsidRDefault="00D13164">
      <w:pPr>
        <w:pStyle w:val="BodyTextFirstIndent21"/>
        <w:ind w:firstLine="640"/>
        <w:rPr>
          <w:rFonts w:ascii="仿宋_GB2312" w:eastAsia="仿宋_GB2312" w:hAnsi="仿宋_GB2312" w:cs="仿宋_GB2312"/>
          <w:szCs w:val="32"/>
        </w:rPr>
      </w:pPr>
    </w:p>
    <w:p w14:paraId="3FF95759" w14:textId="77777777" w:rsidR="00D13164" w:rsidRDefault="00D13164">
      <w:pPr>
        <w:rPr>
          <w:rFonts w:ascii="仿宋_GB2312" w:eastAsia="仿宋_GB2312" w:hAnsi="仿宋_GB2312" w:cs="仿宋_GB2312"/>
          <w:sz w:val="32"/>
          <w:szCs w:val="32"/>
        </w:rPr>
      </w:pPr>
    </w:p>
    <w:p w14:paraId="5B98D0F1" w14:textId="77777777" w:rsidR="00D13164" w:rsidRDefault="00D13164">
      <w:pPr>
        <w:pStyle w:val="BodyTextFirstIndent21"/>
        <w:ind w:firstLine="640"/>
        <w:rPr>
          <w:rFonts w:ascii="仿宋_GB2312" w:eastAsia="仿宋_GB2312" w:hAnsi="仿宋_GB2312" w:cs="仿宋_GB2312"/>
          <w:szCs w:val="32"/>
        </w:rPr>
      </w:pPr>
    </w:p>
    <w:p w14:paraId="10948D16" w14:textId="77777777" w:rsidR="00D13164" w:rsidRDefault="00D13164">
      <w:pPr>
        <w:rPr>
          <w:rFonts w:ascii="仿宋_GB2312" w:eastAsia="仿宋_GB2312" w:hAnsi="仿宋_GB2312" w:cs="仿宋_GB2312"/>
          <w:sz w:val="32"/>
          <w:szCs w:val="32"/>
        </w:rPr>
      </w:pPr>
    </w:p>
    <w:p w14:paraId="2DF54F2C" w14:textId="77777777" w:rsidR="00D13164" w:rsidRDefault="00D13164">
      <w:pPr>
        <w:spacing w:line="580" w:lineRule="exact"/>
        <w:rPr>
          <w:rFonts w:ascii="仿宋_GB2312" w:eastAsia="仿宋_GB2312" w:hAnsi="仿宋_GB2312" w:cs="仿宋_GB2312"/>
          <w:sz w:val="32"/>
          <w:szCs w:val="32"/>
        </w:rPr>
      </w:pPr>
    </w:p>
    <w:p w14:paraId="36EB1E15" w14:textId="77777777" w:rsidR="00D13164" w:rsidRDefault="00000000">
      <w:pPr>
        <w:spacing w:line="600" w:lineRule="exact"/>
        <w:jc w:val="left"/>
        <w:outlineLvl w:val="0"/>
        <w:rPr>
          <w:rFonts w:ascii="黑体" w:eastAsia="黑体" w:hAnsi="黑体" w:cs="黑体"/>
          <w:sz w:val="32"/>
          <w:szCs w:val="32"/>
        </w:rPr>
      </w:pPr>
      <w:bookmarkStart w:id="125" w:name="_Toc26989"/>
      <w:bookmarkStart w:id="126" w:name="_Toc79163633"/>
      <w:r>
        <w:rPr>
          <w:rFonts w:ascii="黑体" w:eastAsia="黑体" w:hAnsi="黑体" w:cs="黑体" w:hint="eastAsia"/>
          <w:sz w:val="32"/>
          <w:szCs w:val="32"/>
        </w:rPr>
        <w:lastRenderedPageBreak/>
        <w:t>附件</w:t>
      </w:r>
      <w:r>
        <w:rPr>
          <w:rFonts w:ascii="黑体" w:eastAsia="黑体" w:hAnsi="黑体" w:cs="黑体"/>
          <w:sz w:val="32"/>
          <w:szCs w:val="32"/>
        </w:rPr>
        <w:t>2</w:t>
      </w:r>
      <w:bookmarkEnd w:id="125"/>
      <w:bookmarkEnd w:id="126"/>
    </w:p>
    <w:p w14:paraId="74EDCFF6" w14:textId="77777777" w:rsidR="00D13164" w:rsidRDefault="00D13164">
      <w:pPr>
        <w:spacing w:line="580" w:lineRule="exact"/>
        <w:ind w:firstLineChars="200" w:firstLine="640"/>
        <w:rPr>
          <w:rFonts w:ascii="仿宋_GB2312" w:eastAsia="仿宋_GB2312" w:hAnsi="仿宋_GB2312" w:cs="仿宋_GB2312"/>
          <w:sz w:val="32"/>
          <w:szCs w:val="32"/>
        </w:rPr>
      </w:pPr>
    </w:p>
    <w:p w14:paraId="62500361" w14:textId="77777777" w:rsidR="00D13164" w:rsidRDefault="00000000">
      <w:pPr>
        <w:spacing w:line="600" w:lineRule="exact"/>
        <w:jc w:val="center"/>
        <w:outlineLvl w:val="0"/>
        <w:rPr>
          <w:rFonts w:ascii="方正小标宋简体" w:eastAsia="方正小标宋简体" w:hAnsi="黑体" w:cs="黑体"/>
          <w:sz w:val="44"/>
          <w:szCs w:val="44"/>
        </w:rPr>
      </w:pPr>
      <w:bookmarkStart w:id="127" w:name="_Toc19882"/>
      <w:bookmarkStart w:id="128" w:name="_Toc79163634"/>
      <w:r>
        <w:rPr>
          <w:rFonts w:ascii="方正小标宋简体" w:eastAsia="方正小标宋简体" w:hAnsi="黑体" w:cs="黑体" w:hint="eastAsia"/>
          <w:sz w:val="44"/>
          <w:szCs w:val="44"/>
        </w:rPr>
        <w:t>政务中心职工食堂运营维护费项目</w:t>
      </w:r>
      <w:bookmarkEnd w:id="127"/>
    </w:p>
    <w:p w14:paraId="329E998C" w14:textId="77777777" w:rsidR="00D13164" w:rsidRDefault="00000000">
      <w:pPr>
        <w:spacing w:line="600" w:lineRule="exact"/>
        <w:jc w:val="center"/>
        <w:outlineLvl w:val="0"/>
        <w:rPr>
          <w:rFonts w:ascii="方正小标宋简体" w:eastAsia="方正小标宋简体" w:hAnsi="黑体" w:cs="黑体"/>
          <w:sz w:val="44"/>
          <w:szCs w:val="44"/>
        </w:rPr>
      </w:pPr>
      <w:bookmarkStart w:id="129" w:name="_Toc13130"/>
      <w:r>
        <w:rPr>
          <w:rFonts w:ascii="方正小标宋简体" w:eastAsia="方正小标宋简体" w:hAnsi="黑体" w:cs="黑体" w:hint="eastAsia"/>
          <w:sz w:val="44"/>
          <w:szCs w:val="44"/>
        </w:rPr>
        <w:t>2021年绩效评价报告</w:t>
      </w:r>
      <w:bookmarkEnd w:id="128"/>
      <w:bookmarkEnd w:id="129"/>
    </w:p>
    <w:p w14:paraId="09756CA0" w14:textId="77777777" w:rsidR="00D13164" w:rsidRDefault="00D13164">
      <w:pPr>
        <w:spacing w:line="600" w:lineRule="exact"/>
        <w:rPr>
          <w:rFonts w:ascii="宋体"/>
          <w:sz w:val="32"/>
          <w:szCs w:val="32"/>
          <w:lang w:val="zh-CN"/>
        </w:rPr>
      </w:pPr>
    </w:p>
    <w:p w14:paraId="78D4E4A7" w14:textId="77777777" w:rsidR="00D13164" w:rsidRDefault="00000000">
      <w:pPr>
        <w:adjustRightInd w:val="0"/>
        <w:snapToGrid w:val="0"/>
        <w:spacing w:line="576"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1A54D328" w14:textId="77777777" w:rsidR="00D13164" w:rsidRDefault="00000000">
      <w:pPr>
        <w:adjustRightInd w:val="0"/>
        <w:snapToGrid w:val="0"/>
        <w:spacing w:line="576"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43355C01" w14:textId="77777777" w:rsidR="00D13164" w:rsidRDefault="00000000">
      <w:pPr>
        <w:adjustRightInd w:val="0"/>
        <w:snapToGrid w:val="0"/>
        <w:spacing w:line="576"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政务中心职工食堂运营维护费项目主要用于职工食堂的正常运转，保障全县财政供养人员的就餐需求。方便干部职工就餐，提高和规范政府公务接待工作，根据需要安排项目资金310万元。</w:t>
      </w:r>
    </w:p>
    <w:p w14:paraId="71176E39" w14:textId="77777777" w:rsidR="00D13164" w:rsidRDefault="00000000">
      <w:pPr>
        <w:adjustRightInd w:val="0"/>
        <w:snapToGrid w:val="0"/>
        <w:spacing w:line="576"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2AEC7513" w14:textId="77777777" w:rsidR="00D13164" w:rsidRDefault="00000000">
      <w:pPr>
        <w:adjustRightInd w:val="0"/>
        <w:snapToGrid w:val="0"/>
        <w:spacing w:line="576"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rPr>
        <w:t>政务中心职工食堂运营维护费项目主要是保障全县财政供养人员的餐饮，方便干部职工就餐，提高和规范政府公务接待工作。</w:t>
      </w:r>
    </w:p>
    <w:p w14:paraId="4C5410D3" w14:textId="77777777" w:rsidR="00D13164"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2．项目应实现的具体绩效目标</w:t>
      </w:r>
      <w:r>
        <w:rPr>
          <w:rFonts w:ascii="仿宋_GB2312" w:eastAsia="仿宋_GB2312" w:hAnsi="仿宋_GB2312" w:cs="仿宋_GB2312" w:hint="eastAsia"/>
          <w:sz w:val="32"/>
          <w:szCs w:val="32"/>
        </w:rPr>
        <w:t>是做到2021年全县财政供养人员的餐饮保障，做到干部职工满意，保障广大干部职工的伙食福利。</w:t>
      </w:r>
    </w:p>
    <w:p w14:paraId="50164DF6" w14:textId="77777777" w:rsidR="00D13164" w:rsidRDefault="00000000">
      <w:pPr>
        <w:adjustRightInd w:val="0"/>
        <w:snapToGrid w:val="0"/>
        <w:spacing w:line="576"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3．分析评价申报内容与实际相符，申报目标合理可行。</w:t>
      </w:r>
    </w:p>
    <w:p w14:paraId="02B9B202" w14:textId="77777777" w:rsidR="00D13164" w:rsidRDefault="00000000">
      <w:pPr>
        <w:adjustRightInd w:val="0"/>
        <w:snapToGrid w:val="0"/>
        <w:spacing w:line="576"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28EEAFD3" w14:textId="77777777" w:rsidR="00D13164" w:rsidRDefault="00000000">
      <w:pPr>
        <w:adjustRightInd w:val="0"/>
        <w:snapToGrid w:val="0"/>
        <w:spacing w:line="576"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项目采取自评与他评相结合方式，成立项目自评小组，结合评价内容，做到有计划，有安排，扎实开展本次自评工作。按照上级下达的项目支出绩效评价指标体系，自评小组针对申报内容、实施情况、资金兑现、财务管理、社会效益</w:t>
      </w:r>
      <w:r>
        <w:rPr>
          <w:rFonts w:ascii="仿宋_GB2312" w:eastAsia="仿宋_GB2312" w:hAnsi="仿宋_GB2312" w:cs="仿宋_GB2312" w:hint="eastAsia"/>
          <w:sz w:val="32"/>
          <w:szCs w:val="32"/>
        </w:rPr>
        <w:lastRenderedPageBreak/>
        <w:t>等做出自我评价，认真听取食堂就餐的各位干部职工的建议意见，做好自评工作。</w:t>
      </w:r>
    </w:p>
    <w:p w14:paraId="67DBF4DD" w14:textId="77777777" w:rsidR="00D13164" w:rsidRDefault="00000000">
      <w:pPr>
        <w:adjustRightInd w:val="0"/>
        <w:snapToGrid w:val="0"/>
        <w:spacing w:line="576" w:lineRule="exact"/>
        <w:ind w:firstLine="720"/>
        <w:rPr>
          <w:rFonts w:ascii="黑体" w:eastAsia="黑体" w:hAnsi="宋体"/>
          <w:sz w:val="32"/>
          <w:szCs w:val="32"/>
        </w:rPr>
      </w:pPr>
      <w:r>
        <w:rPr>
          <w:rFonts w:ascii="黑体" w:eastAsia="黑体" w:hAnsi="宋体" w:hint="eastAsia"/>
          <w:sz w:val="32"/>
          <w:szCs w:val="32"/>
        </w:rPr>
        <w:t>二、项目资金申报及使用情况</w:t>
      </w:r>
    </w:p>
    <w:p w14:paraId="7C4DB080" w14:textId="77777777" w:rsidR="00D13164" w:rsidRDefault="00000000">
      <w:pPr>
        <w:adjustRightInd w:val="0"/>
        <w:snapToGrid w:val="0"/>
        <w:spacing w:line="576"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4B79261F" w14:textId="77777777" w:rsidR="00D13164" w:rsidRDefault="00000000">
      <w:pPr>
        <w:adjustRightInd w:val="0"/>
        <w:snapToGrid w:val="0"/>
        <w:spacing w:line="576"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政务中心职工食堂运营维护费项目申报财政资金310万元，经县政府、县财政局批准批复该项目资金310万元，财政资金严格按照项目预算支出科目进行使用，符合财政资金管理办法等相关规定。</w:t>
      </w:r>
    </w:p>
    <w:p w14:paraId="01B8446A" w14:textId="77777777" w:rsidR="00D13164" w:rsidRDefault="00000000">
      <w:pPr>
        <w:adjustRightInd w:val="0"/>
        <w:snapToGrid w:val="0"/>
        <w:spacing w:line="576" w:lineRule="exact"/>
        <w:ind w:firstLine="720"/>
        <w:rPr>
          <w:rFonts w:ascii="仿宋_GB2312" w:hAnsi="宋体"/>
          <w:sz w:val="32"/>
          <w:szCs w:val="32"/>
          <w:lang w:val="zh-CN"/>
        </w:rPr>
      </w:pPr>
      <w:r>
        <w:rPr>
          <w:rFonts w:ascii="楷体_GB2312" w:eastAsia="楷体_GB2312" w:hAnsi="宋体" w:hint="eastAsia"/>
          <w:b/>
          <w:sz w:val="32"/>
          <w:szCs w:val="32"/>
          <w:lang w:val="zh-CN"/>
        </w:rPr>
        <w:t>（二）资金计划、到位及使用情况。</w:t>
      </w:r>
    </w:p>
    <w:p w14:paraId="15253F1F" w14:textId="77777777" w:rsidR="00D13164" w:rsidRDefault="00000000">
      <w:pPr>
        <w:adjustRightInd w:val="0"/>
        <w:snapToGrid w:val="0"/>
        <w:spacing w:line="576"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1．资金计划。</w:t>
      </w:r>
      <w:r>
        <w:rPr>
          <w:rFonts w:ascii="仿宋_GB2312" w:eastAsia="仿宋_GB2312" w:hAnsi="仿宋_GB2312" w:cs="仿宋_GB2312" w:hint="eastAsia"/>
          <w:sz w:val="32"/>
          <w:szCs w:val="32"/>
        </w:rPr>
        <w:t>政务中心职工食堂运营维护费项目申报财政资金310万元，经县政府、县财政局批准批复该项目资金310万元。</w:t>
      </w:r>
    </w:p>
    <w:p w14:paraId="50F34CF9" w14:textId="77777777" w:rsidR="00D13164" w:rsidRDefault="00000000">
      <w:pPr>
        <w:adjustRightInd w:val="0"/>
        <w:snapToGrid w:val="0"/>
        <w:spacing w:line="576"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2．资金到位。</w:t>
      </w:r>
      <w:r>
        <w:rPr>
          <w:rFonts w:ascii="仿宋_GB2312" w:eastAsia="仿宋_GB2312" w:hAnsi="仿宋_GB2312" w:cs="仿宋_GB2312" w:hint="eastAsia"/>
          <w:sz w:val="32"/>
          <w:szCs w:val="32"/>
        </w:rPr>
        <w:t>2021年该项目</w:t>
      </w:r>
      <w:r>
        <w:rPr>
          <w:rFonts w:ascii="仿宋_GB2312" w:eastAsia="仿宋_GB2312" w:hAnsi="仿宋_GB2312" w:cs="仿宋_GB2312" w:hint="eastAsia"/>
          <w:sz w:val="32"/>
          <w:szCs w:val="32"/>
          <w:lang w:val="zh-CN"/>
        </w:rPr>
        <w:t>资金</w:t>
      </w:r>
      <w:r>
        <w:rPr>
          <w:rFonts w:ascii="仿宋_GB2312" w:eastAsia="仿宋_GB2312" w:hAnsi="仿宋_GB2312" w:cs="仿宋_GB2312" w:hint="eastAsia"/>
          <w:sz w:val="32"/>
          <w:szCs w:val="32"/>
        </w:rPr>
        <w:t>310</w:t>
      </w:r>
      <w:r>
        <w:rPr>
          <w:rFonts w:ascii="仿宋_GB2312" w:eastAsia="仿宋_GB2312" w:hAnsi="仿宋_GB2312" w:cs="仿宋_GB2312" w:hint="eastAsia"/>
          <w:sz w:val="32"/>
          <w:szCs w:val="32"/>
          <w:lang w:val="zh-CN"/>
        </w:rPr>
        <w:t>万元</w:t>
      </w:r>
      <w:r>
        <w:rPr>
          <w:rFonts w:ascii="仿宋_GB2312" w:eastAsia="仿宋_GB2312" w:hAnsi="仿宋_GB2312" w:cs="仿宋_GB2312" w:hint="eastAsia"/>
          <w:sz w:val="32"/>
          <w:szCs w:val="32"/>
        </w:rPr>
        <w:t>由县财政拨付，并根据支付进度按三次</w:t>
      </w:r>
      <w:r>
        <w:rPr>
          <w:rFonts w:ascii="仿宋_GB2312" w:eastAsia="仿宋_GB2312" w:hAnsi="仿宋_GB2312" w:cs="仿宋_GB2312" w:hint="eastAsia"/>
          <w:sz w:val="32"/>
          <w:szCs w:val="32"/>
          <w:lang w:val="zh-CN"/>
        </w:rPr>
        <w:t>到位，资金到位率100%。</w:t>
      </w:r>
    </w:p>
    <w:p w14:paraId="20DCCC98" w14:textId="77777777" w:rsidR="00D13164" w:rsidRDefault="00000000">
      <w:pPr>
        <w:adjustRightInd w:val="0"/>
        <w:snapToGrid w:val="0"/>
        <w:spacing w:line="576"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3．资金使用。截止</w:t>
      </w:r>
      <w:r>
        <w:rPr>
          <w:rFonts w:ascii="仿宋_GB2312" w:eastAsia="仿宋_GB2312" w:hAnsi="仿宋_GB2312" w:cs="仿宋_GB2312" w:hint="eastAsia"/>
          <w:sz w:val="32"/>
          <w:szCs w:val="32"/>
        </w:rPr>
        <w:t>2021年12月31日该</w:t>
      </w:r>
      <w:r>
        <w:rPr>
          <w:rFonts w:ascii="仿宋_GB2312" w:eastAsia="仿宋_GB2312" w:hAnsi="仿宋_GB2312" w:cs="仿宋_GB2312" w:hint="eastAsia"/>
          <w:sz w:val="32"/>
          <w:szCs w:val="32"/>
          <w:lang w:val="zh-CN"/>
        </w:rPr>
        <w:t>项目到位资金</w:t>
      </w:r>
      <w:r>
        <w:rPr>
          <w:rFonts w:ascii="仿宋_GB2312" w:eastAsia="仿宋_GB2312" w:hAnsi="仿宋_GB2312" w:cs="仿宋_GB2312" w:hint="eastAsia"/>
          <w:sz w:val="32"/>
          <w:szCs w:val="32"/>
        </w:rPr>
        <w:t>310万元。应支付项目资金310</w:t>
      </w:r>
      <w:r>
        <w:rPr>
          <w:rFonts w:ascii="仿宋_GB2312" w:eastAsia="仿宋_GB2312" w:hAnsi="仿宋_GB2312" w:cs="仿宋_GB2312" w:hint="eastAsia"/>
          <w:sz w:val="32"/>
          <w:szCs w:val="32"/>
          <w:lang w:val="zh-CN"/>
        </w:rPr>
        <w:t>万元，实际支出为</w:t>
      </w:r>
      <w:r>
        <w:rPr>
          <w:rFonts w:ascii="仿宋_GB2312" w:eastAsia="仿宋_GB2312" w:hAnsi="仿宋_GB2312" w:cs="仿宋_GB2312" w:hint="eastAsia"/>
          <w:sz w:val="32"/>
          <w:szCs w:val="32"/>
        </w:rPr>
        <w:t>310</w:t>
      </w:r>
      <w:r>
        <w:rPr>
          <w:rFonts w:ascii="仿宋_GB2312" w:eastAsia="仿宋_GB2312" w:hAnsi="仿宋_GB2312" w:cs="仿宋_GB2312" w:hint="eastAsia"/>
          <w:sz w:val="32"/>
          <w:szCs w:val="32"/>
          <w:lang w:val="zh-CN"/>
        </w:rPr>
        <w:t>万元。支付进度</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lang w:val="zh-CN"/>
        </w:rPr>
        <w:t>%，支付依据合</w:t>
      </w:r>
      <w:proofErr w:type="gramStart"/>
      <w:r>
        <w:rPr>
          <w:rFonts w:ascii="仿宋_GB2312" w:eastAsia="仿宋_GB2312" w:hAnsi="仿宋_GB2312" w:cs="仿宋_GB2312" w:hint="eastAsia"/>
          <w:sz w:val="32"/>
          <w:szCs w:val="32"/>
          <w:lang w:val="zh-CN"/>
        </w:rPr>
        <w:t>规</w:t>
      </w:r>
      <w:proofErr w:type="gramEnd"/>
      <w:r>
        <w:rPr>
          <w:rFonts w:ascii="仿宋_GB2312" w:eastAsia="仿宋_GB2312" w:hAnsi="仿宋_GB2312" w:cs="仿宋_GB2312" w:hint="eastAsia"/>
          <w:sz w:val="32"/>
          <w:szCs w:val="32"/>
          <w:lang w:val="zh-CN"/>
        </w:rPr>
        <w:t>合法</w:t>
      </w:r>
      <w:r>
        <w:rPr>
          <w:rFonts w:ascii="仿宋_GB2312" w:eastAsia="仿宋_GB2312" w:hAnsi="仿宋_GB2312" w:cs="仿宋_GB2312" w:hint="eastAsia"/>
          <w:sz w:val="32"/>
          <w:szCs w:val="32"/>
        </w:rPr>
        <w:t>。</w:t>
      </w:r>
    </w:p>
    <w:p w14:paraId="51A1986B" w14:textId="77777777" w:rsidR="00D13164" w:rsidRDefault="00000000">
      <w:pPr>
        <w:adjustRightInd w:val="0"/>
        <w:snapToGrid w:val="0"/>
        <w:spacing w:line="576"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3F61195D" w14:textId="77777777" w:rsidR="00D13164" w:rsidRDefault="00000000">
      <w:pPr>
        <w:adjustRightInd w:val="0"/>
        <w:snapToGrid w:val="0"/>
        <w:spacing w:line="576" w:lineRule="exact"/>
        <w:ind w:firstLine="720"/>
        <w:rPr>
          <w:lang w:val="zh-CN"/>
        </w:rPr>
      </w:pPr>
      <w:r>
        <w:rPr>
          <w:rFonts w:ascii="仿宋_GB2312" w:eastAsia="仿宋_GB2312" w:hAnsi="仿宋_GB2312" w:cs="仿宋_GB2312" w:hint="eastAsia"/>
          <w:sz w:val="32"/>
          <w:szCs w:val="32"/>
          <w:lang w:val="zh-CN"/>
        </w:rPr>
        <w:t>该项目资金实行“</w:t>
      </w:r>
      <w:r>
        <w:rPr>
          <w:rFonts w:ascii="仿宋_GB2312" w:eastAsia="仿宋_GB2312" w:hAnsi="仿宋_GB2312" w:cs="仿宋_GB2312" w:hint="eastAsia"/>
          <w:sz w:val="32"/>
          <w:szCs w:val="32"/>
        </w:rPr>
        <w:t>专款专用</w:t>
      </w:r>
      <w:r>
        <w:rPr>
          <w:rFonts w:ascii="仿宋_GB2312" w:eastAsia="仿宋_GB2312" w:hAnsi="仿宋_GB2312" w:cs="仿宋_GB2312" w:hint="eastAsia"/>
          <w:sz w:val="32"/>
          <w:szCs w:val="32"/>
          <w:lang w:val="zh-CN"/>
        </w:rPr>
        <w:t>”，</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lang w:val="zh-CN"/>
        </w:rPr>
        <w:t>擅自扩大支出范围，</w:t>
      </w:r>
      <w:r>
        <w:rPr>
          <w:rFonts w:ascii="仿宋_GB2312" w:eastAsia="仿宋_GB2312" w:hAnsi="仿宋_GB2312" w:cs="仿宋_GB2312" w:hint="eastAsia"/>
          <w:sz w:val="32"/>
          <w:szCs w:val="32"/>
        </w:rPr>
        <w:t>严格按照财政相关规章制度进行实施</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会计依据收集相关财务所需的发票、验收结算清单等相关票据资料和银行提供回单进行会计核算及账务处理。该</w:t>
      </w:r>
      <w:r>
        <w:rPr>
          <w:rFonts w:ascii="仿宋_GB2312" w:eastAsia="仿宋_GB2312" w:hAnsi="仿宋_GB2312" w:cs="仿宋_GB2312" w:hint="eastAsia"/>
          <w:sz w:val="32"/>
          <w:szCs w:val="32"/>
          <w:lang w:val="zh-CN"/>
        </w:rPr>
        <w:t>项目严格执行财务管理制度，财务处理及时，会计核算规范等。</w:t>
      </w:r>
    </w:p>
    <w:p w14:paraId="0B16CC1F" w14:textId="77777777" w:rsidR="00D13164" w:rsidRDefault="00000000">
      <w:pPr>
        <w:adjustRightInd w:val="0"/>
        <w:snapToGrid w:val="0"/>
        <w:spacing w:line="576" w:lineRule="exact"/>
        <w:ind w:firstLine="720"/>
        <w:rPr>
          <w:rFonts w:ascii="黑体" w:eastAsia="黑体" w:hAnsi="宋体"/>
          <w:sz w:val="32"/>
          <w:szCs w:val="32"/>
        </w:rPr>
      </w:pPr>
      <w:r>
        <w:rPr>
          <w:rFonts w:ascii="黑体" w:eastAsia="黑体" w:hAnsi="宋体" w:hint="eastAsia"/>
          <w:sz w:val="32"/>
          <w:szCs w:val="32"/>
        </w:rPr>
        <w:t>三、项目实施及管理情况</w:t>
      </w:r>
    </w:p>
    <w:p w14:paraId="04A171BF" w14:textId="77777777" w:rsidR="00D13164" w:rsidRDefault="00000000">
      <w:pPr>
        <w:adjustRightInd w:val="0"/>
        <w:snapToGrid w:val="0"/>
        <w:spacing w:line="576"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lastRenderedPageBreak/>
        <w:t>该项目实施具体工作由行政股负责，分管工作由分管领导主管。</w:t>
      </w:r>
      <w:r>
        <w:rPr>
          <w:rFonts w:ascii="仿宋_GB2312" w:eastAsia="仿宋_GB2312" w:hAnsi="仿宋_GB2312" w:cs="仿宋_GB2312" w:hint="eastAsia"/>
          <w:sz w:val="32"/>
          <w:szCs w:val="32"/>
        </w:rPr>
        <w:t>该</w:t>
      </w:r>
      <w:r>
        <w:rPr>
          <w:rFonts w:ascii="仿宋_GB2312" w:eastAsia="仿宋_GB2312" w:hAnsi="仿宋_GB2312" w:cs="仿宋_GB2312" w:hint="eastAsia"/>
          <w:sz w:val="32"/>
          <w:szCs w:val="32"/>
          <w:lang w:val="zh-CN"/>
        </w:rPr>
        <w:t>项目</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lang w:val="zh-CN"/>
        </w:rPr>
        <w:t>前由</w:t>
      </w:r>
      <w:r>
        <w:rPr>
          <w:rFonts w:ascii="仿宋_GB2312" w:eastAsia="仿宋_GB2312" w:hAnsi="仿宋_GB2312" w:cs="仿宋_GB2312" w:hint="eastAsia"/>
          <w:sz w:val="32"/>
          <w:szCs w:val="32"/>
        </w:rPr>
        <w:t>各食堂总</w:t>
      </w:r>
      <w:proofErr w:type="gramStart"/>
      <w:r>
        <w:rPr>
          <w:rFonts w:ascii="仿宋_GB2312" w:eastAsia="仿宋_GB2312" w:hAnsi="仿宋_GB2312" w:cs="仿宋_GB2312" w:hint="eastAsia"/>
          <w:sz w:val="32"/>
          <w:szCs w:val="32"/>
        </w:rPr>
        <w:t>厨</w:t>
      </w:r>
      <w:r>
        <w:rPr>
          <w:rFonts w:ascii="仿宋_GB2312" w:eastAsia="仿宋_GB2312" w:hAnsi="仿宋_GB2312" w:cs="仿宋_GB2312" w:hint="eastAsia"/>
          <w:sz w:val="32"/>
          <w:szCs w:val="32"/>
          <w:lang w:val="zh-CN"/>
        </w:rPr>
        <w:t>提出</w:t>
      </w:r>
      <w:proofErr w:type="gramEnd"/>
      <w:r>
        <w:rPr>
          <w:rFonts w:ascii="仿宋_GB2312" w:eastAsia="仿宋_GB2312" w:hAnsi="仿宋_GB2312" w:cs="仿宋_GB2312" w:hint="eastAsia"/>
          <w:sz w:val="32"/>
          <w:szCs w:val="32"/>
        </w:rPr>
        <w:t>申购或维护</w:t>
      </w:r>
      <w:r>
        <w:rPr>
          <w:rFonts w:ascii="仿宋_GB2312" w:eastAsia="仿宋_GB2312" w:hAnsi="仿宋_GB2312" w:cs="仿宋_GB2312" w:hint="eastAsia"/>
          <w:sz w:val="32"/>
          <w:szCs w:val="32"/>
          <w:lang w:val="zh-CN"/>
        </w:rPr>
        <w:t>，经</w:t>
      </w:r>
      <w:r>
        <w:rPr>
          <w:rFonts w:ascii="仿宋_GB2312" w:eastAsia="仿宋_GB2312" w:hAnsi="仿宋_GB2312" w:cs="仿宋_GB2312" w:hint="eastAsia"/>
          <w:sz w:val="32"/>
          <w:szCs w:val="32"/>
        </w:rPr>
        <w:t>行政股审核无误后</w:t>
      </w:r>
      <w:r>
        <w:rPr>
          <w:rFonts w:ascii="仿宋_GB2312" w:eastAsia="仿宋_GB2312" w:hAnsi="仿宋_GB2312" w:cs="仿宋_GB2312" w:hint="eastAsia"/>
          <w:sz w:val="32"/>
          <w:szCs w:val="32"/>
          <w:lang w:val="zh-CN"/>
        </w:rPr>
        <w:t>按要求实施，</w:t>
      </w:r>
      <w:r>
        <w:rPr>
          <w:rFonts w:ascii="仿宋_GB2312" w:eastAsia="仿宋_GB2312" w:hAnsi="仿宋_GB2312" w:cs="仿宋_GB2312" w:hint="eastAsia"/>
          <w:sz w:val="32"/>
          <w:szCs w:val="32"/>
        </w:rPr>
        <w:t>完成时由指定人员进行验收确认</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在实施过程中，</w:t>
      </w:r>
      <w:r>
        <w:rPr>
          <w:rFonts w:ascii="仿宋_GB2312" w:eastAsia="仿宋_GB2312" w:hAnsi="仿宋_GB2312" w:cs="仿宋_GB2312" w:hint="eastAsia"/>
          <w:sz w:val="32"/>
          <w:szCs w:val="32"/>
          <w:lang w:val="zh-CN"/>
        </w:rPr>
        <w:t>由行政股不定期对项目实施情况进行监管，发现问题及时提出整改意见并经领导同意后责令项目实施单位整改落实。</w:t>
      </w:r>
    </w:p>
    <w:p w14:paraId="40954D81" w14:textId="77777777" w:rsidR="00D13164" w:rsidRDefault="00000000">
      <w:pPr>
        <w:numPr>
          <w:ilvl w:val="0"/>
          <w:numId w:val="11"/>
        </w:numPr>
        <w:adjustRightInd w:val="0"/>
        <w:snapToGrid w:val="0"/>
        <w:spacing w:line="576"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项目组织架构及实施流程。</w:t>
      </w:r>
    </w:p>
    <w:p w14:paraId="3ACB32A4" w14:textId="77777777" w:rsidR="00D13164"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我办高度重视政务中心职工食堂运营维护费项目，并成立工作领导小组。</w:t>
      </w:r>
    </w:p>
    <w:p w14:paraId="2062A32F" w14:textId="77777777" w:rsidR="00D13164"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  长：</w:t>
      </w:r>
      <w:proofErr w:type="gramStart"/>
      <w:r>
        <w:rPr>
          <w:rFonts w:ascii="仿宋_GB2312" w:eastAsia="仿宋_GB2312" w:hAnsi="仿宋_GB2312" w:cs="仿宋_GB2312" w:hint="eastAsia"/>
          <w:sz w:val="32"/>
          <w:szCs w:val="32"/>
        </w:rPr>
        <w:t>出吾泽</w:t>
      </w:r>
      <w:proofErr w:type="gramEnd"/>
      <w:r>
        <w:rPr>
          <w:rFonts w:ascii="仿宋_GB2312" w:eastAsia="仿宋_GB2312" w:hAnsi="仿宋_GB2312" w:cs="仿宋_GB2312" w:hint="eastAsia"/>
          <w:sz w:val="32"/>
          <w:szCs w:val="32"/>
        </w:rPr>
        <w:t>仁     政府办主任</w:t>
      </w:r>
    </w:p>
    <w:p w14:paraId="031B013E" w14:textId="77777777" w:rsidR="00D13164"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副组长：刘 秀 琼     政府办副主任</w:t>
      </w:r>
    </w:p>
    <w:p w14:paraId="3E0B5FB8" w14:textId="77777777" w:rsidR="00D13164"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  员：</w:t>
      </w:r>
      <w:r>
        <w:rPr>
          <w:rFonts w:cs="仿宋_GB2312" w:hint="eastAsia"/>
          <w:sz w:val="32"/>
          <w:szCs w:val="32"/>
        </w:rPr>
        <w:t>郑</w:t>
      </w:r>
      <w:r>
        <w:rPr>
          <w:rFonts w:cs="仿宋_GB2312" w:hint="eastAsia"/>
          <w:sz w:val="32"/>
          <w:szCs w:val="32"/>
        </w:rPr>
        <w:t xml:space="preserve"> </w:t>
      </w:r>
      <w:r>
        <w:rPr>
          <w:rFonts w:cs="仿宋_GB2312" w:hint="eastAsia"/>
          <w:sz w:val="32"/>
          <w:szCs w:val="32"/>
        </w:rPr>
        <w:t>舒</w:t>
      </w:r>
      <w:r>
        <w:rPr>
          <w:rFonts w:cs="仿宋_GB2312" w:hint="eastAsia"/>
          <w:sz w:val="32"/>
          <w:szCs w:val="32"/>
        </w:rPr>
        <w:t xml:space="preserve"> </w:t>
      </w:r>
      <w:r>
        <w:rPr>
          <w:rFonts w:cs="仿宋_GB2312" w:hint="eastAsia"/>
          <w:sz w:val="32"/>
          <w:szCs w:val="32"/>
        </w:rPr>
        <w:t>心</w:t>
      </w:r>
      <w:r>
        <w:rPr>
          <w:rFonts w:ascii="仿宋_GB2312" w:eastAsia="仿宋_GB2312" w:hAnsi="仿宋_GB2312" w:cs="仿宋_GB2312" w:hint="eastAsia"/>
          <w:sz w:val="32"/>
          <w:szCs w:val="32"/>
        </w:rPr>
        <w:t xml:space="preserve">     行政股负责人</w:t>
      </w:r>
    </w:p>
    <w:p w14:paraId="5563F887" w14:textId="77777777" w:rsidR="00D13164" w:rsidRDefault="00000000">
      <w:pPr>
        <w:spacing w:line="576" w:lineRule="exact"/>
        <w:ind w:firstLineChars="600" w:firstLine="1920"/>
        <w:rPr>
          <w:rFonts w:ascii="仿宋_GB2312" w:eastAsia="仿宋_GB2312" w:hAnsi="仿宋_GB2312" w:cs="仿宋_GB2312"/>
          <w:sz w:val="32"/>
          <w:szCs w:val="32"/>
        </w:rPr>
      </w:pPr>
      <w:r>
        <w:rPr>
          <w:rFonts w:cs="仿宋_GB2312" w:hint="eastAsia"/>
          <w:sz w:val="32"/>
          <w:szCs w:val="32"/>
        </w:rPr>
        <w:t>史</w:t>
      </w:r>
      <w:r>
        <w:rPr>
          <w:rFonts w:cs="仿宋_GB2312" w:hint="eastAsia"/>
          <w:sz w:val="32"/>
          <w:szCs w:val="32"/>
        </w:rPr>
        <w:t xml:space="preserve"> </w:t>
      </w:r>
      <w:r>
        <w:rPr>
          <w:rFonts w:cs="仿宋_GB2312" w:hint="eastAsia"/>
          <w:sz w:val="32"/>
          <w:szCs w:val="32"/>
        </w:rPr>
        <w:t>志</w:t>
      </w:r>
      <w:r>
        <w:rPr>
          <w:rFonts w:cs="仿宋_GB2312" w:hint="eastAsia"/>
          <w:sz w:val="32"/>
          <w:szCs w:val="32"/>
        </w:rPr>
        <w:t xml:space="preserve"> </w:t>
      </w:r>
      <w:proofErr w:type="gramStart"/>
      <w:r>
        <w:rPr>
          <w:rFonts w:cs="仿宋_GB2312" w:hint="eastAsia"/>
          <w:sz w:val="32"/>
          <w:szCs w:val="32"/>
        </w:rPr>
        <w:t>斌</w:t>
      </w:r>
      <w:proofErr w:type="gramEnd"/>
      <w:r>
        <w:rPr>
          <w:rFonts w:cs="仿宋_GB2312" w:hint="eastAsia"/>
          <w:sz w:val="32"/>
          <w:szCs w:val="32"/>
        </w:rPr>
        <w:t xml:space="preserve">     </w:t>
      </w:r>
      <w:r>
        <w:rPr>
          <w:rFonts w:ascii="仿宋_GB2312" w:eastAsia="仿宋_GB2312" w:hAnsi="仿宋_GB2312" w:cs="仿宋_GB2312" w:hint="eastAsia"/>
          <w:sz w:val="32"/>
          <w:szCs w:val="32"/>
        </w:rPr>
        <w:t>行政股职工</w:t>
      </w:r>
    </w:p>
    <w:p w14:paraId="774225FC" w14:textId="77777777" w:rsidR="00D13164" w:rsidRDefault="00000000">
      <w:pPr>
        <w:spacing w:line="576" w:lineRule="exact"/>
        <w:ind w:firstLineChars="600" w:firstLine="1920"/>
        <w:rPr>
          <w:rFonts w:ascii="仿宋_GB2312" w:eastAsia="仿宋_GB2312" w:hAnsi="仿宋_GB2312" w:cs="仿宋_GB2312"/>
          <w:sz w:val="32"/>
          <w:szCs w:val="32"/>
        </w:rPr>
      </w:pPr>
      <w:r>
        <w:rPr>
          <w:rFonts w:cs="仿宋_GB2312" w:hint="eastAsia"/>
          <w:sz w:val="32"/>
          <w:szCs w:val="32"/>
        </w:rPr>
        <w:t>罗</w:t>
      </w:r>
      <w:r>
        <w:rPr>
          <w:rFonts w:cs="仿宋_GB2312" w:hint="eastAsia"/>
          <w:sz w:val="32"/>
          <w:szCs w:val="32"/>
        </w:rPr>
        <w:t xml:space="preserve"> </w:t>
      </w:r>
      <w:r>
        <w:rPr>
          <w:rFonts w:cs="仿宋_GB2312" w:hint="eastAsia"/>
          <w:sz w:val="32"/>
          <w:szCs w:val="32"/>
        </w:rPr>
        <w:t>晓</w:t>
      </w:r>
      <w:r>
        <w:rPr>
          <w:rFonts w:cs="仿宋_GB2312" w:hint="eastAsia"/>
          <w:sz w:val="32"/>
          <w:szCs w:val="32"/>
        </w:rPr>
        <w:t xml:space="preserve"> </w:t>
      </w:r>
      <w:r>
        <w:rPr>
          <w:rFonts w:cs="仿宋_GB2312" w:hint="eastAsia"/>
          <w:sz w:val="32"/>
          <w:szCs w:val="32"/>
        </w:rPr>
        <w:t>蓉</w:t>
      </w:r>
      <w:r>
        <w:rPr>
          <w:rFonts w:cs="仿宋_GB2312" w:hint="eastAsia"/>
          <w:sz w:val="32"/>
          <w:szCs w:val="32"/>
        </w:rPr>
        <w:t xml:space="preserve">     </w:t>
      </w:r>
      <w:r>
        <w:rPr>
          <w:rFonts w:ascii="仿宋_GB2312" w:eastAsia="仿宋_GB2312" w:hAnsi="仿宋_GB2312" w:cs="仿宋_GB2312" w:hint="eastAsia"/>
          <w:sz w:val="32"/>
          <w:szCs w:val="32"/>
        </w:rPr>
        <w:t>行政股职工</w:t>
      </w:r>
    </w:p>
    <w:p w14:paraId="3FB837AC" w14:textId="77777777" w:rsidR="00D13164" w:rsidRDefault="00000000">
      <w:pPr>
        <w:spacing w:line="576" w:lineRule="exact"/>
        <w:ind w:firstLineChars="600" w:firstLine="1920"/>
      </w:pPr>
      <w:proofErr w:type="gramStart"/>
      <w:r>
        <w:rPr>
          <w:rFonts w:cs="仿宋_GB2312" w:hint="eastAsia"/>
          <w:sz w:val="32"/>
          <w:szCs w:val="32"/>
        </w:rPr>
        <w:t>袁</w:t>
      </w:r>
      <w:proofErr w:type="gramEnd"/>
      <w:r>
        <w:rPr>
          <w:rFonts w:cs="仿宋_GB2312" w:hint="eastAsia"/>
          <w:sz w:val="32"/>
          <w:szCs w:val="32"/>
        </w:rPr>
        <w:t xml:space="preserve">    </w:t>
      </w:r>
      <w:r>
        <w:rPr>
          <w:rFonts w:cs="仿宋_GB2312" w:hint="eastAsia"/>
          <w:sz w:val="32"/>
          <w:szCs w:val="32"/>
        </w:rPr>
        <w:t>刚</w:t>
      </w:r>
      <w:r>
        <w:rPr>
          <w:rFonts w:cs="仿宋_GB2312" w:hint="eastAsia"/>
          <w:sz w:val="32"/>
          <w:szCs w:val="32"/>
        </w:rPr>
        <w:t xml:space="preserve">     </w:t>
      </w:r>
      <w:r>
        <w:rPr>
          <w:rFonts w:ascii="仿宋_GB2312" w:eastAsia="仿宋_GB2312" w:hAnsi="仿宋_GB2312" w:cs="仿宋_GB2312" w:hint="eastAsia"/>
          <w:sz w:val="32"/>
          <w:szCs w:val="32"/>
        </w:rPr>
        <w:t>综合股职工（</w:t>
      </w:r>
      <w:proofErr w:type="gramStart"/>
      <w:r>
        <w:rPr>
          <w:rFonts w:ascii="仿宋_GB2312" w:eastAsia="仿宋_GB2312" w:hAnsi="仿宋_GB2312" w:cs="仿宋_GB2312" w:hint="eastAsia"/>
          <w:sz w:val="32"/>
          <w:szCs w:val="32"/>
        </w:rPr>
        <w:t>食材验收</w:t>
      </w:r>
      <w:proofErr w:type="gramEnd"/>
      <w:r>
        <w:rPr>
          <w:rFonts w:ascii="仿宋_GB2312" w:eastAsia="仿宋_GB2312" w:hAnsi="仿宋_GB2312" w:cs="仿宋_GB2312" w:hint="eastAsia"/>
          <w:sz w:val="32"/>
          <w:szCs w:val="32"/>
        </w:rPr>
        <w:t>负责人）</w:t>
      </w:r>
    </w:p>
    <w:p w14:paraId="193C9688" w14:textId="77777777" w:rsidR="00D13164" w:rsidRDefault="00000000">
      <w:pPr>
        <w:pStyle w:val="21"/>
        <w:spacing w:line="576" w:lineRule="exact"/>
        <w:ind w:firstLineChars="600" w:firstLine="1920"/>
        <w:rPr>
          <w:rFonts w:ascii="仿宋_GB2312" w:hAnsi="仿宋_GB2312" w:cs="仿宋_GB2312"/>
          <w:szCs w:val="32"/>
        </w:rPr>
      </w:pPr>
      <w:r>
        <w:rPr>
          <w:rFonts w:eastAsia="宋体" w:cs="仿宋_GB2312" w:hint="eastAsia"/>
          <w:szCs w:val="32"/>
        </w:rPr>
        <w:t>惠</w:t>
      </w:r>
      <w:r>
        <w:rPr>
          <w:rFonts w:eastAsia="宋体" w:cs="仿宋_GB2312" w:hint="eastAsia"/>
          <w:szCs w:val="32"/>
        </w:rPr>
        <w:t xml:space="preserve"> </w:t>
      </w:r>
      <w:r>
        <w:rPr>
          <w:rFonts w:eastAsia="宋体" w:cs="仿宋_GB2312" w:hint="eastAsia"/>
          <w:szCs w:val="32"/>
        </w:rPr>
        <w:t>恒</w:t>
      </w:r>
      <w:r>
        <w:rPr>
          <w:rFonts w:eastAsia="宋体" w:cs="仿宋_GB2312" w:hint="eastAsia"/>
          <w:szCs w:val="32"/>
        </w:rPr>
        <w:t xml:space="preserve"> </w:t>
      </w:r>
      <w:r>
        <w:rPr>
          <w:rFonts w:eastAsia="宋体" w:cs="仿宋_GB2312" w:hint="eastAsia"/>
          <w:szCs w:val="32"/>
        </w:rPr>
        <w:t>梦</w:t>
      </w:r>
      <w:r>
        <w:rPr>
          <w:rFonts w:cs="仿宋_GB2312" w:hint="eastAsia"/>
          <w:szCs w:val="32"/>
        </w:rPr>
        <w:t xml:space="preserve">     </w:t>
      </w:r>
      <w:r>
        <w:rPr>
          <w:rFonts w:ascii="仿宋_GB2312" w:hAnsi="仿宋_GB2312" w:cs="仿宋_GB2312" w:hint="eastAsia"/>
          <w:szCs w:val="32"/>
        </w:rPr>
        <w:t>政府食堂劳务承包人</w:t>
      </w:r>
    </w:p>
    <w:p w14:paraId="4467991A" w14:textId="77777777" w:rsidR="00D13164"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办公室设在行政股，办公室主任由刘秀琼担任。</w:t>
      </w:r>
    </w:p>
    <w:p w14:paraId="55694F0A" w14:textId="77777777" w:rsidR="00D13164" w:rsidRDefault="00000000">
      <w:pPr>
        <w:spacing w:line="576" w:lineRule="exact"/>
        <w:ind w:firstLineChars="200" w:firstLine="643"/>
        <w:rPr>
          <w:rFonts w:ascii="仿宋_GB2312" w:eastAsia="仿宋_GB2312" w:hAnsi="仿宋_GB2312" w:cs="仿宋_GB2312"/>
          <w:sz w:val="32"/>
          <w:szCs w:val="32"/>
          <w:lang w:val="zh-CN"/>
        </w:rPr>
      </w:pPr>
      <w:r>
        <w:rPr>
          <w:rFonts w:ascii="楷体_GB2312" w:eastAsia="楷体_GB2312" w:hAnsi="宋体" w:hint="eastAsia"/>
          <w:b/>
          <w:sz w:val="32"/>
          <w:szCs w:val="32"/>
          <w:lang w:val="zh-CN"/>
        </w:rPr>
        <w:t>（二）项目管理情况。</w:t>
      </w:r>
      <w:r>
        <w:rPr>
          <w:rFonts w:ascii="仿宋_GB2312" w:eastAsia="仿宋_GB2312" w:hAnsi="仿宋_GB2312" w:cs="仿宋_GB2312" w:hint="eastAsia"/>
          <w:sz w:val="32"/>
          <w:szCs w:val="32"/>
        </w:rPr>
        <w:t>本项目采取项目工作领导小组负责制，全体成员积极配合、通力合作。项目工作领导小组负责协调相关工作、项目实施及资金管理。</w:t>
      </w:r>
    </w:p>
    <w:p w14:paraId="440A0F3F" w14:textId="77777777" w:rsidR="00D13164" w:rsidRDefault="00000000">
      <w:pPr>
        <w:spacing w:line="576" w:lineRule="exact"/>
        <w:ind w:firstLineChars="200" w:firstLine="643"/>
        <w:rPr>
          <w:rFonts w:ascii="仿宋_GB2312" w:eastAsia="仿宋_GB2312" w:hAnsi="仿宋_GB2312" w:cs="仿宋_GB2312"/>
          <w:sz w:val="32"/>
          <w:szCs w:val="32"/>
        </w:rPr>
      </w:pPr>
      <w:r>
        <w:rPr>
          <w:rFonts w:ascii="楷体_GB2312" w:eastAsia="楷体_GB2312" w:hAnsi="宋体" w:hint="eastAsia"/>
          <w:b/>
          <w:sz w:val="32"/>
          <w:szCs w:val="32"/>
          <w:lang w:val="zh-CN"/>
        </w:rPr>
        <w:t>（三）项目监管情况。</w:t>
      </w:r>
      <w:r>
        <w:rPr>
          <w:rFonts w:ascii="仿宋_GB2312" w:eastAsia="仿宋_GB2312" w:hAnsi="仿宋_GB2312" w:cs="仿宋_GB2312" w:hint="eastAsia"/>
          <w:sz w:val="32"/>
          <w:szCs w:val="32"/>
        </w:rPr>
        <w:t>项目资金由行政</w:t>
      </w:r>
      <w:proofErr w:type="gramStart"/>
      <w:r>
        <w:rPr>
          <w:rFonts w:ascii="仿宋_GB2312" w:eastAsia="仿宋_GB2312" w:hAnsi="仿宋_GB2312" w:cs="仿宋_GB2312" w:hint="eastAsia"/>
          <w:sz w:val="32"/>
          <w:szCs w:val="32"/>
        </w:rPr>
        <w:t>股具体</w:t>
      </w:r>
      <w:proofErr w:type="gramEnd"/>
      <w:r>
        <w:rPr>
          <w:rFonts w:ascii="仿宋_GB2312" w:eastAsia="仿宋_GB2312" w:hAnsi="仿宋_GB2312" w:cs="仿宋_GB2312" w:hint="eastAsia"/>
          <w:sz w:val="32"/>
          <w:szCs w:val="32"/>
        </w:rPr>
        <w:t>管理，按投资计划，制定管理制度，对项目资金按项目单独核算实行“专款专用、专人管理”，不得挤占挪用项目资金。强化监督，项目的正常实施监督检查是保障。指派专人长期对项目</w:t>
      </w:r>
      <w:r>
        <w:rPr>
          <w:rFonts w:ascii="仿宋_GB2312" w:eastAsia="仿宋_GB2312" w:hAnsi="仿宋_GB2312" w:cs="仿宋_GB2312" w:hint="eastAsia"/>
          <w:sz w:val="32"/>
          <w:szCs w:val="32"/>
        </w:rPr>
        <w:lastRenderedPageBreak/>
        <w:t>的实施定期或不定期的进行现场检查和监督，及时协调解决困难和问题，保证工程质量。</w:t>
      </w:r>
    </w:p>
    <w:p w14:paraId="50F7AAD8" w14:textId="77777777" w:rsidR="00D13164" w:rsidRDefault="00000000">
      <w:pPr>
        <w:adjustRightInd w:val="0"/>
        <w:snapToGrid w:val="0"/>
        <w:spacing w:line="576" w:lineRule="exact"/>
        <w:ind w:firstLine="720"/>
        <w:rPr>
          <w:rFonts w:ascii="仿宋_GB2312" w:hAnsi="宋体"/>
          <w:sz w:val="32"/>
          <w:szCs w:val="32"/>
          <w:lang w:val="zh-CN"/>
        </w:rPr>
      </w:pPr>
      <w:r>
        <w:rPr>
          <w:rFonts w:ascii="黑体" w:eastAsia="黑体" w:hAnsi="宋体" w:hint="eastAsia"/>
          <w:sz w:val="32"/>
          <w:szCs w:val="32"/>
        </w:rPr>
        <w:t>四、项目绩效情况</w:t>
      </w:r>
      <w:r>
        <w:rPr>
          <w:rFonts w:ascii="仿宋_GB2312" w:hAnsi="宋体" w:hint="eastAsia"/>
          <w:sz w:val="32"/>
          <w:szCs w:val="32"/>
          <w:lang w:val="zh-CN"/>
        </w:rPr>
        <w:tab/>
      </w:r>
    </w:p>
    <w:p w14:paraId="4861FAD5" w14:textId="77777777" w:rsidR="00D13164" w:rsidRDefault="00000000">
      <w:pPr>
        <w:adjustRightInd w:val="0"/>
        <w:snapToGrid w:val="0"/>
        <w:spacing w:line="576"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71E09977" w14:textId="77777777" w:rsidR="00D13164" w:rsidRDefault="00000000">
      <w:pPr>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一是该</w:t>
      </w:r>
      <w:r>
        <w:rPr>
          <w:rFonts w:ascii="仿宋_GB2312" w:eastAsia="仿宋_GB2312" w:hAnsi="仿宋_GB2312" w:cs="仿宋_GB2312" w:hint="eastAsia"/>
          <w:sz w:val="32"/>
          <w:szCs w:val="32"/>
          <w:lang w:val="zh-CN"/>
        </w:rPr>
        <w:t>项目</w:t>
      </w:r>
      <w:r>
        <w:rPr>
          <w:rFonts w:ascii="仿宋_GB2312" w:eastAsia="仿宋_GB2312" w:hAnsi="仿宋_GB2312" w:cs="仿宋_GB2312" w:hint="eastAsia"/>
          <w:sz w:val="32"/>
          <w:szCs w:val="32"/>
        </w:rPr>
        <w:t>目前</w:t>
      </w:r>
      <w:r>
        <w:rPr>
          <w:rFonts w:ascii="仿宋_GB2312" w:eastAsia="仿宋_GB2312" w:hAnsi="仿宋_GB2312" w:cs="仿宋_GB2312" w:hint="eastAsia"/>
          <w:sz w:val="32"/>
          <w:szCs w:val="32"/>
          <w:lang w:val="zh-CN"/>
        </w:rPr>
        <w:t>按时、按量并保质完成，</w:t>
      </w:r>
      <w:r>
        <w:rPr>
          <w:rFonts w:ascii="仿宋_GB2312" w:eastAsia="仿宋_GB2312" w:hAnsi="仿宋_GB2312" w:cs="仿宋_GB2312" w:hint="eastAsia"/>
          <w:sz w:val="32"/>
          <w:szCs w:val="32"/>
        </w:rPr>
        <w:t>达到了目标任务要求，</w:t>
      </w:r>
      <w:r>
        <w:rPr>
          <w:rFonts w:ascii="仿宋_GB2312" w:eastAsia="仿宋_GB2312" w:hAnsi="仿宋_GB2312" w:cs="仿宋_GB2312" w:hint="eastAsia"/>
          <w:sz w:val="32"/>
          <w:szCs w:val="32"/>
          <w:lang w:val="zh-CN"/>
        </w:rPr>
        <w:t>确保了</w:t>
      </w:r>
      <w:r>
        <w:rPr>
          <w:rFonts w:ascii="仿宋_GB2312" w:eastAsia="仿宋_GB2312" w:hAnsi="仿宋_GB2312" w:cs="仿宋_GB2312" w:hint="eastAsia"/>
          <w:sz w:val="32"/>
          <w:szCs w:val="32"/>
        </w:rPr>
        <w:t>职工食堂的正常运行，保障了各位干部职工的就餐条件</w:t>
      </w:r>
      <w:r>
        <w:rPr>
          <w:rFonts w:ascii="仿宋_GB2312" w:eastAsia="仿宋_GB2312" w:hAnsi="仿宋_GB2312" w:cs="仿宋_GB2312" w:hint="eastAsia"/>
          <w:sz w:val="32"/>
          <w:szCs w:val="32"/>
          <w:lang w:val="zh-CN"/>
        </w:rPr>
        <w:t>。</w:t>
      </w:r>
    </w:p>
    <w:p w14:paraId="506C4D23" w14:textId="77777777" w:rsidR="00D13164" w:rsidRDefault="00000000">
      <w:pPr>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二是该项目目前完成得到干部职工认可，</w:t>
      </w:r>
      <w:r>
        <w:rPr>
          <w:rFonts w:ascii="仿宋_GB2312" w:eastAsia="仿宋_GB2312" w:hAnsi="仿宋_GB2312" w:cs="仿宋_GB2312" w:hint="eastAsia"/>
          <w:sz w:val="32"/>
          <w:szCs w:val="32"/>
          <w:lang w:val="zh-CN"/>
        </w:rPr>
        <w:t>达到质量目标。</w:t>
      </w:r>
    </w:p>
    <w:p w14:paraId="65D8088F" w14:textId="77777777" w:rsidR="00D13164" w:rsidRDefault="00000000">
      <w:pPr>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三是该项目按进度执行，</w:t>
      </w:r>
      <w:r>
        <w:rPr>
          <w:rFonts w:ascii="仿宋_GB2312" w:eastAsia="仿宋_GB2312" w:hAnsi="仿宋_GB2312" w:cs="仿宋_GB2312" w:hint="eastAsia"/>
          <w:sz w:val="32"/>
          <w:szCs w:val="32"/>
          <w:lang w:val="zh-CN"/>
        </w:rPr>
        <w:t>按期完成。</w:t>
      </w:r>
    </w:p>
    <w:p w14:paraId="2BCD55C7" w14:textId="77777777" w:rsidR="00D13164" w:rsidRDefault="00000000">
      <w:pPr>
        <w:adjustRightInd w:val="0"/>
        <w:snapToGrid w:val="0"/>
        <w:spacing w:line="576"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7F60887C" w14:textId="77777777" w:rsidR="00D13164" w:rsidRDefault="00000000">
      <w:pPr>
        <w:adjustRightInd w:val="0"/>
        <w:snapToGrid w:val="0"/>
        <w:spacing w:line="576"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我单位积极履职，强化管理，</w:t>
      </w:r>
      <w:r>
        <w:rPr>
          <w:rFonts w:ascii="仿宋_GB2312" w:eastAsia="仿宋_GB2312" w:hAnsi="仿宋_GB2312" w:cs="仿宋_GB2312" w:hint="eastAsia"/>
          <w:sz w:val="32"/>
          <w:szCs w:val="32"/>
        </w:rPr>
        <w:t>在2021年较好地保障了各位干部职工的就餐需求，做到了干部用餐放心，</w:t>
      </w:r>
      <w:r>
        <w:rPr>
          <w:rFonts w:ascii="仿宋_GB2312" w:eastAsia="仿宋_GB2312" w:hAnsi="仿宋_GB2312" w:cs="仿宋_GB2312" w:hint="eastAsia"/>
          <w:sz w:val="32"/>
          <w:szCs w:val="32"/>
          <w:lang w:val="zh-CN"/>
        </w:rPr>
        <w:t>较好的完成了</w:t>
      </w:r>
      <w:r>
        <w:rPr>
          <w:rFonts w:ascii="仿宋_GB2312" w:eastAsia="仿宋_GB2312" w:hAnsi="仿宋_GB2312" w:cs="仿宋_GB2312" w:hint="eastAsia"/>
          <w:sz w:val="32"/>
          <w:szCs w:val="32"/>
        </w:rPr>
        <w:t>全年</w:t>
      </w:r>
      <w:r>
        <w:rPr>
          <w:rFonts w:ascii="仿宋_GB2312" w:eastAsia="仿宋_GB2312" w:hAnsi="仿宋_GB2312" w:cs="仿宋_GB2312" w:hint="eastAsia"/>
          <w:sz w:val="32"/>
          <w:szCs w:val="32"/>
          <w:lang w:val="zh-CN"/>
        </w:rPr>
        <w:t>工作目标。</w:t>
      </w:r>
    </w:p>
    <w:p w14:paraId="3560EB0B" w14:textId="77777777" w:rsidR="00D13164" w:rsidRDefault="00000000">
      <w:pPr>
        <w:adjustRightInd w:val="0"/>
        <w:snapToGrid w:val="0"/>
        <w:spacing w:line="576" w:lineRule="exact"/>
        <w:ind w:firstLine="720"/>
        <w:rPr>
          <w:rFonts w:ascii="黑体" w:eastAsia="黑体" w:hAnsi="宋体"/>
          <w:sz w:val="32"/>
          <w:szCs w:val="32"/>
        </w:rPr>
      </w:pPr>
      <w:r>
        <w:rPr>
          <w:rFonts w:ascii="黑体" w:eastAsia="黑体" w:hAnsi="宋体" w:hint="eastAsia"/>
          <w:sz w:val="32"/>
          <w:szCs w:val="32"/>
        </w:rPr>
        <w:t>五、评价结论及建议</w:t>
      </w:r>
    </w:p>
    <w:p w14:paraId="6225D159" w14:textId="77777777" w:rsidR="00D13164" w:rsidRDefault="00000000">
      <w:pPr>
        <w:adjustRightInd w:val="0"/>
        <w:snapToGrid w:val="0"/>
        <w:spacing w:line="576"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5FDD20B1" w14:textId="77777777" w:rsidR="00D13164" w:rsidRDefault="00000000">
      <w:pPr>
        <w:adjustRightInd w:val="0"/>
        <w:snapToGrid w:val="0"/>
        <w:spacing w:line="576"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政务中心职工食堂运营维护费项目</w:t>
      </w:r>
      <w:r>
        <w:rPr>
          <w:rFonts w:ascii="仿宋_GB2312" w:eastAsia="仿宋_GB2312" w:hAnsi="仿宋_GB2312" w:cs="仿宋_GB2312" w:hint="eastAsia"/>
          <w:sz w:val="32"/>
          <w:szCs w:val="32"/>
          <w:lang w:val="zh-CN"/>
        </w:rPr>
        <w:t>改善了</w:t>
      </w:r>
      <w:r>
        <w:rPr>
          <w:rFonts w:ascii="仿宋_GB2312" w:eastAsia="仿宋_GB2312" w:hAnsi="仿宋_GB2312" w:cs="仿宋_GB2312" w:hint="eastAsia"/>
          <w:sz w:val="32"/>
          <w:szCs w:val="32"/>
        </w:rPr>
        <w:t>干部职工的就餐环境</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保障了各位干部职工的就餐需求，做到了干部用餐放心</w:t>
      </w:r>
      <w:r>
        <w:rPr>
          <w:rFonts w:ascii="仿宋_GB2312" w:eastAsia="仿宋_GB2312" w:hAnsi="仿宋_GB2312" w:cs="仿宋_GB2312" w:hint="eastAsia"/>
          <w:sz w:val="32"/>
          <w:szCs w:val="32"/>
          <w:lang w:val="zh-CN"/>
        </w:rPr>
        <w:t>。</w:t>
      </w:r>
    </w:p>
    <w:p w14:paraId="413C0C94" w14:textId="77777777" w:rsidR="00D13164" w:rsidRDefault="00000000">
      <w:pPr>
        <w:adjustRightInd w:val="0"/>
        <w:snapToGrid w:val="0"/>
        <w:spacing w:line="576"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37BB6148" w14:textId="77777777" w:rsidR="00D13164" w:rsidRDefault="00000000">
      <w:pPr>
        <w:adjustRightInd w:val="0"/>
        <w:snapToGrid w:val="0"/>
        <w:spacing w:line="576"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年初各单位出具证明时，未严格把关，致使周边部分企业在职工食堂用餐，导致就餐人员增加，财政负担增加。我单位根据问题于2021年8月做出调整，根据在编人员文件、函或劳务合同进行就餐人员管理，有效的杜绝了周边部分企业在职工食堂用餐的问题。</w:t>
      </w:r>
    </w:p>
    <w:p w14:paraId="2A8FE6FE" w14:textId="77777777" w:rsidR="00D13164" w:rsidRDefault="00000000">
      <w:pPr>
        <w:adjustRightInd w:val="0"/>
        <w:snapToGrid w:val="0"/>
        <w:spacing w:line="576"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（三）相关建议。</w:t>
      </w:r>
    </w:p>
    <w:p w14:paraId="6D9D5DF6" w14:textId="77777777" w:rsidR="00D13164" w:rsidRDefault="00000000">
      <w:pPr>
        <w:spacing w:line="576" w:lineRule="exact"/>
        <w:ind w:firstLineChars="249" w:firstLine="797"/>
      </w:pPr>
      <w:r>
        <w:rPr>
          <w:rFonts w:ascii="仿宋_GB2312" w:eastAsia="仿宋_GB2312" w:hAnsi="仿宋_GB2312" w:cs="仿宋_GB2312" w:hint="eastAsia"/>
          <w:sz w:val="32"/>
          <w:szCs w:val="32"/>
        </w:rPr>
        <w:t>无</w:t>
      </w:r>
    </w:p>
    <w:p w14:paraId="492A8F57" w14:textId="77777777" w:rsidR="00D13164" w:rsidRDefault="00D13164">
      <w:pPr>
        <w:spacing w:line="580" w:lineRule="exact"/>
        <w:ind w:firstLine="640"/>
        <w:rPr>
          <w:rFonts w:ascii="仿宋_GB2312" w:eastAsia="仿宋_GB2312" w:hAnsi="仿宋_GB2312" w:cs="仿宋_GB2312"/>
          <w:sz w:val="32"/>
          <w:szCs w:val="32"/>
        </w:rPr>
      </w:pPr>
    </w:p>
    <w:p w14:paraId="00C9E8E2" w14:textId="77777777" w:rsidR="00D13164" w:rsidRDefault="00D13164">
      <w:pPr>
        <w:widowControl/>
        <w:jc w:val="left"/>
        <w:rPr>
          <w:rStyle w:val="10"/>
          <w:rFonts w:ascii="黑体" w:eastAsia="黑体" w:hAnsi="黑体"/>
          <w:b w:val="0"/>
        </w:rPr>
      </w:pPr>
    </w:p>
    <w:p w14:paraId="5CF7C545" w14:textId="77777777" w:rsidR="00D13164" w:rsidRDefault="00000000">
      <w:pPr>
        <w:widowControl/>
        <w:jc w:val="left"/>
        <w:rPr>
          <w:rStyle w:val="10"/>
          <w:rFonts w:ascii="黑体" w:eastAsia="黑体" w:hAnsi="黑体"/>
          <w:b w:val="0"/>
        </w:rPr>
      </w:pPr>
      <w:r>
        <w:rPr>
          <w:rStyle w:val="10"/>
          <w:rFonts w:ascii="黑体" w:eastAsia="黑体" w:hAnsi="黑体"/>
          <w:b w:val="0"/>
        </w:rPr>
        <w:br w:type="page"/>
      </w:r>
    </w:p>
    <w:p w14:paraId="2857D77D" w14:textId="77777777" w:rsidR="00D13164" w:rsidRDefault="00000000">
      <w:pPr>
        <w:spacing w:line="600" w:lineRule="exact"/>
        <w:jc w:val="left"/>
        <w:outlineLvl w:val="0"/>
        <w:rPr>
          <w:rFonts w:ascii="黑体" w:eastAsia="黑体" w:hAnsi="黑体" w:cs="黑体"/>
          <w:sz w:val="32"/>
          <w:szCs w:val="32"/>
        </w:rPr>
      </w:pPr>
      <w:bookmarkStart w:id="130" w:name="_Toc2389"/>
      <w:r>
        <w:rPr>
          <w:rFonts w:ascii="黑体" w:eastAsia="黑体" w:hAnsi="黑体" w:cs="黑体" w:hint="eastAsia"/>
          <w:sz w:val="32"/>
          <w:szCs w:val="32"/>
        </w:rPr>
        <w:lastRenderedPageBreak/>
        <w:t>附件</w:t>
      </w:r>
      <w:r>
        <w:rPr>
          <w:rFonts w:ascii="黑体" w:eastAsia="黑体" w:hAnsi="黑体" w:cs="黑体"/>
          <w:sz w:val="32"/>
          <w:szCs w:val="32"/>
        </w:rPr>
        <w:t>2</w:t>
      </w:r>
      <w:bookmarkEnd w:id="130"/>
    </w:p>
    <w:p w14:paraId="4CF2992C" w14:textId="77777777" w:rsidR="00D13164" w:rsidRDefault="00D13164">
      <w:pPr>
        <w:spacing w:line="580" w:lineRule="exact"/>
        <w:ind w:firstLineChars="200" w:firstLine="640"/>
        <w:rPr>
          <w:rFonts w:ascii="仿宋_GB2312" w:eastAsia="仿宋_GB2312" w:hAnsi="仿宋_GB2312" w:cs="仿宋_GB2312"/>
          <w:sz w:val="32"/>
          <w:szCs w:val="32"/>
        </w:rPr>
      </w:pPr>
    </w:p>
    <w:p w14:paraId="11EB00C2" w14:textId="77777777" w:rsidR="00D13164" w:rsidRDefault="00000000">
      <w:pPr>
        <w:pStyle w:val="af0"/>
        <w:spacing w:line="578" w:lineRule="exact"/>
        <w:jc w:val="center"/>
        <w:rPr>
          <w:rFonts w:ascii="方正小标宋简体" w:eastAsia="方正小标宋简体" w:hAnsi="方正小标宋简体" w:cs="方正小标宋简体"/>
          <w:bCs/>
          <w:color w:val="auto"/>
          <w:sz w:val="44"/>
          <w:szCs w:val="44"/>
        </w:rPr>
      </w:pPr>
      <w:r>
        <w:rPr>
          <w:rFonts w:ascii="方正小标宋简体" w:eastAsia="方正小标宋简体" w:hAnsi="方正小标宋简体" w:cs="方正小标宋简体" w:hint="eastAsia"/>
          <w:bCs/>
          <w:color w:val="auto"/>
          <w:sz w:val="44"/>
          <w:szCs w:val="44"/>
        </w:rPr>
        <w:t>办公大楼1、2号楼及会议中心日常维修</w:t>
      </w:r>
    </w:p>
    <w:p w14:paraId="7F88C8CC" w14:textId="77777777" w:rsidR="00D13164" w:rsidRDefault="00000000">
      <w:pPr>
        <w:spacing w:line="600" w:lineRule="exact"/>
        <w:jc w:val="center"/>
        <w:outlineLvl w:val="0"/>
        <w:rPr>
          <w:rFonts w:ascii="方正小标宋简体" w:eastAsia="方正小标宋简体" w:hAnsi="黑体" w:cs="黑体"/>
          <w:sz w:val="44"/>
          <w:szCs w:val="44"/>
        </w:rPr>
      </w:pPr>
      <w:bookmarkStart w:id="131" w:name="_Toc30881"/>
      <w:r>
        <w:rPr>
          <w:rFonts w:ascii="方正小标宋简体" w:eastAsia="方正小标宋简体" w:hAnsi="方正小标宋简体" w:cs="方正小标宋简体" w:hint="eastAsia"/>
          <w:bCs/>
          <w:sz w:val="44"/>
          <w:szCs w:val="44"/>
        </w:rPr>
        <w:t>维护费项目</w:t>
      </w:r>
      <w:r>
        <w:rPr>
          <w:rFonts w:ascii="方正小标宋简体" w:eastAsia="方正小标宋简体" w:hAnsi="黑体" w:cs="黑体" w:hint="eastAsia"/>
          <w:sz w:val="44"/>
          <w:szCs w:val="44"/>
        </w:rPr>
        <w:t>2021年绩效评价报告</w:t>
      </w:r>
      <w:bookmarkEnd w:id="131"/>
    </w:p>
    <w:p w14:paraId="3D8C2E66" w14:textId="77777777" w:rsidR="00D13164" w:rsidRDefault="00D13164">
      <w:pPr>
        <w:pStyle w:val="af0"/>
        <w:spacing w:line="578" w:lineRule="exact"/>
        <w:rPr>
          <w:rFonts w:ascii="宋体" w:hAnsi="宋体"/>
          <w:color w:val="auto"/>
          <w:kern w:val="2"/>
          <w:sz w:val="32"/>
          <w:szCs w:val="32"/>
        </w:rPr>
      </w:pPr>
    </w:p>
    <w:p w14:paraId="45DCD54C" w14:textId="77777777" w:rsidR="00D13164" w:rsidRDefault="00000000">
      <w:pPr>
        <w:adjustRightInd w:val="0"/>
        <w:snapToGrid w:val="0"/>
        <w:spacing w:line="54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43EFA112" w14:textId="77777777" w:rsidR="00D13164" w:rsidRDefault="00000000">
      <w:pPr>
        <w:adjustRightInd w:val="0"/>
        <w:snapToGrid w:val="0"/>
        <w:spacing w:line="54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5B030EEC" w14:textId="77777777" w:rsidR="00D13164" w:rsidRDefault="00000000">
      <w:pPr>
        <w:adjustRightInd w:val="0"/>
        <w:snapToGrid w:val="0"/>
        <w:spacing w:line="54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为了提高办公大楼1、2号楼公共区域工作环境及会议中心会场环境，根据需要安排项目资金50万元。</w:t>
      </w:r>
    </w:p>
    <w:p w14:paraId="1F605658" w14:textId="77777777" w:rsidR="00D13164" w:rsidRDefault="00000000">
      <w:pPr>
        <w:adjustRightInd w:val="0"/>
        <w:snapToGrid w:val="0"/>
        <w:spacing w:line="54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4DDD22F1" w14:textId="77777777" w:rsidR="00D13164" w:rsidRDefault="00000000">
      <w:pPr>
        <w:adjustRightInd w:val="0"/>
        <w:snapToGrid w:val="0"/>
        <w:spacing w:line="54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rPr>
        <w:t>办公大楼1、2号楼及会议中心日常维修维护费项目绩效目标是为1、2号楼所有单位提供正常运转保障，及日常会务提供运转条件。</w:t>
      </w:r>
    </w:p>
    <w:p w14:paraId="37926180" w14:textId="77777777" w:rsidR="00D13164"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2．项目应实现的具体绩效目标</w:t>
      </w:r>
      <w:r>
        <w:rPr>
          <w:rFonts w:ascii="仿宋_GB2312" w:eastAsia="仿宋_GB2312" w:hAnsi="仿宋_GB2312" w:cs="仿宋_GB2312" w:hint="eastAsia"/>
          <w:sz w:val="32"/>
          <w:szCs w:val="32"/>
        </w:rPr>
        <w:t>是保障了1、2号楼公共区域工作环境及会议中心会场环境。</w:t>
      </w:r>
    </w:p>
    <w:p w14:paraId="05B33F33" w14:textId="77777777" w:rsidR="00D13164" w:rsidRDefault="00000000">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3．分析评价申报内容与实际相符，申报目标合理可行。</w:t>
      </w:r>
    </w:p>
    <w:p w14:paraId="488C36E2" w14:textId="77777777" w:rsidR="00D13164" w:rsidRDefault="00000000">
      <w:pPr>
        <w:adjustRightInd w:val="0"/>
        <w:snapToGrid w:val="0"/>
        <w:spacing w:line="54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46224E26" w14:textId="77777777" w:rsidR="00D13164" w:rsidRDefault="00000000">
      <w:pPr>
        <w:adjustRightInd w:val="0"/>
        <w:snapToGrid w:val="0"/>
        <w:spacing w:line="54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食堂就餐的各位干部职工的建议意见，做好自评工作。</w:t>
      </w:r>
    </w:p>
    <w:p w14:paraId="2D1CDDAD" w14:textId="77777777" w:rsidR="00D13164" w:rsidRDefault="00000000">
      <w:pPr>
        <w:adjustRightInd w:val="0"/>
        <w:snapToGrid w:val="0"/>
        <w:spacing w:line="540" w:lineRule="exact"/>
        <w:ind w:firstLine="720"/>
        <w:rPr>
          <w:rFonts w:ascii="黑体" w:eastAsia="黑体" w:hAnsi="宋体"/>
          <w:sz w:val="32"/>
          <w:szCs w:val="32"/>
        </w:rPr>
      </w:pPr>
      <w:r>
        <w:rPr>
          <w:rFonts w:ascii="黑体" w:eastAsia="黑体" w:hAnsi="宋体" w:hint="eastAsia"/>
          <w:sz w:val="32"/>
          <w:szCs w:val="32"/>
        </w:rPr>
        <w:t>二、项目资金申报及使用情况</w:t>
      </w:r>
    </w:p>
    <w:p w14:paraId="4770EF78" w14:textId="77777777" w:rsidR="00D13164" w:rsidRDefault="00000000">
      <w:pPr>
        <w:adjustRightInd w:val="0"/>
        <w:snapToGrid w:val="0"/>
        <w:spacing w:line="54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529F9C38" w14:textId="77777777" w:rsidR="00D13164" w:rsidRDefault="00000000">
      <w:pPr>
        <w:adjustRightInd w:val="0"/>
        <w:snapToGrid w:val="0"/>
        <w:spacing w:line="54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办公大楼1、2号楼及会议中心日常维修维护费项目申报财政资金50万元，经县政府、县财政局批准批复该项目资金50万元，财政资金严格按照项目预算支出科目进行使用，符合财政资金管理办法等相关规定。</w:t>
      </w:r>
    </w:p>
    <w:p w14:paraId="5038F113" w14:textId="77777777" w:rsidR="00D13164" w:rsidRDefault="00000000">
      <w:pPr>
        <w:adjustRightInd w:val="0"/>
        <w:snapToGrid w:val="0"/>
        <w:spacing w:line="540" w:lineRule="exact"/>
        <w:ind w:firstLine="720"/>
        <w:rPr>
          <w:rFonts w:ascii="仿宋_GB2312" w:hAnsi="宋体"/>
          <w:sz w:val="32"/>
          <w:szCs w:val="32"/>
          <w:lang w:val="zh-CN"/>
        </w:rPr>
      </w:pPr>
      <w:r>
        <w:rPr>
          <w:rFonts w:ascii="楷体_GB2312" w:eastAsia="楷体_GB2312" w:hAnsi="宋体" w:hint="eastAsia"/>
          <w:b/>
          <w:sz w:val="32"/>
          <w:szCs w:val="32"/>
          <w:lang w:val="zh-CN"/>
        </w:rPr>
        <w:t>（二）资金计划、到位及使用情况。</w:t>
      </w:r>
    </w:p>
    <w:p w14:paraId="338552D9" w14:textId="77777777" w:rsidR="00D13164" w:rsidRDefault="00000000">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1．资金计划。</w:t>
      </w:r>
      <w:r>
        <w:rPr>
          <w:rFonts w:ascii="仿宋_GB2312" w:eastAsia="仿宋_GB2312" w:hAnsi="仿宋_GB2312" w:cs="仿宋_GB2312" w:hint="eastAsia"/>
          <w:sz w:val="32"/>
          <w:szCs w:val="32"/>
        </w:rPr>
        <w:t>政务中心职工食堂运营维护费项目申报财政资金50万元，经县政府、县财政局批准批复该项目资金50万元。</w:t>
      </w:r>
    </w:p>
    <w:p w14:paraId="1CC82CB8" w14:textId="77777777" w:rsidR="00D13164" w:rsidRDefault="00000000">
      <w:pPr>
        <w:adjustRightInd w:val="0"/>
        <w:snapToGrid w:val="0"/>
        <w:spacing w:line="54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2．资金到位。</w:t>
      </w:r>
      <w:r>
        <w:rPr>
          <w:rFonts w:ascii="仿宋_GB2312" w:eastAsia="仿宋_GB2312" w:hAnsi="仿宋_GB2312" w:cs="仿宋_GB2312" w:hint="eastAsia"/>
          <w:sz w:val="32"/>
          <w:szCs w:val="32"/>
        </w:rPr>
        <w:t>2021年该项目</w:t>
      </w:r>
      <w:r>
        <w:rPr>
          <w:rFonts w:ascii="仿宋_GB2312" w:eastAsia="仿宋_GB2312" w:hAnsi="仿宋_GB2312" w:cs="仿宋_GB2312" w:hint="eastAsia"/>
          <w:sz w:val="32"/>
          <w:szCs w:val="32"/>
          <w:lang w:val="zh-CN"/>
        </w:rPr>
        <w:t>资金</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lang w:val="zh-CN"/>
        </w:rPr>
        <w:t>万元</w:t>
      </w:r>
      <w:r>
        <w:rPr>
          <w:rFonts w:ascii="仿宋_GB2312" w:eastAsia="仿宋_GB2312" w:hAnsi="仿宋_GB2312" w:cs="仿宋_GB2312" w:hint="eastAsia"/>
          <w:sz w:val="32"/>
          <w:szCs w:val="32"/>
        </w:rPr>
        <w:t>由县财政拨付，并</w:t>
      </w:r>
      <w:r>
        <w:rPr>
          <w:rFonts w:ascii="仿宋_GB2312" w:eastAsia="仿宋_GB2312" w:hAnsi="仿宋_GB2312" w:cs="仿宋_GB2312" w:hint="eastAsia"/>
          <w:sz w:val="32"/>
          <w:szCs w:val="32"/>
          <w:lang w:val="zh-CN"/>
        </w:rPr>
        <w:t>及时到位，资金到位率100%。</w:t>
      </w:r>
    </w:p>
    <w:p w14:paraId="4668592C" w14:textId="77777777" w:rsidR="00D13164" w:rsidRDefault="00000000">
      <w:pPr>
        <w:adjustRightInd w:val="0"/>
        <w:snapToGrid w:val="0"/>
        <w:spacing w:line="58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3．资金使用。截止</w:t>
      </w:r>
      <w:r>
        <w:rPr>
          <w:rFonts w:ascii="仿宋_GB2312" w:eastAsia="仿宋_GB2312" w:hAnsi="仿宋_GB2312" w:cs="仿宋_GB2312" w:hint="eastAsia"/>
          <w:sz w:val="32"/>
          <w:szCs w:val="32"/>
        </w:rPr>
        <w:t>2021年12月31日该</w:t>
      </w:r>
      <w:r>
        <w:rPr>
          <w:rFonts w:ascii="仿宋_GB2312" w:eastAsia="仿宋_GB2312" w:hAnsi="仿宋_GB2312" w:cs="仿宋_GB2312" w:hint="eastAsia"/>
          <w:sz w:val="32"/>
          <w:szCs w:val="32"/>
          <w:lang w:val="zh-CN"/>
        </w:rPr>
        <w:t>项目到位资金</w:t>
      </w:r>
      <w:r>
        <w:rPr>
          <w:rFonts w:ascii="仿宋_GB2312" w:eastAsia="仿宋_GB2312" w:hAnsi="仿宋_GB2312" w:cs="仿宋_GB2312" w:hint="eastAsia"/>
          <w:sz w:val="32"/>
          <w:szCs w:val="32"/>
        </w:rPr>
        <w:t>50万元。应支付项目资金50</w:t>
      </w:r>
      <w:r>
        <w:rPr>
          <w:rFonts w:ascii="仿宋_GB2312" w:eastAsia="仿宋_GB2312" w:hAnsi="仿宋_GB2312" w:cs="仿宋_GB2312" w:hint="eastAsia"/>
          <w:sz w:val="32"/>
          <w:szCs w:val="32"/>
          <w:lang w:val="zh-CN"/>
        </w:rPr>
        <w:t>万元，实际支出为</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lang w:val="zh-CN"/>
        </w:rPr>
        <w:t>万元。支付进度</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lang w:val="zh-CN"/>
        </w:rPr>
        <w:t>%，支付依据合</w:t>
      </w:r>
      <w:proofErr w:type="gramStart"/>
      <w:r>
        <w:rPr>
          <w:rFonts w:ascii="仿宋_GB2312" w:eastAsia="仿宋_GB2312" w:hAnsi="仿宋_GB2312" w:cs="仿宋_GB2312" w:hint="eastAsia"/>
          <w:sz w:val="32"/>
          <w:szCs w:val="32"/>
          <w:lang w:val="zh-CN"/>
        </w:rPr>
        <w:t>规</w:t>
      </w:r>
      <w:proofErr w:type="gramEnd"/>
      <w:r>
        <w:rPr>
          <w:rFonts w:ascii="仿宋_GB2312" w:eastAsia="仿宋_GB2312" w:hAnsi="仿宋_GB2312" w:cs="仿宋_GB2312" w:hint="eastAsia"/>
          <w:sz w:val="32"/>
          <w:szCs w:val="32"/>
          <w:lang w:val="zh-CN"/>
        </w:rPr>
        <w:t>合法</w:t>
      </w:r>
      <w:r>
        <w:rPr>
          <w:rFonts w:ascii="仿宋_GB2312" w:eastAsia="仿宋_GB2312" w:hAnsi="仿宋_GB2312" w:cs="仿宋_GB2312" w:hint="eastAsia"/>
          <w:sz w:val="32"/>
          <w:szCs w:val="32"/>
        </w:rPr>
        <w:t>。</w:t>
      </w:r>
    </w:p>
    <w:p w14:paraId="2C31CE05" w14:textId="77777777" w:rsidR="00D13164" w:rsidRDefault="00000000">
      <w:pPr>
        <w:adjustRightInd w:val="0"/>
        <w:snapToGrid w:val="0"/>
        <w:spacing w:line="54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0DB951EA" w14:textId="77777777" w:rsidR="00D13164" w:rsidRDefault="00000000">
      <w:pPr>
        <w:adjustRightInd w:val="0"/>
        <w:snapToGrid w:val="0"/>
        <w:spacing w:line="540" w:lineRule="exact"/>
        <w:ind w:firstLine="720"/>
        <w:rPr>
          <w:rFonts w:ascii="黑体" w:eastAsia="黑体" w:hAnsi="宋体"/>
          <w:sz w:val="32"/>
          <w:szCs w:val="32"/>
        </w:rPr>
      </w:pPr>
      <w:r>
        <w:rPr>
          <w:rFonts w:ascii="黑体" w:eastAsia="黑体" w:hAnsi="宋体" w:hint="eastAsia"/>
          <w:sz w:val="32"/>
          <w:szCs w:val="32"/>
        </w:rPr>
        <w:t>三、项目实施及管理情况</w:t>
      </w:r>
    </w:p>
    <w:p w14:paraId="1988250C" w14:textId="77777777" w:rsidR="00D13164" w:rsidRDefault="00000000">
      <w:pPr>
        <w:widowControl/>
        <w:spacing w:line="580" w:lineRule="exact"/>
        <w:ind w:firstLineChars="200" w:firstLine="640"/>
        <w:jc w:val="left"/>
        <w:rPr>
          <w:rFonts w:ascii="仿宋_GB2312" w:eastAsia="仿宋_GB2312" w:hAnsi="仿宋_GB2312" w:cs="仿宋_GB2312"/>
          <w:szCs w:val="32"/>
          <w:lang w:val="zh-CN"/>
        </w:rPr>
      </w:pPr>
      <w:r>
        <w:rPr>
          <w:rFonts w:ascii="仿宋_GB2312" w:eastAsia="仿宋_GB2312" w:hAnsi="仿宋_GB2312" w:cs="仿宋_GB2312" w:hint="eastAsia"/>
          <w:sz w:val="32"/>
          <w:szCs w:val="32"/>
          <w:lang w:val="zh-CN"/>
        </w:rPr>
        <w:t>该项目实施具体工作由行政股负责，分管工作由分管领导主管。</w:t>
      </w:r>
      <w:r>
        <w:rPr>
          <w:rFonts w:ascii="仿宋_GB2312" w:eastAsia="仿宋_GB2312" w:hAnsi="仿宋_GB2312" w:cs="仿宋_GB2312" w:hint="eastAsia"/>
          <w:sz w:val="32"/>
          <w:szCs w:val="32"/>
        </w:rPr>
        <w:t>该</w:t>
      </w:r>
      <w:r>
        <w:rPr>
          <w:rFonts w:ascii="仿宋_GB2312" w:eastAsia="仿宋_GB2312" w:hAnsi="仿宋_GB2312" w:cs="仿宋_GB2312" w:hint="eastAsia"/>
          <w:sz w:val="32"/>
          <w:szCs w:val="32"/>
          <w:lang w:val="zh-CN"/>
        </w:rPr>
        <w:t>项目</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lang w:val="zh-CN"/>
        </w:rPr>
        <w:t>前由</w:t>
      </w:r>
      <w:r>
        <w:rPr>
          <w:rFonts w:ascii="仿宋_GB2312" w:eastAsia="仿宋_GB2312" w:hAnsi="仿宋_GB2312" w:cs="仿宋_GB2312" w:hint="eastAsia"/>
          <w:sz w:val="32"/>
          <w:szCs w:val="32"/>
        </w:rPr>
        <w:t>各单位及物管</w:t>
      </w:r>
      <w:r>
        <w:rPr>
          <w:rFonts w:ascii="仿宋_GB2312" w:eastAsia="仿宋_GB2312" w:hAnsi="仿宋_GB2312" w:cs="仿宋_GB2312" w:hint="eastAsia"/>
          <w:sz w:val="32"/>
          <w:szCs w:val="32"/>
          <w:lang w:val="zh-CN"/>
        </w:rPr>
        <w:t>提出</w:t>
      </w:r>
      <w:r>
        <w:rPr>
          <w:rFonts w:ascii="仿宋_GB2312" w:eastAsia="仿宋_GB2312" w:hAnsi="仿宋_GB2312" w:cs="仿宋_GB2312" w:hint="eastAsia"/>
          <w:sz w:val="32"/>
          <w:szCs w:val="32"/>
        </w:rPr>
        <w:t>维修维护需求</w:t>
      </w:r>
      <w:r>
        <w:rPr>
          <w:rFonts w:ascii="仿宋_GB2312" w:eastAsia="仿宋_GB2312" w:hAnsi="仿宋_GB2312" w:cs="仿宋_GB2312" w:hint="eastAsia"/>
          <w:sz w:val="32"/>
          <w:szCs w:val="32"/>
          <w:lang w:val="zh-CN"/>
        </w:rPr>
        <w:t>，经</w:t>
      </w:r>
      <w:r>
        <w:rPr>
          <w:rFonts w:ascii="仿宋_GB2312" w:eastAsia="仿宋_GB2312" w:hAnsi="仿宋_GB2312" w:cs="仿宋_GB2312" w:hint="eastAsia"/>
          <w:sz w:val="32"/>
          <w:szCs w:val="32"/>
        </w:rPr>
        <w:t>行政股审核无误后</w:t>
      </w:r>
      <w:r>
        <w:rPr>
          <w:rFonts w:ascii="仿宋_GB2312" w:eastAsia="仿宋_GB2312" w:hAnsi="仿宋_GB2312" w:cs="仿宋_GB2312" w:hint="eastAsia"/>
          <w:sz w:val="32"/>
          <w:szCs w:val="32"/>
          <w:lang w:val="zh-CN"/>
        </w:rPr>
        <w:t>按要求实施，</w:t>
      </w:r>
      <w:r>
        <w:rPr>
          <w:rFonts w:ascii="仿宋_GB2312" w:eastAsia="仿宋_GB2312" w:hAnsi="仿宋_GB2312" w:cs="仿宋_GB2312" w:hint="eastAsia"/>
          <w:sz w:val="32"/>
          <w:szCs w:val="32"/>
        </w:rPr>
        <w:t>完成时由指定人员进行验收确认</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在实施过程中，</w:t>
      </w:r>
      <w:r>
        <w:rPr>
          <w:rFonts w:ascii="仿宋_GB2312" w:eastAsia="仿宋_GB2312" w:hAnsi="仿宋_GB2312" w:cs="仿宋_GB2312" w:hint="eastAsia"/>
          <w:sz w:val="32"/>
          <w:szCs w:val="32"/>
          <w:lang w:val="zh-CN"/>
        </w:rPr>
        <w:t>由行政股不定期对项目实施情况进行监管，发现问题及时提出整改意见并经领导同意后责令项目实施单位整改落实。</w:t>
      </w:r>
    </w:p>
    <w:p w14:paraId="17020931" w14:textId="77777777" w:rsidR="00D13164" w:rsidRDefault="00000000">
      <w:pPr>
        <w:numPr>
          <w:ilvl w:val="0"/>
          <w:numId w:val="11"/>
        </w:numPr>
        <w:adjustRightInd w:val="0"/>
        <w:snapToGrid w:val="0"/>
        <w:spacing w:line="54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项目组织架构及实施流程。</w:t>
      </w:r>
    </w:p>
    <w:p w14:paraId="44274962" w14:textId="77777777" w:rsidR="00D13164"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我办高度重视办公大楼1、2号楼及会议中心日常维修维护费项目，并成立工作领导小组。</w:t>
      </w:r>
    </w:p>
    <w:p w14:paraId="3237115D" w14:textId="77777777" w:rsidR="00D13164"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组  长：</w:t>
      </w:r>
      <w:proofErr w:type="gramStart"/>
      <w:r>
        <w:rPr>
          <w:rFonts w:ascii="仿宋_GB2312" w:eastAsia="仿宋_GB2312" w:hAnsi="仿宋_GB2312" w:cs="仿宋_GB2312" w:hint="eastAsia"/>
          <w:sz w:val="32"/>
          <w:szCs w:val="32"/>
        </w:rPr>
        <w:t>出吾泽</w:t>
      </w:r>
      <w:proofErr w:type="gramEnd"/>
      <w:r>
        <w:rPr>
          <w:rFonts w:ascii="仿宋_GB2312" w:eastAsia="仿宋_GB2312" w:hAnsi="仿宋_GB2312" w:cs="仿宋_GB2312" w:hint="eastAsia"/>
          <w:sz w:val="32"/>
          <w:szCs w:val="32"/>
        </w:rPr>
        <w:t>仁     政府办主任</w:t>
      </w:r>
    </w:p>
    <w:p w14:paraId="05A1F1AF" w14:textId="77777777" w:rsidR="00D13164"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副组长：刘 秀 琼     政府办副主任</w:t>
      </w:r>
    </w:p>
    <w:p w14:paraId="30C17255" w14:textId="77777777" w:rsidR="00D13164"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  员：</w:t>
      </w:r>
      <w:r>
        <w:rPr>
          <w:rFonts w:cs="仿宋_GB2312" w:hint="eastAsia"/>
          <w:sz w:val="32"/>
          <w:szCs w:val="32"/>
        </w:rPr>
        <w:t>郑</w:t>
      </w:r>
      <w:r>
        <w:rPr>
          <w:rFonts w:cs="仿宋_GB2312" w:hint="eastAsia"/>
          <w:sz w:val="32"/>
          <w:szCs w:val="32"/>
        </w:rPr>
        <w:t xml:space="preserve"> </w:t>
      </w:r>
      <w:r>
        <w:rPr>
          <w:rFonts w:cs="仿宋_GB2312" w:hint="eastAsia"/>
          <w:sz w:val="32"/>
          <w:szCs w:val="32"/>
        </w:rPr>
        <w:t>舒</w:t>
      </w:r>
      <w:r>
        <w:rPr>
          <w:rFonts w:cs="仿宋_GB2312" w:hint="eastAsia"/>
          <w:sz w:val="32"/>
          <w:szCs w:val="32"/>
        </w:rPr>
        <w:t xml:space="preserve"> </w:t>
      </w:r>
      <w:r>
        <w:rPr>
          <w:rFonts w:cs="仿宋_GB2312" w:hint="eastAsia"/>
          <w:sz w:val="32"/>
          <w:szCs w:val="32"/>
        </w:rPr>
        <w:t>心</w:t>
      </w:r>
      <w:r>
        <w:rPr>
          <w:rFonts w:ascii="仿宋_GB2312" w:eastAsia="仿宋_GB2312" w:hAnsi="仿宋_GB2312" w:cs="仿宋_GB2312" w:hint="eastAsia"/>
          <w:sz w:val="32"/>
          <w:szCs w:val="32"/>
        </w:rPr>
        <w:t xml:space="preserve">     行政股负责人</w:t>
      </w:r>
    </w:p>
    <w:p w14:paraId="084C03B8" w14:textId="77777777" w:rsidR="00D13164" w:rsidRDefault="00000000">
      <w:pPr>
        <w:spacing w:line="576" w:lineRule="exact"/>
        <w:ind w:firstLineChars="600" w:firstLine="1920"/>
        <w:rPr>
          <w:rFonts w:ascii="仿宋_GB2312" w:eastAsia="仿宋_GB2312" w:hAnsi="仿宋_GB2312" w:cs="仿宋_GB2312"/>
          <w:sz w:val="32"/>
          <w:szCs w:val="32"/>
        </w:rPr>
      </w:pPr>
      <w:r>
        <w:rPr>
          <w:rFonts w:cs="仿宋_GB2312" w:hint="eastAsia"/>
          <w:sz w:val="32"/>
          <w:szCs w:val="32"/>
        </w:rPr>
        <w:t>史</w:t>
      </w:r>
      <w:r>
        <w:rPr>
          <w:rFonts w:cs="仿宋_GB2312" w:hint="eastAsia"/>
          <w:sz w:val="32"/>
          <w:szCs w:val="32"/>
        </w:rPr>
        <w:t xml:space="preserve"> </w:t>
      </w:r>
      <w:r>
        <w:rPr>
          <w:rFonts w:cs="仿宋_GB2312" w:hint="eastAsia"/>
          <w:sz w:val="32"/>
          <w:szCs w:val="32"/>
        </w:rPr>
        <w:t>志</w:t>
      </w:r>
      <w:r>
        <w:rPr>
          <w:rFonts w:cs="仿宋_GB2312" w:hint="eastAsia"/>
          <w:sz w:val="32"/>
          <w:szCs w:val="32"/>
        </w:rPr>
        <w:t xml:space="preserve"> </w:t>
      </w:r>
      <w:proofErr w:type="gramStart"/>
      <w:r>
        <w:rPr>
          <w:rFonts w:cs="仿宋_GB2312" w:hint="eastAsia"/>
          <w:sz w:val="32"/>
          <w:szCs w:val="32"/>
        </w:rPr>
        <w:t>斌</w:t>
      </w:r>
      <w:proofErr w:type="gramEnd"/>
      <w:r>
        <w:rPr>
          <w:rFonts w:cs="仿宋_GB2312" w:hint="eastAsia"/>
          <w:sz w:val="32"/>
          <w:szCs w:val="32"/>
        </w:rPr>
        <w:t xml:space="preserve">     </w:t>
      </w:r>
      <w:r>
        <w:rPr>
          <w:rFonts w:ascii="仿宋_GB2312" w:eastAsia="仿宋_GB2312" w:hAnsi="仿宋_GB2312" w:cs="仿宋_GB2312" w:hint="eastAsia"/>
          <w:sz w:val="32"/>
          <w:szCs w:val="32"/>
        </w:rPr>
        <w:t>行政股职工</w:t>
      </w:r>
    </w:p>
    <w:p w14:paraId="67375F57" w14:textId="77777777" w:rsidR="00D13164" w:rsidRDefault="00000000">
      <w:pPr>
        <w:spacing w:line="576" w:lineRule="exact"/>
        <w:ind w:firstLineChars="600" w:firstLine="1920"/>
        <w:rPr>
          <w:rFonts w:ascii="仿宋_GB2312" w:eastAsia="仿宋_GB2312" w:hAnsi="仿宋_GB2312" w:cs="仿宋_GB2312"/>
          <w:sz w:val="32"/>
          <w:szCs w:val="32"/>
        </w:rPr>
      </w:pPr>
      <w:r>
        <w:rPr>
          <w:rFonts w:cs="仿宋_GB2312" w:hint="eastAsia"/>
          <w:sz w:val="32"/>
          <w:szCs w:val="32"/>
        </w:rPr>
        <w:t>罗</w:t>
      </w:r>
      <w:r>
        <w:rPr>
          <w:rFonts w:cs="仿宋_GB2312" w:hint="eastAsia"/>
          <w:sz w:val="32"/>
          <w:szCs w:val="32"/>
        </w:rPr>
        <w:t xml:space="preserve"> </w:t>
      </w:r>
      <w:r>
        <w:rPr>
          <w:rFonts w:cs="仿宋_GB2312" w:hint="eastAsia"/>
          <w:sz w:val="32"/>
          <w:szCs w:val="32"/>
        </w:rPr>
        <w:t>晓</w:t>
      </w:r>
      <w:r>
        <w:rPr>
          <w:rFonts w:cs="仿宋_GB2312" w:hint="eastAsia"/>
          <w:sz w:val="32"/>
          <w:szCs w:val="32"/>
        </w:rPr>
        <w:t xml:space="preserve"> </w:t>
      </w:r>
      <w:r>
        <w:rPr>
          <w:rFonts w:cs="仿宋_GB2312" w:hint="eastAsia"/>
          <w:sz w:val="32"/>
          <w:szCs w:val="32"/>
        </w:rPr>
        <w:t>蓉</w:t>
      </w:r>
      <w:r>
        <w:rPr>
          <w:rFonts w:cs="仿宋_GB2312" w:hint="eastAsia"/>
          <w:sz w:val="32"/>
          <w:szCs w:val="32"/>
        </w:rPr>
        <w:t xml:space="preserve">     </w:t>
      </w:r>
      <w:r>
        <w:rPr>
          <w:rFonts w:ascii="仿宋_GB2312" w:eastAsia="仿宋_GB2312" w:hAnsi="仿宋_GB2312" w:cs="仿宋_GB2312" w:hint="eastAsia"/>
          <w:sz w:val="32"/>
          <w:szCs w:val="32"/>
        </w:rPr>
        <w:t>行政股职工</w:t>
      </w:r>
    </w:p>
    <w:p w14:paraId="525180F8" w14:textId="77777777" w:rsidR="00D13164" w:rsidRDefault="00000000">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办公室设在行政股，办公室主任由郑舒心担任。</w:t>
      </w:r>
    </w:p>
    <w:p w14:paraId="1BCD874F" w14:textId="77777777" w:rsidR="00D13164" w:rsidRDefault="00000000">
      <w:pPr>
        <w:ind w:firstLineChars="200" w:firstLine="643"/>
        <w:rPr>
          <w:rFonts w:ascii="仿宋_GB2312" w:eastAsia="仿宋_GB2312" w:hAnsi="仿宋_GB2312" w:cs="仿宋_GB2312"/>
          <w:sz w:val="32"/>
          <w:szCs w:val="32"/>
          <w:lang w:val="zh-CN"/>
        </w:rPr>
      </w:pPr>
      <w:r>
        <w:rPr>
          <w:rFonts w:ascii="楷体_GB2312" w:eastAsia="楷体_GB2312" w:hAnsi="宋体" w:hint="eastAsia"/>
          <w:b/>
          <w:sz w:val="32"/>
          <w:szCs w:val="32"/>
          <w:lang w:val="zh-CN"/>
        </w:rPr>
        <w:t>（二）项目管理情况。</w:t>
      </w:r>
      <w:r>
        <w:rPr>
          <w:rFonts w:ascii="仿宋_GB2312" w:eastAsia="仿宋_GB2312" w:hAnsi="仿宋_GB2312" w:cs="仿宋_GB2312" w:hint="eastAsia"/>
          <w:sz w:val="32"/>
          <w:szCs w:val="32"/>
        </w:rPr>
        <w:t>本项目采取项目工作领导小组负责制，全体成员积极配合、通力合作。项目工作领导小组负责协调相关工作、项目实施及资金管理。</w:t>
      </w:r>
    </w:p>
    <w:p w14:paraId="36CC93AD" w14:textId="77777777" w:rsidR="00D13164" w:rsidRDefault="00000000">
      <w:pPr>
        <w:ind w:firstLineChars="200" w:firstLine="643"/>
        <w:rPr>
          <w:rFonts w:ascii="仿宋_GB2312" w:eastAsia="仿宋_GB2312" w:hAnsi="仿宋_GB2312" w:cs="仿宋_GB2312"/>
          <w:sz w:val="32"/>
          <w:szCs w:val="32"/>
        </w:rPr>
      </w:pPr>
      <w:r>
        <w:rPr>
          <w:rFonts w:ascii="楷体_GB2312" w:eastAsia="楷体_GB2312" w:hAnsi="宋体" w:hint="eastAsia"/>
          <w:b/>
          <w:sz w:val="32"/>
          <w:szCs w:val="32"/>
          <w:lang w:val="zh-CN"/>
        </w:rPr>
        <w:t>（三）项目监管情况。</w:t>
      </w:r>
      <w:r>
        <w:rPr>
          <w:rFonts w:ascii="仿宋_GB2312" w:eastAsia="仿宋_GB2312" w:hAnsi="仿宋_GB2312" w:cs="仿宋_GB2312" w:hint="eastAsia"/>
          <w:sz w:val="32"/>
          <w:szCs w:val="32"/>
        </w:rPr>
        <w:t>项目资金由行政</w:t>
      </w:r>
      <w:proofErr w:type="gramStart"/>
      <w:r>
        <w:rPr>
          <w:rFonts w:ascii="仿宋_GB2312" w:eastAsia="仿宋_GB2312" w:hAnsi="仿宋_GB2312" w:cs="仿宋_GB2312" w:hint="eastAsia"/>
          <w:sz w:val="32"/>
          <w:szCs w:val="32"/>
        </w:rPr>
        <w:t>股具体</w:t>
      </w:r>
      <w:proofErr w:type="gramEnd"/>
      <w:r>
        <w:rPr>
          <w:rFonts w:ascii="仿宋_GB2312" w:eastAsia="仿宋_GB2312" w:hAnsi="仿宋_GB2312" w:cs="仿宋_GB2312" w:hint="eastAsia"/>
          <w:sz w:val="32"/>
          <w:szCs w:val="32"/>
        </w:rPr>
        <w:t>管理，按投资计划，制定管理制度，对项目资金按项目单独核算实行“专款专用、专人管理”，不得挤占挪用项目资金。强化监督，项目的正常实施监督检查是保障。指派专人长期对项目的实施定期或不定期的进行现场检查和监督，及时协调解决困难和问题，保证工程质量。</w:t>
      </w:r>
    </w:p>
    <w:p w14:paraId="614A339B" w14:textId="77777777" w:rsidR="00D13164" w:rsidRDefault="00000000">
      <w:pPr>
        <w:adjustRightInd w:val="0"/>
        <w:snapToGrid w:val="0"/>
        <w:spacing w:line="540" w:lineRule="exact"/>
        <w:ind w:firstLine="720"/>
        <w:rPr>
          <w:rFonts w:ascii="仿宋_GB2312" w:hAnsi="宋体"/>
          <w:sz w:val="32"/>
          <w:szCs w:val="32"/>
          <w:lang w:val="zh-CN"/>
        </w:rPr>
      </w:pPr>
      <w:r>
        <w:rPr>
          <w:rFonts w:ascii="黑体" w:eastAsia="黑体" w:hAnsi="宋体" w:hint="eastAsia"/>
          <w:sz w:val="32"/>
          <w:szCs w:val="32"/>
        </w:rPr>
        <w:t>四、项目绩效情况</w:t>
      </w:r>
      <w:r>
        <w:rPr>
          <w:rFonts w:ascii="仿宋_GB2312" w:hAnsi="宋体" w:hint="eastAsia"/>
          <w:sz w:val="32"/>
          <w:szCs w:val="32"/>
          <w:lang w:val="zh-CN"/>
        </w:rPr>
        <w:tab/>
      </w:r>
    </w:p>
    <w:p w14:paraId="76AAA064" w14:textId="77777777" w:rsidR="00D13164" w:rsidRDefault="00000000">
      <w:pPr>
        <w:adjustRightInd w:val="0"/>
        <w:snapToGrid w:val="0"/>
        <w:spacing w:line="54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0AD8096D" w14:textId="77777777" w:rsidR="00D13164" w:rsidRDefault="00000000">
      <w:pPr>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一是该</w:t>
      </w:r>
      <w:r>
        <w:rPr>
          <w:rFonts w:ascii="仿宋_GB2312" w:eastAsia="仿宋_GB2312" w:hAnsi="仿宋_GB2312" w:cs="仿宋_GB2312" w:hint="eastAsia"/>
          <w:sz w:val="32"/>
          <w:szCs w:val="32"/>
          <w:lang w:val="zh-CN"/>
        </w:rPr>
        <w:t>项目</w:t>
      </w:r>
      <w:r>
        <w:rPr>
          <w:rFonts w:ascii="仿宋_GB2312" w:eastAsia="仿宋_GB2312" w:hAnsi="仿宋_GB2312" w:cs="仿宋_GB2312" w:hint="eastAsia"/>
          <w:sz w:val="32"/>
          <w:szCs w:val="32"/>
        </w:rPr>
        <w:t>目前达到了目标任务，</w:t>
      </w:r>
      <w:r>
        <w:rPr>
          <w:rFonts w:ascii="仿宋_GB2312" w:eastAsia="仿宋_GB2312" w:hAnsi="仿宋_GB2312" w:cs="仿宋_GB2312" w:hint="eastAsia"/>
          <w:sz w:val="32"/>
          <w:szCs w:val="32"/>
          <w:lang w:val="zh-CN"/>
        </w:rPr>
        <w:t>确保了</w:t>
      </w:r>
      <w:r>
        <w:rPr>
          <w:rFonts w:ascii="仿宋_GB2312" w:eastAsia="仿宋_GB2312" w:hAnsi="仿宋_GB2312" w:cs="仿宋_GB2312" w:hint="eastAsia"/>
          <w:sz w:val="32"/>
          <w:szCs w:val="32"/>
        </w:rPr>
        <w:t>1、2号楼公共区域工作环境及会议中心会场环境</w:t>
      </w:r>
      <w:r>
        <w:rPr>
          <w:rFonts w:ascii="仿宋_GB2312" w:eastAsia="仿宋_GB2312" w:hAnsi="仿宋_GB2312" w:cs="仿宋_GB2312" w:hint="eastAsia"/>
          <w:sz w:val="32"/>
          <w:szCs w:val="32"/>
          <w:lang w:val="zh-CN"/>
        </w:rPr>
        <w:t>。</w:t>
      </w:r>
    </w:p>
    <w:p w14:paraId="1CEE600F" w14:textId="77777777" w:rsidR="00D13164" w:rsidRDefault="00000000">
      <w:pPr>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二是该项目目前完成</w:t>
      </w:r>
      <w:r>
        <w:rPr>
          <w:rFonts w:ascii="仿宋_GB2312" w:eastAsia="仿宋_GB2312" w:hAnsi="仿宋_GB2312" w:cs="仿宋_GB2312" w:hint="eastAsia"/>
          <w:sz w:val="32"/>
          <w:szCs w:val="32"/>
          <w:lang w:val="zh-CN"/>
        </w:rPr>
        <w:t>达到质量目标</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lang w:val="zh-CN"/>
        </w:rPr>
        <w:t>。</w:t>
      </w:r>
    </w:p>
    <w:p w14:paraId="7FE7E188" w14:textId="77777777" w:rsidR="00D13164" w:rsidRDefault="00000000">
      <w:pPr>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三是该项目按进度执行，</w:t>
      </w:r>
      <w:r>
        <w:rPr>
          <w:rFonts w:ascii="仿宋_GB2312" w:eastAsia="仿宋_GB2312" w:hAnsi="仿宋_GB2312" w:cs="仿宋_GB2312" w:hint="eastAsia"/>
          <w:sz w:val="32"/>
          <w:szCs w:val="32"/>
          <w:lang w:val="zh-CN"/>
        </w:rPr>
        <w:t>按期完成，</w:t>
      </w:r>
      <w:r>
        <w:rPr>
          <w:rFonts w:ascii="仿宋_GB2312" w:eastAsia="仿宋_GB2312" w:hAnsi="仿宋_GB2312" w:cs="仿宋_GB2312" w:hint="eastAsia"/>
          <w:sz w:val="32"/>
          <w:szCs w:val="32"/>
        </w:rPr>
        <w:t>部分款项尚未结算</w:t>
      </w:r>
      <w:r>
        <w:rPr>
          <w:rFonts w:ascii="仿宋_GB2312" w:eastAsia="仿宋_GB2312" w:hAnsi="仿宋_GB2312" w:cs="仿宋_GB2312" w:hint="eastAsia"/>
          <w:sz w:val="32"/>
          <w:szCs w:val="32"/>
          <w:lang w:val="zh-CN"/>
        </w:rPr>
        <w:t>。</w:t>
      </w:r>
    </w:p>
    <w:p w14:paraId="7DC4268C" w14:textId="77777777" w:rsidR="00D13164" w:rsidRDefault="00000000">
      <w:pPr>
        <w:adjustRightInd w:val="0"/>
        <w:snapToGrid w:val="0"/>
        <w:spacing w:line="54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6907CAB5" w14:textId="77777777" w:rsidR="00D13164" w:rsidRDefault="00000000">
      <w:pPr>
        <w:adjustRightInd w:val="0"/>
        <w:snapToGrid w:val="0"/>
        <w:spacing w:line="58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我单位积极履职，强化管理，</w:t>
      </w:r>
      <w:r>
        <w:rPr>
          <w:rFonts w:ascii="仿宋_GB2312" w:eastAsia="仿宋_GB2312" w:hAnsi="仿宋_GB2312" w:cs="仿宋_GB2312" w:hint="eastAsia"/>
          <w:sz w:val="32"/>
          <w:szCs w:val="32"/>
        </w:rPr>
        <w:t>在2021年较好地保障了</w:t>
      </w:r>
      <w:r>
        <w:rPr>
          <w:rFonts w:ascii="仿宋_GB2312" w:eastAsia="仿宋_GB2312" w:hAnsi="仿宋_GB2312" w:cs="仿宋_GB2312" w:hint="eastAsia"/>
          <w:sz w:val="32"/>
          <w:szCs w:val="32"/>
        </w:rPr>
        <w:lastRenderedPageBreak/>
        <w:t>1、2号楼公共区域工作环境及会议中心会场环境，</w:t>
      </w:r>
      <w:r>
        <w:rPr>
          <w:rFonts w:ascii="仿宋_GB2312" w:eastAsia="仿宋_GB2312" w:hAnsi="仿宋_GB2312" w:cs="仿宋_GB2312" w:hint="eastAsia"/>
          <w:sz w:val="32"/>
          <w:szCs w:val="32"/>
          <w:lang w:val="zh-CN"/>
        </w:rPr>
        <w:t>较好的完成了年度工作目标。</w:t>
      </w:r>
    </w:p>
    <w:p w14:paraId="6AF879B6" w14:textId="77777777" w:rsidR="00D13164" w:rsidRDefault="00000000">
      <w:pPr>
        <w:adjustRightInd w:val="0"/>
        <w:snapToGrid w:val="0"/>
        <w:spacing w:line="540" w:lineRule="exact"/>
        <w:ind w:firstLine="720"/>
        <w:rPr>
          <w:rFonts w:ascii="黑体" w:eastAsia="黑体" w:hAnsi="宋体"/>
          <w:sz w:val="32"/>
          <w:szCs w:val="32"/>
        </w:rPr>
      </w:pPr>
      <w:r>
        <w:rPr>
          <w:rFonts w:ascii="黑体" w:eastAsia="黑体" w:hAnsi="宋体" w:hint="eastAsia"/>
          <w:sz w:val="32"/>
          <w:szCs w:val="32"/>
        </w:rPr>
        <w:t>五、评价结论及建议</w:t>
      </w:r>
    </w:p>
    <w:p w14:paraId="596233E6" w14:textId="77777777" w:rsidR="00D13164" w:rsidRDefault="00000000">
      <w:pPr>
        <w:adjustRightInd w:val="0"/>
        <w:snapToGrid w:val="0"/>
        <w:spacing w:line="54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276DF744" w14:textId="77777777" w:rsidR="00D13164" w:rsidRDefault="00000000">
      <w:pPr>
        <w:spacing w:line="58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办公大楼1、2号楼及会议中心日常维修维护费项目保障了1、2号楼公共区域工作环境及会议中心会场环境。</w:t>
      </w:r>
    </w:p>
    <w:p w14:paraId="40B3B715" w14:textId="77777777" w:rsidR="00D13164" w:rsidRDefault="00000000">
      <w:pPr>
        <w:adjustRightInd w:val="0"/>
        <w:snapToGrid w:val="0"/>
        <w:spacing w:line="54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49837021" w14:textId="77777777" w:rsidR="00D13164" w:rsidRDefault="00000000">
      <w:pPr>
        <w:adjustRightInd w:val="0"/>
        <w:snapToGrid w:val="0"/>
        <w:spacing w:line="58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14:paraId="5271711D" w14:textId="77777777" w:rsidR="00D13164" w:rsidRDefault="00000000">
      <w:pPr>
        <w:adjustRightInd w:val="0"/>
        <w:snapToGrid w:val="0"/>
        <w:spacing w:line="54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650D382E" w14:textId="77777777" w:rsidR="00D13164" w:rsidRDefault="00000000">
      <w:pPr>
        <w:ind w:firstLineChars="249" w:firstLine="797"/>
      </w:pPr>
      <w:r>
        <w:rPr>
          <w:rFonts w:ascii="仿宋_GB2312" w:eastAsia="仿宋_GB2312" w:hAnsi="仿宋_GB2312" w:cs="仿宋_GB2312" w:hint="eastAsia"/>
          <w:sz w:val="32"/>
          <w:szCs w:val="32"/>
        </w:rPr>
        <w:t>无</w:t>
      </w:r>
    </w:p>
    <w:p w14:paraId="473123F6" w14:textId="77777777" w:rsidR="00D13164" w:rsidRDefault="00D13164">
      <w:pPr>
        <w:rPr>
          <w:rStyle w:val="10"/>
          <w:rFonts w:ascii="黑体" w:eastAsia="黑体" w:hAnsi="黑体"/>
          <w:b w:val="0"/>
        </w:rPr>
      </w:pPr>
    </w:p>
    <w:p w14:paraId="433D79BF" w14:textId="77777777" w:rsidR="00D13164" w:rsidRDefault="00D13164"/>
    <w:p w14:paraId="28746503" w14:textId="77777777" w:rsidR="00D13164" w:rsidRDefault="00D13164">
      <w:pPr>
        <w:spacing w:line="600" w:lineRule="exact"/>
        <w:jc w:val="center"/>
        <w:outlineLvl w:val="0"/>
        <w:rPr>
          <w:rFonts w:ascii="黑体" w:eastAsia="黑体" w:hAnsi="黑体"/>
          <w:color w:val="000000"/>
          <w:sz w:val="44"/>
          <w:szCs w:val="44"/>
        </w:rPr>
      </w:pPr>
      <w:bookmarkStart w:id="132" w:name="_Toc79163635"/>
      <w:bookmarkStart w:id="133" w:name="_Toc15396618"/>
    </w:p>
    <w:p w14:paraId="1453E8A7" w14:textId="77777777" w:rsidR="00D13164" w:rsidRDefault="00D13164">
      <w:pPr>
        <w:spacing w:line="600" w:lineRule="exact"/>
        <w:jc w:val="center"/>
        <w:outlineLvl w:val="0"/>
        <w:rPr>
          <w:rFonts w:ascii="黑体" w:eastAsia="黑体" w:hAnsi="黑体"/>
          <w:color w:val="000000"/>
          <w:sz w:val="44"/>
          <w:szCs w:val="44"/>
        </w:rPr>
      </w:pPr>
    </w:p>
    <w:p w14:paraId="721109DC" w14:textId="77777777" w:rsidR="00D13164" w:rsidRDefault="00D13164">
      <w:pPr>
        <w:spacing w:line="600" w:lineRule="exact"/>
        <w:jc w:val="center"/>
        <w:outlineLvl w:val="0"/>
        <w:rPr>
          <w:rFonts w:ascii="黑体" w:eastAsia="黑体" w:hAnsi="黑体"/>
          <w:color w:val="000000"/>
          <w:sz w:val="44"/>
          <w:szCs w:val="44"/>
        </w:rPr>
      </w:pPr>
    </w:p>
    <w:p w14:paraId="12B429CC" w14:textId="77777777" w:rsidR="00D13164" w:rsidRDefault="00D13164">
      <w:pPr>
        <w:spacing w:line="600" w:lineRule="exact"/>
        <w:jc w:val="center"/>
        <w:outlineLvl w:val="0"/>
        <w:rPr>
          <w:rFonts w:ascii="黑体" w:eastAsia="黑体" w:hAnsi="黑体"/>
          <w:color w:val="000000"/>
          <w:sz w:val="44"/>
          <w:szCs w:val="44"/>
        </w:rPr>
      </w:pPr>
    </w:p>
    <w:p w14:paraId="24B427BD" w14:textId="77777777" w:rsidR="00D13164" w:rsidRDefault="00D13164">
      <w:pPr>
        <w:spacing w:line="600" w:lineRule="exact"/>
        <w:jc w:val="center"/>
        <w:outlineLvl w:val="0"/>
        <w:rPr>
          <w:rFonts w:ascii="黑体" w:eastAsia="黑体" w:hAnsi="黑体"/>
          <w:color w:val="000000"/>
          <w:sz w:val="44"/>
          <w:szCs w:val="44"/>
        </w:rPr>
      </w:pPr>
    </w:p>
    <w:p w14:paraId="2E655314" w14:textId="77777777" w:rsidR="00D13164" w:rsidRDefault="00D13164">
      <w:pPr>
        <w:spacing w:line="600" w:lineRule="exact"/>
        <w:jc w:val="center"/>
        <w:outlineLvl w:val="0"/>
        <w:rPr>
          <w:rFonts w:ascii="黑体" w:eastAsia="黑体" w:hAnsi="黑体"/>
          <w:color w:val="000000"/>
          <w:sz w:val="44"/>
          <w:szCs w:val="44"/>
        </w:rPr>
      </w:pPr>
    </w:p>
    <w:p w14:paraId="003102CE" w14:textId="77777777" w:rsidR="00D13164" w:rsidRDefault="00D13164">
      <w:pPr>
        <w:spacing w:line="600" w:lineRule="exact"/>
        <w:jc w:val="center"/>
        <w:outlineLvl w:val="0"/>
        <w:rPr>
          <w:rFonts w:ascii="黑体" w:eastAsia="黑体" w:hAnsi="黑体"/>
          <w:color w:val="000000"/>
          <w:sz w:val="44"/>
          <w:szCs w:val="44"/>
        </w:rPr>
      </w:pPr>
    </w:p>
    <w:p w14:paraId="734558D2" w14:textId="77777777" w:rsidR="00D13164" w:rsidRDefault="00D13164">
      <w:pPr>
        <w:spacing w:line="600" w:lineRule="exact"/>
        <w:jc w:val="center"/>
        <w:outlineLvl w:val="0"/>
        <w:rPr>
          <w:rFonts w:ascii="黑体" w:eastAsia="黑体" w:hAnsi="黑体"/>
          <w:color w:val="000000"/>
          <w:sz w:val="44"/>
          <w:szCs w:val="44"/>
        </w:rPr>
      </w:pPr>
    </w:p>
    <w:p w14:paraId="466D7523" w14:textId="77777777" w:rsidR="00D13164" w:rsidRDefault="00D13164">
      <w:pPr>
        <w:spacing w:line="600" w:lineRule="exact"/>
        <w:jc w:val="center"/>
        <w:outlineLvl w:val="0"/>
        <w:rPr>
          <w:rFonts w:ascii="黑体" w:eastAsia="黑体" w:hAnsi="黑体"/>
          <w:color w:val="000000"/>
          <w:sz w:val="44"/>
          <w:szCs w:val="44"/>
        </w:rPr>
      </w:pPr>
    </w:p>
    <w:p w14:paraId="7033A9E3" w14:textId="77777777" w:rsidR="00D13164" w:rsidRDefault="00D13164">
      <w:pPr>
        <w:spacing w:line="600" w:lineRule="exact"/>
        <w:jc w:val="center"/>
        <w:outlineLvl w:val="0"/>
        <w:rPr>
          <w:rFonts w:ascii="黑体" w:eastAsia="黑体" w:hAnsi="黑体"/>
          <w:color w:val="000000"/>
          <w:sz w:val="44"/>
          <w:szCs w:val="44"/>
        </w:rPr>
      </w:pPr>
    </w:p>
    <w:p w14:paraId="09095212" w14:textId="77777777" w:rsidR="00D13164" w:rsidRDefault="00D13164">
      <w:pPr>
        <w:spacing w:line="600" w:lineRule="exact"/>
        <w:jc w:val="center"/>
        <w:outlineLvl w:val="0"/>
        <w:rPr>
          <w:rFonts w:ascii="黑体" w:eastAsia="黑体" w:hAnsi="黑体"/>
          <w:color w:val="000000"/>
          <w:sz w:val="44"/>
          <w:szCs w:val="44"/>
        </w:rPr>
      </w:pPr>
    </w:p>
    <w:p w14:paraId="459E1F88" w14:textId="77777777" w:rsidR="00D13164" w:rsidRDefault="00D13164">
      <w:pPr>
        <w:spacing w:line="600" w:lineRule="exact"/>
        <w:jc w:val="center"/>
        <w:outlineLvl w:val="0"/>
        <w:rPr>
          <w:rFonts w:ascii="黑体" w:eastAsia="黑体" w:hAnsi="黑体"/>
          <w:color w:val="000000"/>
          <w:sz w:val="44"/>
          <w:szCs w:val="44"/>
        </w:rPr>
      </w:pPr>
    </w:p>
    <w:p w14:paraId="5E2C7793" w14:textId="77777777" w:rsidR="00D13164" w:rsidRDefault="00000000">
      <w:pPr>
        <w:spacing w:line="600" w:lineRule="exact"/>
        <w:jc w:val="center"/>
        <w:outlineLvl w:val="0"/>
        <w:rPr>
          <w:rStyle w:val="10"/>
          <w:rFonts w:ascii="黑体" w:eastAsia="黑体" w:hAnsi="黑体"/>
          <w:b w:val="0"/>
        </w:rPr>
      </w:pPr>
      <w:bookmarkStart w:id="134" w:name="_Toc999"/>
      <w:r>
        <w:rPr>
          <w:rFonts w:ascii="黑体" w:eastAsia="黑体" w:hAnsi="黑体" w:hint="eastAsia"/>
          <w:color w:val="000000"/>
          <w:sz w:val="44"/>
          <w:szCs w:val="44"/>
        </w:rPr>
        <w:lastRenderedPageBreak/>
        <w:t>第</w:t>
      </w:r>
      <w:r>
        <w:rPr>
          <w:rStyle w:val="10"/>
          <w:rFonts w:ascii="黑体" w:eastAsia="黑体" w:hAnsi="黑体" w:hint="eastAsia"/>
          <w:b w:val="0"/>
        </w:rPr>
        <w:t>五部分</w:t>
      </w:r>
      <w:r>
        <w:rPr>
          <w:rStyle w:val="10"/>
          <w:rFonts w:ascii="黑体" w:eastAsia="黑体" w:hAnsi="黑体"/>
          <w:b w:val="0"/>
        </w:rPr>
        <w:t xml:space="preserve"> </w:t>
      </w:r>
      <w:r>
        <w:rPr>
          <w:rStyle w:val="10"/>
          <w:rFonts w:ascii="黑体" w:eastAsia="黑体" w:hAnsi="黑体" w:hint="eastAsia"/>
          <w:b w:val="0"/>
        </w:rPr>
        <w:t>附表</w:t>
      </w:r>
      <w:bookmarkEnd w:id="116"/>
      <w:bookmarkEnd w:id="132"/>
      <w:bookmarkEnd w:id="133"/>
      <w:bookmarkEnd w:id="134"/>
    </w:p>
    <w:p w14:paraId="6AF43411" w14:textId="77777777" w:rsidR="00D13164" w:rsidRDefault="00000000">
      <w:pPr>
        <w:pStyle w:val="2"/>
        <w:rPr>
          <w:rFonts w:ascii="仿宋" w:eastAsia="仿宋" w:hAnsi="仿宋"/>
          <w:color w:val="000000"/>
        </w:rPr>
      </w:pPr>
      <w:bookmarkStart w:id="135" w:name="_Toc15396619"/>
      <w:bookmarkStart w:id="136" w:name="_Toc3654"/>
      <w:bookmarkStart w:id="137" w:name="_Toc79163636"/>
      <w:r>
        <w:rPr>
          <w:rFonts w:ascii="仿宋" w:eastAsia="仿宋" w:hAnsi="仿宋" w:hint="eastAsia"/>
          <w:b w:val="0"/>
          <w:color w:val="000000"/>
        </w:rPr>
        <w:t>一、收</w:t>
      </w:r>
      <w:r>
        <w:rPr>
          <w:rStyle w:val="20"/>
          <w:rFonts w:ascii="仿宋" w:eastAsia="仿宋" w:hAnsi="仿宋" w:hint="eastAsia"/>
        </w:rPr>
        <w:t>入支出决算总表</w:t>
      </w:r>
      <w:bookmarkEnd w:id="135"/>
      <w:bookmarkEnd w:id="136"/>
      <w:bookmarkEnd w:id="137"/>
    </w:p>
    <w:p w14:paraId="357E5F12" w14:textId="77777777" w:rsidR="00D13164" w:rsidRDefault="00000000">
      <w:pPr>
        <w:pStyle w:val="2"/>
        <w:rPr>
          <w:rFonts w:ascii="仿宋" w:eastAsia="仿宋" w:hAnsi="仿宋"/>
          <w:color w:val="000000"/>
        </w:rPr>
      </w:pPr>
      <w:bookmarkStart w:id="138" w:name="_Toc79163637"/>
      <w:bookmarkStart w:id="139" w:name="_Toc15396620"/>
      <w:bookmarkStart w:id="140" w:name="_Toc900"/>
      <w:r>
        <w:rPr>
          <w:rFonts w:ascii="仿宋" w:eastAsia="仿宋" w:hAnsi="仿宋" w:hint="eastAsia"/>
          <w:b w:val="0"/>
          <w:color w:val="000000"/>
        </w:rPr>
        <w:t>二、收</w:t>
      </w:r>
      <w:r>
        <w:rPr>
          <w:rStyle w:val="20"/>
          <w:rFonts w:ascii="仿宋" w:eastAsia="仿宋" w:hAnsi="仿宋" w:hint="eastAsia"/>
        </w:rPr>
        <w:t>入决算表</w:t>
      </w:r>
      <w:bookmarkEnd w:id="138"/>
      <w:bookmarkEnd w:id="139"/>
      <w:bookmarkEnd w:id="140"/>
    </w:p>
    <w:p w14:paraId="4C1208C9" w14:textId="77777777" w:rsidR="00D13164" w:rsidRDefault="00000000">
      <w:pPr>
        <w:pStyle w:val="2"/>
        <w:rPr>
          <w:rFonts w:ascii="仿宋" w:eastAsia="仿宋" w:hAnsi="仿宋"/>
          <w:color w:val="000000"/>
        </w:rPr>
      </w:pPr>
      <w:bookmarkStart w:id="141" w:name="_Toc15396621"/>
      <w:bookmarkStart w:id="142" w:name="_Toc79163638"/>
      <w:bookmarkStart w:id="143" w:name="_Toc23529"/>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141"/>
      <w:bookmarkEnd w:id="142"/>
      <w:bookmarkEnd w:id="143"/>
    </w:p>
    <w:p w14:paraId="6AE7D94A" w14:textId="77777777" w:rsidR="00D13164" w:rsidRDefault="00000000">
      <w:pPr>
        <w:pStyle w:val="2"/>
        <w:rPr>
          <w:rFonts w:ascii="仿宋" w:eastAsia="仿宋" w:hAnsi="仿宋"/>
          <w:b w:val="0"/>
          <w:color w:val="000000"/>
        </w:rPr>
      </w:pPr>
      <w:bookmarkStart w:id="144" w:name="_Toc2769"/>
      <w:bookmarkStart w:id="145" w:name="_Toc15396622"/>
      <w:bookmarkStart w:id="146" w:name="_Toc79163639"/>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144"/>
      <w:bookmarkEnd w:id="145"/>
      <w:bookmarkEnd w:id="146"/>
    </w:p>
    <w:p w14:paraId="5B87D6A7" w14:textId="77777777" w:rsidR="00D13164" w:rsidRDefault="00000000">
      <w:pPr>
        <w:pStyle w:val="2"/>
        <w:rPr>
          <w:rStyle w:val="20"/>
          <w:rFonts w:ascii="仿宋" w:eastAsia="仿宋" w:hAnsi="仿宋"/>
        </w:rPr>
      </w:pPr>
      <w:bookmarkStart w:id="147" w:name="_Toc15396623"/>
      <w:bookmarkStart w:id="148" w:name="_Toc79163640"/>
      <w:bookmarkStart w:id="149" w:name="_Toc29826"/>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Start w:id="150" w:name="_Toc15396624"/>
      <w:bookmarkEnd w:id="147"/>
      <w:bookmarkEnd w:id="148"/>
      <w:bookmarkEnd w:id="149"/>
    </w:p>
    <w:p w14:paraId="0542BEBB" w14:textId="77777777" w:rsidR="00D13164" w:rsidRDefault="00000000">
      <w:pPr>
        <w:pStyle w:val="2"/>
        <w:rPr>
          <w:rFonts w:ascii="仿宋" w:eastAsia="仿宋" w:hAnsi="仿宋"/>
          <w:color w:val="000000"/>
        </w:rPr>
      </w:pPr>
      <w:bookmarkStart w:id="151" w:name="_Toc79163641"/>
      <w:bookmarkStart w:id="152" w:name="_Toc14373"/>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150"/>
      <w:bookmarkEnd w:id="151"/>
      <w:bookmarkEnd w:id="152"/>
    </w:p>
    <w:p w14:paraId="6C9BBB49" w14:textId="77777777" w:rsidR="00D13164" w:rsidRDefault="00000000">
      <w:pPr>
        <w:pStyle w:val="2"/>
        <w:rPr>
          <w:rFonts w:ascii="仿宋" w:eastAsia="仿宋" w:hAnsi="仿宋"/>
          <w:color w:val="000000"/>
        </w:rPr>
      </w:pPr>
      <w:bookmarkStart w:id="153" w:name="_Toc15396625"/>
      <w:bookmarkStart w:id="154" w:name="_Toc79163642"/>
      <w:bookmarkStart w:id="155" w:name="_Toc32581"/>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153"/>
      <w:bookmarkEnd w:id="154"/>
      <w:bookmarkEnd w:id="155"/>
    </w:p>
    <w:p w14:paraId="2D6CD7EE" w14:textId="77777777" w:rsidR="00D13164" w:rsidRDefault="00000000">
      <w:pPr>
        <w:pStyle w:val="2"/>
        <w:rPr>
          <w:rFonts w:ascii="仿宋" w:eastAsia="仿宋" w:hAnsi="仿宋"/>
          <w:color w:val="000000"/>
        </w:rPr>
      </w:pPr>
      <w:bookmarkStart w:id="156" w:name="_Toc79163643"/>
      <w:bookmarkStart w:id="157" w:name="_Toc15396626"/>
      <w:bookmarkStart w:id="158" w:name="_Toc30519"/>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156"/>
      <w:bookmarkEnd w:id="157"/>
      <w:bookmarkEnd w:id="158"/>
    </w:p>
    <w:p w14:paraId="43A49B67" w14:textId="77777777" w:rsidR="00D13164" w:rsidRDefault="00000000">
      <w:pPr>
        <w:pStyle w:val="2"/>
        <w:rPr>
          <w:rFonts w:ascii="仿宋" w:eastAsia="仿宋" w:hAnsi="仿宋"/>
          <w:color w:val="000000"/>
        </w:rPr>
      </w:pPr>
      <w:bookmarkStart w:id="159" w:name="_Toc15396627"/>
      <w:bookmarkStart w:id="160" w:name="_Toc79163644"/>
      <w:bookmarkStart w:id="161" w:name="_Toc23837"/>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159"/>
      <w:bookmarkEnd w:id="160"/>
      <w:bookmarkEnd w:id="161"/>
    </w:p>
    <w:p w14:paraId="1CEAA55F" w14:textId="77777777" w:rsidR="00D13164" w:rsidRDefault="00000000">
      <w:pPr>
        <w:pStyle w:val="2"/>
        <w:rPr>
          <w:rFonts w:ascii="仿宋" w:eastAsia="仿宋" w:hAnsi="仿宋"/>
          <w:color w:val="000000"/>
        </w:rPr>
      </w:pPr>
      <w:bookmarkStart w:id="162" w:name="_Toc79163645"/>
      <w:bookmarkStart w:id="163" w:name="_Toc24875"/>
      <w:bookmarkStart w:id="164" w:name="_Toc15396628"/>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162"/>
      <w:bookmarkEnd w:id="163"/>
      <w:bookmarkEnd w:id="164"/>
    </w:p>
    <w:p w14:paraId="70D6F704" w14:textId="77777777" w:rsidR="00D13164" w:rsidRDefault="00000000">
      <w:pPr>
        <w:pStyle w:val="2"/>
        <w:rPr>
          <w:rFonts w:ascii="仿宋" w:eastAsia="仿宋" w:hAnsi="仿宋"/>
          <w:color w:val="000000"/>
        </w:rPr>
      </w:pPr>
      <w:bookmarkStart w:id="165" w:name="_Toc15396629"/>
      <w:bookmarkStart w:id="166" w:name="_Toc79163646"/>
      <w:bookmarkStart w:id="167" w:name="_Toc5874"/>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165"/>
      <w:bookmarkEnd w:id="166"/>
      <w:bookmarkEnd w:id="167"/>
    </w:p>
    <w:p w14:paraId="01CF3590" w14:textId="77777777" w:rsidR="00D13164" w:rsidRDefault="00000000">
      <w:pPr>
        <w:pStyle w:val="2"/>
        <w:rPr>
          <w:rFonts w:ascii="仿宋" w:eastAsia="仿宋" w:hAnsi="仿宋"/>
          <w:color w:val="000000"/>
        </w:rPr>
      </w:pPr>
      <w:bookmarkStart w:id="168" w:name="_Toc17974"/>
      <w:bookmarkStart w:id="169" w:name="_Toc79163647"/>
      <w:bookmarkStart w:id="170" w:name="_Toc15396630"/>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168"/>
      <w:bookmarkEnd w:id="169"/>
      <w:bookmarkEnd w:id="170"/>
    </w:p>
    <w:p w14:paraId="05469861" w14:textId="77777777" w:rsidR="00D13164" w:rsidRDefault="00000000">
      <w:pPr>
        <w:pStyle w:val="2"/>
        <w:rPr>
          <w:rStyle w:val="20"/>
          <w:rFonts w:ascii="仿宋" w:eastAsia="仿宋" w:hAnsi="仿宋"/>
        </w:rPr>
      </w:pPr>
      <w:bookmarkStart w:id="171" w:name="_Toc15396631"/>
      <w:r>
        <w:rPr>
          <w:rStyle w:val="20"/>
          <w:rFonts w:ascii="仿宋" w:eastAsia="仿宋" w:hAnsi="仿宋" w:hint="eastAsia"/>
        </w:rPr>
        <w:t>十三、</w:t>
      </w:r>
      <w:bookmarkEnd w:id="171"/>
      <w:r>
        <w:rPr>
          <w:rStyle w:val="20"/>
          <w:rFonts w:ascii="仿宋" w:eastAsia="仿宋" w:hAnsi="仿宋" w:hint="eastAsia"/>
        </w:rPr>
        <w:t>国有资本经营预算财政拨款收入支出决算表</w:t>
      </w:r>
    </w:p>
    <w:p w14:paraId="00506429" w14:textId="77777777" w:rsidR="00D13164" w:rsidRDefault="00000000">
      <w:pPr>
        <w:rPr>
          <w:rFonts w:eastAsia="仿宋"/>
        </w:rPr>
      </w:pPr>
      <w:r>
        <w:rPr>
          <w:rStyle w:val="20"/>
          <w:rFonts w:ascii="仿宋" w:eastAsia="仿宋" w:hAnsi="仿宋" w:hint="eastAsia"/>
          <w:b w:val="0"/>
          <w:bCs w:val="0"/>
        </w:rPr>
        <w:t>十四、国有资本经营预算财政拨款支出决算表</w:t>
      </w:r>
    </w:p>
    <w:p w14:paraId="271F35BB" w14:textId="77777777" w:rsidR="00D13164" w:rsidRDefault="00D13164">
      <w:pPr>
        <w:pStyle w:val="2"/>
        <w:rPr>
          <w:rStyle w:val="20"/>
          <w:rFonts w:ascii="仿宋" w:eastAsia="仿宋" w:hAnsi="仿宋"/>
        </w:rPr>
      </w:pPr>
    </w:p>
    <w:sectPr w:rsidR="00D13164">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5FAA" w14:textId="77777777" w:rsidR="0000641A" w:rsidRDefault="0000641A">
      <w:r>
        <w:separator/>
      </w:r>
    </w:p>
  </w:endnote>
  <w:endnote w:type="continuationSeparator" w:id="0">
    <w:p w14:paraId="6F0BA3B8" w14:textId="77777777" w:rsidR="0000641A" w:rsidRDefault="0000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
    <w:altName w:val="Times New Roman"/>
    <w:charset w:val="00"/>
    <w:family w:val="roman"/>
    <w:pitch w:val="default"/>
    <w:sig w:usb0="00000000" w:usb1="00000000" w:usb2="00000000"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1F2B" w14:textId="77777777" w:rsidR="00D13164" w:rsidRDefault="00000000">
    <w:pPr>
      <w:pStyle w:val="a9"/>
      <w:jc w:val="center"/>
    </w:pPr>
    <w:r>
      <w:fldChar w:fldCharType="begin"/>
    </w:r>
    <w:r>
      <w:instrText>PAGE   \* MERGEFORMAT</w:instrText>
    </w:r>
    <w:r>
      <w:fldChar w:fldCharType="separate"/>
    </w:r>
    <w:r>
      <w:rPr>
        <w:lang w:val="zh-CN"/>
      </w:rPr>
      <w:t>24</w:t>
    </w:r>
    <w:r>
      <w:fldChar w:fldCharType="end"/>
    </w:r>
  </w:p>
  <w:p w14:paraId="2A17B221" w14:textId="77777777" w:rsidR="00D13164" w:rsidRDefault="00D131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EEEB" w14:textId="77777777" w:rsidR="0000641A" w:rsidRDefault="0000641A">
      <w:r>
        <w:separator/>
      </w:r>
    </w:p>
  </w:footnote>
  <w:footnote w:type="continuationSeparator" w:id="0">
    <w:p w14:paraId="4D025C0D" w14:textId="77777777" w:rsidR="0000641A" w:rsidRDefault="0000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6A6B" w14:textId="77777777" w:rsidR="00D13164" w:rsidRDefault="00D13164">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45F9AB"/>
    <w:multiLevelType w:val="singleLevel"/>
    <w:tmpl w:val="8345F9AB"/>
    <w:lvl w:ilvl="0">
      <w:start w:val="1"/>
      <w:numFmt w:val="chineseCounting"/>
      <w:suff w:val="nothing"/>
      <w:lvlText w:val="（%1）"/>
      <w:lvlJc w:val="left"/>
      <w:rPr>
        <w:rFonts w:hint="eastAsia"/>
      </w:rPr>
    </w:lvl>
  </w:abstractNum>
  <w:abstractNum w:abstractNumId="1" w15:restartNumberingAfterBreak="0">
    <w:nsid w:val="8C58C8F8"/>
    <w:multiLevelType w:val="singleLevel"/>
    <w:tmpl w:val="8C58C8F8"/>
    <w:lvl w:ilvl="0">
      <w:start w:val="8"/>
      <w:numFmt w:val="decimal"/>
      <w:suff w:val="nothing"/>
      <w:lvlText w:val="（%1）"/>
      <w:lvlJc w:val="left"/>
    </w:lvl>
  </w:abstractNum>
  <w:abstractNum w:abstractNumId="2" w15:restartNumberingAfterBreak="0">
    <w:nsid w:val="A33DE723"/>
    <w:multiLevelType w:val="singleLevel"/>
    <w:tmpl w:val="A33DE723"/>
    <w:lvl w:ilvl="0">
      <w:start w:val="1"/>
      <w:numFmt w:val="chineseCounting"/>
      <w:suff w:val="nothing"/>
      <w:lvlText w:val="%1、"/>
      <w:lvlJc w:val="left"/>
      <w:rPr>
        <w:rFonts w:hint="eastAsia"/>
      </w:rPr>
    </w:lvl>
  </w:abstractNum>
  <w:abstractNum w:abstractNumId="3" w15:restartNumberingAfterBreak="0">
    <w:nsid w:val="A61CA1BC"/>
    <w:multiLevelType w:val="singleLevel"/>
    <w:tmpl w:val="A61CA1BC"/>
    <w:lvl w:ilvl="0">
      <w:start w:val="2"/>
      <w:numFmt w:val="chineseCounting"/>
      <w:suff w:val="nothing"/>
      <w:lvlText w:val="（%1）"/>
      <w:lvlJc w:val="left"/>
      <w:rPr>
        <w:rFonts w:hint="eastAsia"/>
      </w:rPr>
    </w:lvl>
  </w:abstractNum>
  <w:abstractNum w:abstractNumId="4" w15:restartNumberingAfterBreak="0">
    <w:nsid w:val="CF652CEC"/>
    <w:multiLevelType w:val="singleLevel"/>
    <w:tmpl w:val="CF652CEC"/>
    <w:lvl w:ilvl="0">
      <w:start w:val="9"/>
      <w:numFmt w:val="chineseCounting"/>
      <w:suff w:val="nothing"/>
      <w:lvlText w:val="%1、"/>
      <w:lvlJc w:val="left"/>
      <w:rPr>
        <w:rFonts w:cs="Times New Roman" w:hint="eastAsia"/>
      </w:rPr>
    </w:lvl>
  </w:abstractNum>
  <w:abstractNum w:abstractNumId="5" w15:restartNumberingAfterBreak="0">
    <w:nsid w:val="E2FA047D"/>
    <w:multiLevelType w:val="singleLevel"/>
    <w:tmpl w:val="E2FA047D"/>
    <w:lvl w:ilvl="0">
      <w:start w:val="3"/>
      <w:numFmt w:val="chineseCounting"/>
      <w:suff w:val="space"/>
      <w:lvlText w:val="第%1部分"/>
      <w:lvlJc w:val="left"/>
      <w:rPr>
        <w:rFonts w:cs="Times New Roman" w:hint="eastAsia"/>
      </w:rPr>
    </w:lvl>
  </w:abstractNum>
  <w:abstractNum w:abstractNumId="6" w15:restartNumberingAfterBreak="0">
    <w:nsid w:val="F30537B7"/>
    <w:multiLevelType w:val="singleLevel"/>
    <w:tmpl w:val="F30537B7"/>
    <w:lvl w:ilvl="0">
      <w:start w:val="2"/>
      <w:numFmt w:val="chineseCounting"/>
      <w:suff w:val="nothing"/>
      <w:lvlText w:val="（%1）"/>
      <w:lvlJc w:val="left"/>
      <w:rPr>
        <w:rFonts w:hint="eastAsia"/>
      </w:rPr>
    </w:lvl>
  </w:abstractNum>
  <w:abstractNum w:abstractNumId="7" w15:restartNumberingAfterBreak="0">
    <w:nsid w:val="FCB2FC3E"/>
    <w:multiLevelType w:val="singleLevel"/>
    <w:tmpl w:val="FCB2FC3E"/>
    <w:lvl w:ilvl="0">
      <w:start w:val="1"/>
      <w:numFmt w:val="decimal"/>
      <w:suff w:val="nothing"/>
      <w:lvlText w:val="（%1）"/>
      <w:lvlJc w:val="left"/>
    </w:lvl>
  </w:abstractNum>
  <w:abstractNum w:abstractNumId="8" w15:restartNumberingAfterBreak="0">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9" w15:restartNumberingAfterBreak="0">
    <w:nsid w:val="59F81B57"/>
    <w:multiLevelType w:val="singleLevel"/>
    <w:tmpl w:val="59F81B57"/>
    <w:lvl w:ilvl="0">
      <w:start w:val="4"/>
      <w:numFmt w:val="decimal"/>
      <w:suff w:val="nothing"/>
      <w:lvlText w:val="%1."/>
      <w:lvlJc w:val="left"/>
    </w:lvl>
  </w:abstractNum>
  <w:abstractNum w:abstractNumId="10" w15:restartNumberingAfterBreak="0">
    <w:nsid w:val="6D484F9A"/>
    <w:multiLevelType w:val="singleLevel"/>
    <w:tmpl w:val="6D484F9A"/>
    <w:lvl w:ilvl="0">
      <w:start w:val="4"/>
      <w:numFmt w:val="decimal"/>
      <w:suff w:val="nothing"/>
      <w:lvlText w:val="（%1）"/>
      <w:lvlJc w:val="left"/>
    </w:lvl>
  </w:abstractNum>
  <w:num w:numId="1" w16cid:durableId="1236279480">
    <w:abstractNumId w:val="2"/>
  </w:num>
  <w:num w:numId="2" w16cid:durableId="1148670911">
    <w:abstractNumId w:val="9"/>
  </w:num>
  <w:num w:numId="3" w16cid:durableId="1923365870">
    <w:abstractNumId w:val="8"/>
  </w:num>
  <w:num w:numId="4" w16cid:durableId="1894996726">
    <w:abstractNumId w:val="4"/>
  </w:num>
  <w:num w:numId="5" w16cid:durableId="1997226859">
    <w:abstractNumId w:val="5"/>
  </w:num>
  <w:num w:numId="6" w16cid:durableId="1670020020">
    <w:abstractNumId w:val="10"/>
  </w:num>
  <w:num w:numId="7" w16cid:durableId="256211556">
    <w:abstractNumId w:val="1"/>
  </w:num>
  <w:num w:numId="8" w16cid:durableId="1246694777">
    <w:abstractNumId w:val="6"/>
  </w:num>
  <w:num w:numId="9" w16cid:durableId="1958103841">
    <w:abstractNumId w:val="7"/>
  </w:num>
  <w:num w:numId="10" w16cid:durableId="1686403886">
    <w:abstractNumId w:val="3"/>
  </w:num>
  <w:num w:numId="11" w16cid:durableId="1524595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IzMTEzMWFhY2I1ZDYwOTI4NjJkMjQ1N2FmZThlMzkifQ=="/>
  </w:docVars>
  <w:rsids>
    <w:rsidRoot w:val="00F1361C"/>
    <w:rsid w:val="0000641A"/>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420"/>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16757"/>
    <w:rsid w:val="00220536"/>
    <w:rsid w:val="002216A5"/>
    <w:rsid w:val="00235629"/>
    <w:rsid w:val="00256262"/>
    <w:rsid w:val="00260C38"/>
    <w:rsid w:val="002616C0"/>
    <w:rsid w:val="00265372"/>
    <w:rsid w:val="002662AA"/>
    <w:rsid w:val="0027224D"/>
    <w:rsid w:val="00280496"/>
    <w:rsid w:val="00294DC9"/>
    <w:rsid w:val="00295495"/>
    <w:rsid w:val="002A31DE"/>
    <w:rsid w:val="002B2613"/>
    <w:rsid w:val="002B2FF7"/>
    <w:rsid w:val="002D6D05"/>
    <w:rsid w:val="002F1818"/>
    <w:rsid w:val="002F567B"/>
    <w:rsid w:val="00305F0E"/>
    <w:rsid w:val="003216A9"/>
    <w:rsid w:val="00335A74"/>
    <w:rsid w:val="0036561B"/>
    <w:rsid w:val="0037013F"/>
    <w:rsid w:val="00380C92"/>
    <w:rsid w:val="003A1493"/>
    <w:rsid w:val="003A484F"/>
    <w:rsid w:val="003A4883"/>
    <w:rsid w:val="003B0BE0"/>
    <w:rsid w:val="003B0C1B"/>
    <w:rsid w:val="003B688C"/>
    <w:rsid w:val="003C0291"/>
    <w:rsid w:val="003C39AE"/>
    <w:rsid w:val="003C7B60"/>
    <w:rsid w:val="003D0C0F"/>
    <w:rsid w:val="003D1FB2"/>
    <w:rsid w:val="003D66DA"/>
    <w:rsid w:val="003E1310"/>
    <w:rsid w:val="003E6F55"/>
    <w:rsid w:val="003E6FE4"/>
    <w:rsid w:val="00406254"/>
    <w:rsid w:val="004223DE"/>
    <w:rsid w:val="00434489"/>
    <w:rsid w:val="00437085"/>
    <w:rsid w:val="00443880"/>
    <w:rsid w:val="00445607"/>
    <w:rsid w:val="004464F4"/>
    <w:rsid w:val="00471401"/>
    <w:rsid w:val="00473F31"/>
    <w:rsid w:val="0048263A"/>
    <w:rsid w:val="00487E5D"/>
    <w:rsid w:val="00491B00"/>
    <w:rsid w:val="004A711F"/>
    <w:rsid w:val="004B199D"/>
    <w:rsid w:val="004B4690"/>
    <w:rsid w:val="004C2E32"/>
    <w:rsid w:val="004D5479"/>
    <w:rsid w:val="004E0A2D"/>
    <w:rsid w:val="004E206B"/>
    <w:rsid w:val="004E6DF7"/>
    <w:rsid w:val="004F0FBD"/>
    <w:rsid w:val="00505A47"/>
    <w:rsid w:val="00512FDA"/>
    <w:rsid w:val="00520DA0"/>
    <w:rsid w:val="005269A7"/>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F81"/>
    <w:rsid w:val="0066343B"/>
    <w:rsid w:val="00664777"/>
    <w:rsid w:val="006748A4"/>
    <w:rsid w:val="006819F1"/>
    <w:rsid w:val="00681A31"/>
    <w:rsid w:val="00683E73"/>
    <w:rsid w:val="006A3141"/>
    <w:rsid w:val="006A5E34"/>
    <w:rsid w:val="006B2422"/>
    <w:rsid w:val="006B2B9A"/>
    <w:rsid w:val="006C1937"/>
    <w:rsid w:val="006F020C"/>
    <w:rsid w:val="007127B7"/>
    <w:rsid w:val="0071798E"/>
    <w:rsid w:val="007416B6"/>
    <w:rsid w:val="00743E74"/>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2977"/>
    <w:rsid w:val="008939CD"/>
    <w:rsid w:val="008B768C"/>
    <w:rsid w:val="008C4DB1"/>
    <w:rsid w:val="008C4EAF"/>
    <w:rsid w:val="008C5176"/>
    <w:rsid w:val="008C7FD0"/>
    <w:rsid w:val="008E1DE7"/>
    <w:rsid w:val="008E707C"/>
    <w:rsid w:val="00900B08"/>
    <w:rsid w:val="00902155"/>
    <w:rsid w:val="00902FA3"/>
    <w:rsid w:val="0091230D"/>
    <w:rsid w:val="00923564"/>
    <w:rsid w:val="0092392E"/>
    <w:rsid w:val="009315F9"/>
    <w:rsid w:val="00933499"/>
    <w:rsid w:val="009334D8"/>
    <w:rsid w:val="00935C98"/>
    <w:rsid w:val="00946945"/>
    <w:rsid w:val="00951248"/>
    <w:rsid w:val="0095152F"/>
    <w:rsid w:val="00954C49"/>
    <w:rsid w:val="00955E37"/>
    <w:rsid w:val="00962656"/>
    <w:rsid w:val="0097099F"/>
    <w:rsid w:val="00971997"/>
    <w:rsid w:val="00971FFC"/>
    <w:rsid w:val="0098660A"/>
    <w:rsid w:val="009931C3"/>
    <w:rsid w:val="009A572A"/>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47EA1"/>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11E4"/>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3079"/>
    <w:rsid w:val="00CE44F6"/>
    <w:rsid w:val="00CE49DA"/>
    <w:rsid w:val="00CE7B61"/>
    <w:rsid w:val="00D00095"/>
    <w:rsid w:val="00D114F0"/>
    <w:rsid w:val="00D13164"/>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4B0"/>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70975"/>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67211"/>
    <w:rsid w:val="00F754A1"/>
    <w:rsid w:val="00F81FD9"/>
    <w:rsid w:val="00F841AA"/>
    <w:rsid w:val="00F84A94"/>
    <w:rsid w:val="00F87E96"/>
    <w:rsid w:val="00FA23E8"/>
    <w:rsid w:val="00FB7363"/>
    <w:rsid w:val="00FD3CC1"/>
    <w:rsid w:val="00FE03FA"/>
    <w:rsid w:val="00FF1E02"/>
    <w:rsid w:val="00FF30B4"/>
    <w:rsid w:val="093F0D49"/>
    <w:rsid w:val="09A4484F"/>
    <w:rsid w:val="0A2032A3"/>
    <w:rsid w:val="0A826251"/>
    <w:rsid w:val="10C055FF"/>
    <w:rsid w:val="118107EC"/>
    <w:rsid w:val="15564B46"/>
    <w:rsid w:val="16BB723D"/>
    <w:rsid w:val="1A99174B"/>
    <w:rsid w:val="1B8D0735"/>
    <w:rsid w:val="1D155CEE"/>
    <w:rsid w:val="21C87C3E"/>
    <w:rsid w:val="240371BF"/>
    <w:rsid w:val="25112EC9"/>
    <w:rsid w:val="27DF4035"/>
    <w:rsid w:val="29310257"/>
    <w:rsid w:val="29FD04D3"/>
    <w:rsid w:val="2A5657A8"/>
    <w:rsid w:val="2EA96AE1"/>
    <w:rsid w:val="319F7F4E"/>
    <w:rsid w:val="393F3786"/>
    <w:rsid w:val="394E7C4C"/>
    <w:rsid w:val="3B2778AB"/>
    <w:rsid w:val="3C7E43E1"/>
    <w:rsid w:val="3DE804F1"/>
    <w:rsid w:val="403F5E6E"/>
    <w:rsid w:val="40A50735"/>
    <w:rsid w:val="42C23479"/>
    <w:rsid w:val="460A6FC5"/>
    <w:rsid w:val="46FE69BA"/>
    <w:rsid w:val="486C31CA"/>
    <w:rsid w:val="48A8353C"/>
    <w:rsid w:val="4B900598"/>
    <w:rsid w:val="4E73334D"/>
    <w:rsid w:val="4ECE2238"/>
    <w:rsid w:val="4F5970C8"/>
    <w:rsid w:val="4F98590B"/>
    <w:rsid w:val="4F9B524B"/>
    <w:rsid w:val="4FC022A3"/>
    <w:rsid w:val="51A34DC2"/>
    <w:rsid w:val="523F71BF"/>
    <w:rsid w:val="53A97336"/>
    <w:rsid w:val="53EC2E48"/>
    <w:rsid w:val="57074034"/>
    <w:rsid w:val="57FF7295"/>
    <w:rsid w:val="58165F74"/>
    <w:rsid w:val="58DD14E0"/>
    <w:rsid w:val="5C287BFB"/>
    <w:rsid w:val="60DD4908"/>
    <w:rsid w:val="60EC6564"/>
    <w:rsid w:val="63361EB9"/>
    <w:rsid w:val="64471761"/>
    <w:rsid w:val="67463065"/>
    <w:rsid w:val="6C4A05C8"/>
    <w:rsid w:val="6C650EAB"/>
    <w:rsid w:val="6D032BCB"/>
    <w:rsid w:val="70E368E2"/>
    <w:rsid w:val="72734D90"/>
    <w:rsid w:val="72D10027"/>
    <w:rsid w:val="734546CF"/>
    <w:rsid w:val="734928BF"/>
    <w:rsid w:val="77905715"/>
    <w:rsid w:val="798233EB"/>
    <w:rsid w:val="7C694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48DCD98"/>
  <w15:docId w15:val="{A0ADE360-8F01-4279-89B3-1A03B523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figures"/>
    <w:basedOn w:val="a"/>
    <w:next w:val="a"/>
    <w:uiPriority w:val="99"/>
    <w:unhideWhenUsed/>
    <w:pPr>
      <w:spacing w:before="100" w:beforeAutospacing="1" w:after="100" w:afterAutospacing="1"/>
      <w:ind w:leftChars="200" w:left="400" w:hangingChars="200" w:hanging="200"/>
    </w:pPr>
    <w:rPr>
      <w:kern w:val="0"/>
      <w:sz w:val="20"/>
      <w:szCs w:val="21"/>
    </w:rPr>
  </w:style>
  <w:style w:type="paragraph" w:styleId="TOC7">
    <w:name w:val="toc 7"/>
    <w:basedOn w:val="a"/>
    <w:next w:val="a"/>
    <w:uiPriority w:val="39"/>
    <w:unhideWhenUsed/>
    <w:qFormat/>
    <w:pPr>
      <w:ind w:left="1260"/>
      <w:jc w:val="left"/>
    </w:pPr>
    <w:rPr>
      <w:rFonts w:asciiTheme="minorHAnsi" w:eastAsiaTheme="minorHAnsi"/>
      <w:sz w:val="18"/>
      <w:szCs w:val="18"/>
    </w:rPr>
  </w:style>
  <w:style w:type="paragraph" w:styleId="a4">
    <w:name w:val="Body Text"/>
    <w:basedOn w:val="a"/>
    <w:link w:val="a5"/>
    <w:uiPriority w:val="99"/>
    <w:qFormat/>
    <w:pPr>
      <w:spacing w:beforeLines="30"/>
    </w:pPr>
    <w:rPr>
      <w:rFonts w:ascii="仿宋_GB2312" w:eastAsia="仿宋_GB2312"/>
      <w:kern w:val="0"/>
      <w:sz w:val="24"/>
      <w:szCs w:val="20"/>
    </w:rPr>
  </w:style>
  <w:style w:type="paragraph" w:styleId="a6">
    <w:name w:val="Body Text Indent"/>
    <w:basedOn w:val="a"/>
    <w:next w:val="BodyTextFirstIndent21"/>
    <w:qFormat/>
    <w:pPr>
      <w:spacing w:line="540" w:lineRule="exact"/>
      <w:ind w:firstLineChars="200" w:firstLine="640"/>
    </w:pPr>
    <w:rPr>
      <w:rFonts w:eastAsia="仿宋_GB2312"/>
      <w:sz w:val="32"/>
    </w:rPr>
  </w:style>
  <w:style w:type="paragraph" w:customStyle="1" w:styleId="BodyTextFirstIndent21">
    <w:name w:val="Body Text First Indent 21"/>
    <w:basedOn w:val="a6"/>
    <w:next w:val="a"/>
    <w:qFormat/>
    <w:pPr>
      <w:ind w:firstLine="420"/>
    </w:pPr>
    <w:rPr>
      <w:rFonts w:eastAsia="宋体"/>
    </w:rPr>
  </w:style>
  <w:style w:type="paragraph" w:styleId="TOC5">
    <w:name w:val="toc 5"/>
    <w:basedOn w:val="a"/>
    <w:next w:val="a"/>
    <w:uiPriority w:val="39"/>
    <w:unhideWhenUsed/>
    <w:qFormat/>
    <w:pPr>
      <w:ind w:left="840"/>
      <w:jc w:val="left"/>
    </w:pPr>
    <w:rPr>
      <w:rFonts w:asciiTheme="minorHAnsi" w:eastAsiaTheme="minorHAnsi"/>
      <w:sz w:val="18"/>
      <w:szCs w:val="18"/>
    </w:rPr>
  </w:style>
  <w:style w:type="paragraph" w:styleId="TOC3">
    <w:name w:val="toc 3"/>
    <w:basedOn w:val="a"/>
    <w:next w:val="a"/>
    <w:uiPriority w:val="39"/>
    <w:unhideWhenUsed/>
    <w:qFormat/>
    <w:pPr>
      <w:ind w:left="420"/>
      <w:jc w:val="left"/>
    </w:pPr>
    <w:rPr>
      <w:rFonts w:asciiTheme="minorHAnsi" w:eastAsiaTheme="minorHAnsi"/>
      <w:i/>
      <w:iCs/>
      <w:sz w:val="20"/>
      <w:szCs w:val="20"/>
    </w:rPr>
  </w:style>
  <w:style w:type="paragraph" w:styleId="TOC8">
    <w:name w:val="toc 8"/>
    <w:basedOn w:val="a"/>
    <w:next w:val="a"/>
    <w:uiPriority w:val="39"/>
    <w:unhideWhenUsed/>
    <w:qFormat/>
    <w:pPr>
      <w:ind w:left="1470"/>
      <w:jc w:val="left"/>
    </w:pPr>
    <w:rPr>
      <w:rFonts w:asciiTheme="minorHAnsi" w:eastAsiaTheme="minorHAnsi"/>
      <w:sz w:val="18"/>
      <w:szCs w:val="18"/>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rFonts w:ascii="Calibri" w:hAnsi="Calibri"/>
      <w:kern w:val="0"/>
      <w:sz w:val="18"/>
      <w:szCs w:val="20"/>
    </w:rPr>
  </w:style>
  <w:style w:type="paragraph" w:styleId="21">
    <w:name w:val="Body Text First Indent 2"/>
    <w:basedOn w:val="a6"/>
    <w:next w:val="a"/>
    <w:uiPriority w:val="99"/>
    <w:unhideWhenUsed/>
    <w:qFormat/>
    <w:pPr>
      <w:ind w:firstLine="420"/>
    </w:pPr>
  </w:style>
  <w:style w:type="paragraph" w:styleId="ab">
    <w:name w:val="header"/>
    <w:basedOn w:val="a"/>
    <w:link w:val="ac"/>
    <w:uiPriority w:val="99"/>
    <w:semiHidden/>
    <w:qFormat/>
    <w:pPr>
      <w:pBdr>
        <w:bottom w:val="single" w:sz="6" w:space="1" w:color="auto"/>
      </w:pBdr>
      <w:tabs>
        <w:tab w:val="center" w:pos="4153"/>
        <w:tab w:val="right" w:pos="8306"/>
      </w:tabs>
      <w:snapToGrid w:val="0"/>
      <w:jc w:val="center"/>
    </w:pPr>
    <w:rPr>
      <w:rFonts w:ascii="Calibri" w:hAnsi="Calibri"/>
      <w:kern w:val="0"/>
      <w:sz w:val="18"/>
      <w:szCs w:val="20"/>
    </w:rPr>
  </w:style>
  <w:style w:type="paragraph" w:styleId="TOC1">
    <w:name w:val="toc 1"/>
    <w:basedOn w:val="a"/>
    <w:next w:val="a"/>
    <w:uiPriority w:val="39"/>
    <w:unhideWhenUsed/>
    <w:qFormat/>
    <w:pPr>
      <w:spacing w:before="120" w:after="120"/>
      <w:jc w:val="left"/>
    </w:pPr>
    <w:rPr>
      <w:rFonts w:asciiTheme="minorHAnsi" w:eastAsiaTheme="minorHAnsi"/>
      <w:b/>
      <w:bCs/>
      <w:caps/>
      <w:sz w:val="20"/>
      <w:szCs w:val="20"/>
    </w:rPr>
  </w:style>
  <w:style w:type="paragraph" w:styleId="TOC4">
    <w:name w:val="toc 4"/>
    <w:basedOn w:val="a"/>
    <w:next w:val="a"/>
    <w:uiPriority w:val="39"/>
    <w:unhideWhenUsed/>
    <w:qFormat/>
    <w:pPr>
      <w:ind w:left="630"/>
      <w:jc w:val="left"/>
    </w:pPr>
    <w:rPr>
      <w:rFonts w:asciiTheme="minorHAnsi" w:eastAsiaTheme="minorHAnsi"/>
      <w:sz w:val="18"/>
      <w:szCs w:val="18"/>
    </w:rPr>
  </w:style>
  <w:style w:type="paragraph" w:styleId="TOC6">
    <w:name w:val="toc 6"/>
    <w:basedOn w:val="a"/>
    <w:next w:val="a"/>
    <w:uiPriority w:val="39"/>
    <w:unhideWhenUsed/>
    <w:qFormat/>
    <w:pPr>
      <w:ind w:left="1050"/>
      <w:jc w:val="left"/>
    </w:pPr>
    <w:rPr>
      <w:rFonts w:asciiTheme="minorHAnsi" w:eastAsiaTheme="minorHAnsi"/>
      <w:sz w:val="18"/>
      <w:szCs w:val="18"/>
    </w:rPr>
  </w:style>
  <w:style w:type="paragraph" w:styleId="TOC2">
    <w:name w:val="toc 2"/>
    <w:basedOn w:val="a"/>
    <w:next w:val="a"/>
    <w:uiPriority w:val="39"/>
    <w:unhideWhenUsed/>
    <w:qFormat/>
    <w:pPr>
      <w:ind w:left="210"/>
      <w:jc w:val="left"/>
    </w:pPr>
    <w:rPr>
      <w:rFonts w:asciiTheme="minorHAnsi" w:eastAsiaTheme="minorHAnsi"/>
      <w:smallCaps/>
      <w:sz w:val="20"/>
      <w:szCs w:val="20"/>
    </w:rPr>
  </w:style>
  <w:style w:type="paragraph" w:styleId="TOC9">
    <w:name w:val="toc 9"/>
    <w:basedOn w:val="a"/>
    <w:next w:val="a"/>
    <w:uiPriority w:val="39"/>
    <w:unhideWhenUsed/>
    <w:qFormat/>
    <w:pPr>
      <w:ind w:left="1680"/>
      <w:jc w:val="left"/>
    </w:pPr>
    <w:rPr>
      <w:rFonts w:asciiTheme="minorHAnsi" w:eastAsiaTheme="minorHAnsi"/>
      <w:sz w:val="18"/>
      <w:szCs w:val="18"/>
    </w:rPr>
  </w:style>
  <w:style w:type="paragraph" w:styleId="ad">
    <w:name w:val="Normal (Web)"/>
    <w:basedOn w:val="a"/>
    <w:qFormat/>
    <w:pPr>
      <w:spacing w:before="100" w:beforeAutospacing="1" w:after="100" w:afterAutospacing="1"/>
      <w:jc w:val="left"/>
    </w:pPr>
    <w:rPr>
      <w:kern w:val="0"/>
      <w:sz w:val="24"/>
    </w:rPr>
  </w:style>
  <w:style w:type="character" w:styleId="ae">
    <w:name w:val="Strong"/>
    <w:basedOn w:val="a1"/>
    <w:uiPriority w:val="99"/>
    <w:qFormat/>
    <w:rPr>
      <w:rFonts w:cs="Times New Roman"/>
      <w:b/>
    </w:rPr>
  </w:style>
  <w:style w:type="character" w:styleId="af">
    <w:name w:val="Hyperlink"/>
    <w:basedOn w:val="a1"/>
    <w:uiPriority w:val="99"/>
    <w:unhideWhenUsed/>
    <w:qFormat/>
    <w:rPr>
      <w:rFonts w:cs="Times New Roman"/>
      <w:color w:val="0000FF"/>
      <w:u w:val="single"/>
    </w:rPr>
  </w:style>
  <w:style w:type="character" w:customStyle="1" w:styleId="10">
    <w:name w:val="标题 1 字符"/>
    <w:basedOn w:val="a1"/>
    <w:link w:val="1"/>
    <w:uiPriority w:val="9"/>
    <w:qFormat/>
    <w:locked/>
    <w:rPr>
      <w:rFonts w:ascii="Times New Roman" w:hAnsi="Times New Roman" w:cs="Times New Roman"/>
      <w:b/>
      <w:bCs/>
      <w:kern w:val="44"/>
      <w:sz w:val="44"/>
      <w:szCs w:val="44"/>
    </w:rPr>
  </w:style>
  <w:style w:type="character" w:customStyle="1" w:styleId="20">
    <w:name w:val="标题 2 字符"/>
    <w:basedOn w:val="a1"/>
    <w:link w:val="2"/>
    <w:uiPriority w:val="9"/>
    <w:qFormat/>
    <w:locked/>
    <w:rPr>
      <w:rFonts w:ascii="Cambria" w:eastAsia="宋体" w:hAnsi="Cambria" w:cs="Times New Roman"/>
      <w:b/>
      <w:bCs/>
      <w:kern w:val="2"/>
      <w:sz w:val="32"/>
      <w:szCs w:val="32"/>
    </w:rPr>
  </w:style>
  <w:style w:type="character" w:customStyle="1" w:styleId="30">
    <w:name w:val="标题 3 字符"/>
    <w:basedOn w:val="a1"/>
    <w:link w:val="3"/>
    <w:uiPriority w:val="9"/>
    <w:qFormat/>
    <w:locked/>
    <w:rPr>
      <w:rFonts w:ascii="Times New Roman" w:hAnsi="Times New Roman" w:cs="Times New Roman"/>
      <w:b/>
      <w:bCs/>
      <w:kern w:val="2"/>
      <w:sz w:val="32"/>
      <w:szCs w:val="32"/>
    </w:rPr>
  </w:style>
  <w:style w:type="character" w:customStyle="1" w:styleId="BodyTextChar">
    <w:name w:val="Body Text Char"/>
    <w:basedOn w:val="a1"/>
    <w:uiPriority w:val="99"/>
    <w:semiHidden/>
    <w:qFormat/>
    <w:rPr>
      <w:rFonts w:ascii="Times New Roman" w:hAnsi="Times New Roman" w:cs="Times New Roman"/>
      <w:sz w:val="24"/>
      <w:szCs w:val="24"/>
    </w:rPr>
  </w:style>
  <w:style w:type="character" w:customStyle="1" w:styleId="a8">
    <w:name w:val="批注框文本 字符"/>
    <w:basedOn w:val="a1"/>
    <w:link w:val="a7"/>
    <w:uiPriority w:val="99"/>
    <w:semiHidden/>
    <w:qFormat/>
    <w:locked/>
    <w:rPr>
      <w:rFonts w:ascii="Times New Roman" w:hAnsi="Times New Roman" w:cs="Times New Roman"/>
      <w:kern w:val="2"/>
      <w:sz w:val="18"/>
      <w:szCs w:val="18"/>
    </w:rPr>
  </w:style>
  <w:style w:type="character" w:customStyle="1" w:styleId="FooterChar">
    <w:name w:val="Footer Char"/>
    <w:basedOn w:val="a1"/>
    <w:uiPriority w:val="99"/>
    <w:semiHidden/>
    <w:qFormat/>
    <w:rPr>
      <w:rFonts w:ascii="Times New Roman" w:hAnsi="Times New Roman" w:cs="Times New Roman"/>
      <w:sz w:val="18"/>
      <w:szCs w:val="18"/>
    </w:rPr>
  </w:style>
  <w:style w:type="character" w:customStyle="1" w:styleId="HeaderChar">
    <w:name w:val="Header Char"/>
    <w:basedOn w:val="a1"/>
    <w:uiPriority w:val="99"/>
    <w:semiHidden/>
    <w:qFormat/>
    <w:rPr>
      <w:rFonts w:ascii="Times New Roman" w:hAnsi="Times New Roman" w:cs="Times New Roman"/>
      <w:sz w:val="18"/>
      <w:szCs w:val="18"/>
    </w:rPr>
  </w:style>
  <w:style w:type="character" w:customStyle="1" w:styleId="ac">
    <w:name w:val="页眉 字符"/>
    <w:link w:val="ab"/>
    <w:uiPriority w:val="99"/>
    <w:semiHidden/>
    <w:qFormat/>
    <w:locked/>
    <w:rPr>
      <w:sz w:val="18"/>
    </w:rPr>
  </w:style>
  <w:style w:type="character" w:customStyle="1" w:styleId="aa">
    <w:name w:val="页脚 字符"/>
    <w:link w:val="a9"/>
    <w:uiPriority w:val="99"/>
    <w:qFormat/>
    <w:locked/>
    <w:rPr>
      <w:sz w:val="18"/>
    </w:rPr>
  </w:style>
  <w:style w:type="character" w:customStyle="1" w:styleId="a5">
    <w:name w:val="正文文本 字符"/>
    <w:link w:val="a4"/>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customStyle="1" w:styleId="11">
    <w:name w:val="列表段落1"/>
    <w:basedOn w:val="a"/>
    <w:uiPriority w:val="34"/>
    <w:qFormat/>
    <w:pPr>
      <w:ind w:firstLineChars="200" w:firstLine="420"/>
    </w:pPr>
  </w:style>
  <w:style w:type="paragraph" w:customStyle="1" w:styleId="TOC10">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TOC20">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12">
    <w:name w:val="普通(网站)1"/>
    <w:basedOn w:val="a"/>
    <w:qFormat/>
    <w:pPr>
      <w:spacing w:beforeAutospacing="1" w:afterAutospacing="1"/>
      <w:jc w:val="left"/>
    </w:pPr>
    <w:rPr>
      <w:kern w:val="0"/>
      <w:sz w:val="24"/>
    </w:rPr>
  </w:style>
  <w:style w:type="paragraph" w:customStyle="1" w:styleId="22">
    <w:name w:val="普通(网站)2"/>
    <w:basedOn w:val="a"/>
    <w:qFormat/>
    <w:pPr>
      <w:spacing w:beforeAutospacing="1" w:afterAutospacing="1"/>
      <w:jc w:val="left"/>
    </w:pPr>
    <w:rPr>
      <w:kern w:val="0"/>
      <w:sz w:val="24"/>
    </w:rPr>
  </w:style>
  <w:style w:type="paragraph" w:customStyle="1" w:styleId="13">
    <w:name w:val="无间隔1"/>
    <w:qFormat/>
    <w:pPr>
      <w:ind w:firstLineChars="200" w:firstLine="200"/>
    </w:pPr>
    <w:rPr>
      <w:rFonts w:eastAsia="仿宋_GB2312" w:cs="Arial"/>
      <w:sz w:val="30"/>
      <w:szCs w:val="22"/>
    </w:rPr>
  </w:style>
  <w:style w:type="paragraph" w:customStyle="1" w:styleId="af0">
    <w:name w:val="四号正文"/>
    <w:basedOn w:val="a"/>
    <w:pPr>
      <w:spacing w:line="360" w:lineRule="auto"/>
    </w:pPr>
    <w:rPr>
      <w:rFonts w:ascii="??" w:hAnsi="??"/>
      <w:color w:val="000000"/>
      <w:kern w:val="0"/>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package" Target="../embeddings/Microsoft_Excel_Worksheet1.xlsx"/><Relationship Id="rId4" Type="http://schemas.openxmlformats.org/officeDocument/2006/relationships/image" Target="../media/image1.png"/></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package" Target="../embeddings/Microsoft_Excel_Worksheet2.xlsx"/><Relationship Id="rId4" Type="http://schemas.openxmlformats.org/officeDocument/2006/relationships/image" Target="../media/image1.png"/></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package" Target="../embeddings/Microsoft_Excel_Worksheet5.xlsx"/><Relationship Id="rId4" Type="http://schemas.openxmlformats.org/officeDocument/2006/relationships/image" Target="../media/image1.png"/></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package" Target="../embeddings/Microsoft_Excel_Worksheet6.xlsx"/><Relationship Id="rId4" Type="http://schemas.openxmlformats.org/officeDocument/2006/relationships/image" Target="../media/image1.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zh-CN" altLang="en-US"/>
              <a:t>收、支决算总计变动情况图</a:t>
            </a:r>
          </a:p>
        </c:rich>
      </c:tx>
      <c:overlay val="0"/>
      <c:spPr>
        <a:noFill/>
        <a:ln>
          <a:noFill/>
        </a:ln>
        <a:effectLst/>
      </c:spPr>
      <c:txPr>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title>
    <c:autoTitleDeleted val="0"/>
    <c:plotArea>
      <c:layout>
        <c:manualLayout>
          <c:layoutTarget val="inner"/>
          <c:xMode val="edge"/>
          <c:yMode val="edge"/>
          <c:x val="0.103402777777778"/>
          <c:y val="0.20556606905710501"/>
          <c:w val="0.87366666666666704"/>
          <c:h val="0.60680555555555604"/>
        </c:manualLayout>
      </c:layout>
      <c:barChart>
        <c:barDir val="col"/>
        <c:grouping val="clustered"/>
        <c:varyColors val="0"/>
        <c:ser>
          <c:idx val="0"/>
          <c:order val="0"/>
          <c:tx>
            <c:strRef>
              <c:f>Sheet1!$B$1</c:f>
              <c:strCache>
                <c:ptCount val="1"/>
                <c:pt idx="0">
                  <c:v>2020年</c:v>
                </c:pt>
              </c:strCache>
            </c:strRef>
          </c:tx>
          <c:spPr>
            <a:solidFill>
              <a:srgbClr val="D6AF14"/>
            </a:solidFill>
            <a:ln>
              <a:noFill/>
            </a:ln>
            <a:effectLst>
              <a:outerShdw blurRad="50800" dist="38100" dir="2700000" algn="tl" rotWithShape="0">
                <a:srgbClr val="9A7A0E">
                  <a:alpha val="40000"/>
                </a:srgbClr>
              </a:outerShdw>
            </a:effectLst>
          </c:spPr>
          <c:invertIfNegative val="0"/>
          <c:cat>
            <c:strRef>
              <c:f>Sheet1!$A$2:$A$3</c:f>
              <c:strCache>
                <c:ptCount val="2"/>
                <c:pt idx="0">
                  <c:v>收入</c:v>
                </c:pt>
                <c:pt idx="1">
                  <c:v>支出</c:v>
                </c:pt>
              </c:strCache>
            </c:strRef>
          </c:cat>
          <c:val>
            <c:numRef>
              <c:f>Sheet1!$B$2:$B$3</c:f>
              <c:numCache>
                <c:formatCode>General</c:formatCode>
                <c:ptCount val="2"/>
                <c:pt idx="0">
                  <c:v>2151.4499999999998</c:v>
                </c:pt>
                <c:pt idx="1">
                  <c:v>2228.42</c:v>
                </c:pt>
              </c:numCache>
            </c:numRef>
          </c:val>
          <c:extLst>
            <c:ext xmlns:c16="http://schemas.microsoft.com/office/drawing/2014/chart" uri="{C3380CC4-5D6E-409C-BE32-E72D297353CC}">
              <c16:uniqueId val="{00000000-69F4-4C38-83A8-CC1042CB8A04}"/>
            </c:ext>
          </c:extLst>
        </c:ser>
        <c:ser>
          <c:idx val="1"/>
          <c:order val="1"/>
          <c:tx>
            <c:strRef>
              <c:f>Sheet1!$C$1</c:f>
              <c:strCache>
                <c:ptCount val="1"/>
                <c:pt idx="0">
                  <c:v>2021年</c:v>
                </c:pt>
              </c:strCache>
            </c:strRef>
          </c:tx>
          <c:spPr>
            <a:solidFill>
              <a:srgbClr val="19B0A6"/>
            </a:solidFill>
            <a:ln>
              <a:noFill/>
            </a:ln>
            <a:effectLst>
              <a:outerShdw blurRad="50800" dist="38100" dir="2700000" algn="tl" rotWithShape="0">
                <a:srgbClr val="128178">
                  <a:alpha val="40000"/>
                </a:srgbClr>
              </a:outerShdw>
            </a:effectLst>
          </c:spPr>
          <c:invertIfNegative val="0"/>
          <c:cat>
            <c:strRef>
              <c:f>Sheet1!$A$2:$A$3</c:f>
              <c:strCache>
                <c:ptCount val="2"/>
                <c:pt idx="0">
                  <c:v>收入</c:v>
                </c:pt>
                <c:pt idx="1">
                  <c:v>支出</c:v>
                </c:pt>
              </c:strCache>
            </c:strRef>
          </c:cat>
          <c:val>
            <c:numRef>
              <c:f>Sheet1!$C$2:$C$3</c:f>
              <c:numCache>
                <c:formatCode>General</c:formatCode>
                <c:ptCount val="2"/>
                <c:pt idx="0">
                  <c:v>2446.65</c:v>
                </c:pt>
                <c:pt idx="1">
                  <c:v>2477.2199999999998</c:v>
                </c:pt>
              </c:numCache>
            </c:numRef>
          </c:val>
          <c:extLst>
            <c:ext xmlns:c16="http://schemas.microsoft.com/office/drawing/2014/chart" uri="{C3380CC4-5D6E-409C-BE32-E72D297353CC}">
              <c16:uniqueId val="{00000001-69F4-4C38-83A8-CC1042CB8A04}"/>
            </c:ext>
          </c:extLst>
        </c:ser>
        <c:dLbls>
          <c:showLegendKey val="0"/>
          <c:showVal val="0"/>
          <c:showCatName val="0"/>
          <c:showSerName val="0"/>
          <c:showPercent val="0"/>
          <c:showBubbleSize val="0"/>
        </c:dLbls>
        <c:gapWidth val="219"/>
        <c:overlap val="-27"/>
        <c:axId val="573639283"/>
        <c:axId val="726603114"/>
      </c:barChart>
      <c:catAx>
        <c:axId val="573639283"/>
        <c:scaling>
          <c:orientation val="minMax"/>
        </c:scaling>
        <c:delete val="0"/>
        <c:axPos val="b"/>
        <c:majorGridlines>
          <c:spPr>
            <a:ln w="9525" cap="flat" cmpd="sng" algn="ctr">
              <a:solidFill>
                <a:schemeClr val="tx1">
                  <a:lumMod val="15000"/>
                  <a:lumOff val="85000"/>
                  <a:alpha val="47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726603114"/>
        <c:crosses val="autoZero"/>
        <c:auto val="1"/>
        <c:lblAlgn val="ctr"/>
        <c:lblOffset val="100"/>
        <c:noMultiLvlLbl val="0"/>
      </c:catAx>
      <c:valAx>
        <c:axId val="726603114"/>
        <c:scaling>
          <c:orientation val="minMax"/>
        </c:scaling>
        <c:delete val="0"/>
        <c:axPos val="l"/>
        <c:majorGridlines>
          <c:spPr>
            <a:ln w="9525" cap="flat" cmpd="sng" algn="ctr">
              <a:solidFill>
                <a:schemeClr val="tx1">
                  <a:lumMod val="15000"/>
                  <a:lumOff val="85000"/>
                  <a:alpha val="47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573639283"/>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40" b="1" i="0" u="none" strike="noStrike" kern="1200" spc="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r>
              <a:rPr lang="zh-CN" altLang="en-US"/>
              <a:t>本年收入决算结构图</a:t>
            </a:r>
          </a:p>
        </c:rich>
      </c:tx>
      <c:overlay val="0"/>
      <c:spPr>
        <a:noFill/>
        <a:ln>
          <a:noFill/>
        </a:ln>
        <a:effectLst/>
      </c:spPr>
      <c:txPr>
        <a:bodyPr rot="0" spcFirstLastPara="0" vertOverflow="ellipsis" vert="horz" wrap="square" anchor="ctr" anchorCtr="1" forceAA="0"/>
        <a:lstStyle/>
        <a:p>
          <a:pPr defTabSz="914400">
            <a:defRPr lang="zh-CN" sz="1440" b="1" i="0" u="none" strike="noStrike" kern="1200" spc="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endParaRPr lang="zh-CN"/>
        </a:p>
      </c:txPr>
    </c:title>
    <c:autoTitleDeleted val="0"/>
    <c:plotArea>
      <c:layout>
        <c:manualLayout>
          <c:layoutTarget val="inner"/>
          <c:xMode val="edge"/>
          <c:yMode val="edge"/>
          <c:x val="1.5639787488110599E-2"/>
          <c:y val="0.12827640257261499"/>
          <c:w val="0.90344917690096704"/>
          <c:h val="0.62513781697905202"/>
        </c:manualLayout>
      </c:layout>
      <c:doughnutChart>
        <c:varyColors val="1"/>
        <c:ser>
          <c:idx val="0"/>
          <c:order val="0"/>
          <c:tx>
            <c:strRef>
              <c:f>Sheet1!$B$1</c:f>
              <c:strCache>
                <c:ptCount val="1"/>
                <c:pt idx="0">
                  <c:v>本年收入</c:v>
                </c:pt>
              </c:strCache>
            </c:strRef>
          </c:tx>
          <c:spPr>
            <a:ln w="12700">
              <a:solidFill>
                <a:schemeClr val="tx1">
                  <a:lumMod val="65000"/>
                  <a:lumOff val="35000"/>
                </a:schemeClr>
              </a:solidFill>
            </a:ln>
            <a:sp3d contourW="12700"/>
          </c:spPr>
          <c:dPt>
            <c:idx val="0"/>
            <c:bubble3D val="0"/>
            <c:spPr>
              <a:solidFill>
                <a:srgbClr val="9ECCFF"/>
              </a:solidFill>
              <a:ln w="12700">
                <a:solidFill>
                  <a:schemeClr val="tx1">
                    <a:lumMod val="65000"/>
                    <a:lumOff val="35000"/>
                  </a:schemeClr>
                </a:solidFill>
              </a:ln>
              <a:effectLst/>
              <a:sp3d contourW="12700"/>
            </c:spPr>
            <c:extLst>
              <c:ext xmlns:c16="http://schemas.microsoft.com/office/drawing/2014/chart" uri="{C3380CC4-5D6E-409C-BE32-E72D297353CC}">
                <c16:uniqueId val="{00000001-BF98-4C63-BBE1-F950ADED339D}"/>
              </c:ext>
            </c:extLst>
          </c:dPt>
          <c:dPt>
            <c:idx val="1"/>
            <c:bubble3D val="0"/>
            <c:spPr>
              <a:solidFill>
                <a:srgbClr val="FFB3BC"/>
              </a:solidFill>
              <a:ln w="12700">
                <a:solidFill>
                  <a:schemeClr val="tx1">
                    <a:lumMod val="65000"/>
                    <a:lumOff val="35000"/>
                  </a:schemeClr>
                </a:solidFill>
              </a:ln>
              <a:effectLst/>
              <a:sp3d contourW="12700"/>
            </c:spPr>
            <c:extLst>
              <c:ext xmlns:c16="http://schemas.microsoft.com/office/drawing/2014/chart" uri="{C3380CC4-5D6E-409C-BE32-E72D297353CC}">
                <c16:uniqueId val="{00000003-BF98-4C63-BBE1-F950ADED339D}"/>
              </c:ext>
            </c:extLst>
          </c:dPt>
          <c:dPt>
            <c:idx val="2"/>
            <c:bubble3D val="0"/>
            <c:spPr>
              <a:solidFill>
                <a:srgbClr val="7DBDFF"/>
              </a:solidFill>
              <a:ln w="12700">
                <a:solidFill>
                  <a:schemeClr val="tx1">
                    <a:lumMod val="65000"/>
                    <a:lumOff val="35000"/>
                  </a:schemeClr>
                </a:solidFill>
              </a:ln>
              <a:effectLst/>
              <a:sp3d contourW="12700"/>
            </c:spPr>
            <c:extLst>
              <c:ext xmlns:c16="http://schemas.microsoft.com/office/drawing/2014/chart" uri="{C3380CC4-5D6E-409C-BE32-E72D297353CC}">
                <c16:uniqueId val="{00000005-BF98-4C63-BBE1-F950ADED339D}"/>
              </c:ext>
            </c:extLst>
          </c:dPt>
          <c:dPt>
            <c:idx val="3"/>
            <c:bubble3D val="0"/>
            <c:spPr>
              <a:solidFill>
                <a:srgbClr val="FFCD35"/>
              </a:solidFill>
              <a:ln w="12700">
                <a:solidFill>
                  <a:schemeClr val="tx1">
                    <a:lumMod val="65000"/>
                    <a:lumOff val="35000"/>
                  </a:schemeClr>
                </a:solidFill>
              </a:ln>
              <a:effectLst/>
              <a:sp3d contourW="12700"/>
            </c:spPr>
            <c:extLst>
              <c:ext xmlns:c16="http://schemas.microsoft.com/office/drawing/2014/chart" uri="{C3380CC4-5D6E-409C-BE32-E72D297353CC}">
                <c16:uniqueId val="{00000007-BF98-4C63-BBE1-F950ADED339D}"/>
              </c:ext>
            </c:extLst>
          </c:dPt>
          <c:dPt>
            <c:idx val="4"/>
            <c:bubble3D val="0"/>
            <c:spPr>
              <a:solidFill>
                <a:srgbClr val="FEC300"/>
              </a:solidFill>
              <a:ln w="12700">
                <a:solidFill>
                  <a:schemeClr val="tx1">
                    <a:lumMod val="65000"/>
                    <a:lumOff val="35000"/>
                  </a:schemeClr>
                </a:solidFill>
              </a:ln>
              <a:effectLst/>
              <a:sp3d contourW="12700"/>
            </c:spPr>
            <c:extLst>
              <c:ext xmlns:c16="http://schemas.microsoft.com/office/drawing/2014/chart" uri="{C3380CC4-5D6E-409C-BE32-E72D297353CC}">
                <c16:uniqueId val="{00000009-BF98-4C63-BBE1-F950ADED339D}"/>
              </c:ext>
            </c:extLst>
          </c:dPt>
          <c:dPt>
            <c:idx val="5"/>
            <c:bubble3D val="0"/>
            <c:spPr>
              <a:solidFill>
                <a:schemeClr val="accent6"/>
              </a:solidFill>
              <a:ln w="12700">
                <a:solidFill>
                  <a:schemeClr val="tx1">
                    <a:lumMod val="65000"/>
                    <a:lumOff val="35000"/>
                  </a:schemeClr>
                </a:solidFill>
              </a:ln>
              <a:effectLst/>
              <a:sp3d contourW="12700"/>
            </c:spPr>
            <c:extLst>
              <c:ext xmlns:c16="http://schemas.microsoft.com/office/drawing/2014/chart" uri="{C3380CC4-5D6E-409C-BE32-E72D297353CC}">
                <c16:uniqueId val="{0000000B-BF98-4C63-BBE1-F950ADED339D}"/>
              </c:ext>
            </c:extLst>
          </c:dPt>
          <c:dPt>
            <c:idx val="6"/>
            <c:bubble3D val="0"/>
            <c:spPr>
              <a:solidFill>
                <a:schemeClr val="accent1">
                  <a:lumMod val="60000"/>
                </a:schemeClr>
              </a:solidFill>
              <a:ln w="12700">
                <a:solidFill>
                  <a:schemeClr val="tx1">
                    <a:lumMod val="65000"/>
                    <a:lumOff val="35000"/>
                  </a:schemeClr>
                </a:solidFill>
              </a:ln>
              <a:effectLst/>
              <a:sp3d contourW="12700"/>
            </c:spPr>
            <c:extLst>
              <c:ext xmlns:c16="http://schemas.microsoft.com/office/drawing/2014/chart" uri="{C3380CC4-5D6E-409C-BE32-E72D297353CC}">
                <c16:uniqueId val="{0000000D-BF98-4C63-BBE1-F950ADED339D}"/>
              </c:ext>
            </c:extLst>
          </c:dPt>
          <c:dLbls>
            <c:spPr>
              <a:noFill/>
              <a:ln>
                <a:noFill/>
              </a:ln>
              <a:effectLst/>
            </c:spPr>
            <c:txPr>
              <a:bodyPr rot="0" spcFirstLastPara="0" vertOverflow="ellipsis" vert="horz" wrap="square" lIns="38100" tIns="19050" rIns="38100" bIns="19050" anchor="ctr" anchorCtr="1" forceAA="0"/>
              <a:lstStyle/>
              <a:p>
                <a:pPr>
                  <a:defRPr lang="zh-CN" sz="900" b="1" i="0" u="none" strike="noStrike" kern="1200" baseline="0">
                    <a:solidFill>
                      <a:schemeClr val="bg1"/>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endParaRPr lang="zh-CN"/>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Sheet1!$B$2:$B$8</c:f>
              <c:numCache>
                <c:formatCode>General</c:formatCode>
                <c:ptCount val="7"/>
                <c:pt idx="0">
                  <c:v>2446.65</c:v>
                </c:pt>
                <c:pt idx="1">
                  <c:v>0</c:v>
                </c:pt>
                <c:pt idx="2">
                  <c:v>0</c:v>
                </c:pt>
                <c:pt idx="3">
                  <c:v>0</c:v>
                </c:pt>
                <c:pt idx="4">
                  <c:v>0</c:v>
                </c:pt>
                <c:pt idx="5">
                  <c:v>0</c:v>
                </c:pt>
                <c:pt idx="6">
                  <c:v>0</c:v>
                </c:pt>
              </c:numCache>
            </c:numRef>
          </c:val>
          <c:extLst>
            <c:ext xmlns:c16="http://schemas.microsoft.com/office/drawing/2014/chart" uri="{C3380CC4-5D6E-409C-BE32-E72D297353CC}">
              <c16:uniqueId val="{0000000E-BF98-4C63-BBE1-F950ADED339D}"/>
            </c:ext>
          </c:extLst>
        </c:ser>
        <c:dLbls>
          <c:showLegendKey val="0"/>
          <c:showVal val="0"/>
          <c:showCatName val="0"/>
          <c:showSerName val="0"/>
          <c:showPercent val="1"/>
          <c:showBubbleSize val="0"/>
          <c:showLeaderLines val="1"/>
        </c:dLbls>
        <c:firstSliceAng val="0"/>
        <c:holeSize val="0"/>
      </c:doughnutChart>
      <c:spPr>
        <a:noFill/>
        <a:ln>
          <a:noFill/>
        </a:ln>
        <a:effectLst/>
      </c:spPr>
    </c:plotArea>
    <c:legend>
      <c:legendPos val="b"/>
      <c:layout>
        <c:manualLayout>
          <c:xMode val="edge"/>
          <c:yMode val="edge"/>
          <c:x val="0.589292824461908"/>
          <c:y val="0.59932324840764295"/>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endParaRPr lang="zh-CN"/>
        </a:p>
      </c:txPr>
    </c:legend>
    <c:plotVisOnly val="1"/>
    <c:dispBlanksAs val="gap"/>
    <c:showDLblsOverMax val="0"/>
  </c:chart>
  <c:spPr>
    <a:blipFill rotWithShape="1">
      <a:blip xmlns:r="http://schemas.openxmlformats.org/officeDocument/2006/relationships" r:embed="rId4"/>
      <a:stretch>
        <a:fillRect/>
      </a:stretch>
    </a:blipFill>
    <a:ln w="9525" cap="flat" cmpd="sng" algn="ctr">
      <a:noFill/>
      <a:round/>
    </a:ln>
    <a:effectLst/>
  </c:spPr>
  <c:txPr>
    <a:bodyPr/>
    <a:lstStyle/>
    <a:p>
      <a:pPr>
        <a:defRPr lang="zh-CN">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endParaRPr lang="zh-CN"/>
    </a:p>
  </c:txPr>
  <c:externalData r:id="rId5">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40" b="1" i="0" u="none" strike="noStrike" kern="1200" spc="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r>
              <a:rPr lang="zh-CN" altLang="en-US"/>
              <a:t>本年支出决算结构图</a:t>
            </a:r>
          </a:p>
        </c:rich>
      </c:tx>
      <c:overlay val="0"/>
      <c:spPr>
        <a:noFill/>
        <a:ln>
          <a:noFill/>
        </a:ln>
        <a:effectLst/>
      </c:spPr>
      <c:txPr>
        <a:bodyPr rot="0" spcFirstLastPara="0" vertOverflow="ellipsis" vert="horz" wrap="square" anchor="ctr" anchorCtr="1" forceAA="0"/>
        <a:lstStyle/>
        <a:p>
          <a:pPr defTabSz="914400">
            <a:defRPr lang="zh-CN" sz="1440" b="1" i="0" u="none" strike="noStrike" kern="1200" spc="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endParaRPr lang="zh-CN"/>
        </a:p>
      </c:txPr>
    </c:title>
    <c:autoTitleDeleted val="0"/>
    <c:plotArea>
      <c:layout>
        <c:manualLayout>
          <c:layoutTarget val="inner"/>
          <c:xMode val="edge"/>
          <c:yMode val="edge"/>
          <c:x val="1.5639787488110599E-2"/>
          <c:y val="0.12827640257261499"/>
          <c:w val="0.90344917690096704"/>
          <c:h val="0.62513781697905202"/>
        </c:manualLayout>
      </c:layout>
      <c:doughnutChart>
        <c:varyColors val="1"/>
        <c:ser>
          <c:idx val="0"/>
          <c:order val="0"/>
          <c:tx>
            <c:strRef>
              <c:f>Sheet1!$B$1</c:f>
              <c:strCache>
                <c:ptCount val="1"/>
                <c:pt idx="0">
                  <c:v>本年支出</c:v>
                </c:pt>
              </c:strCache>
            </c:strRef>
          </c:tx>
          <c:spPr>
            <a:ln w="12700">
              <a:solidFill>
                <a:schemeClr val="tx1">
                  <a:lumMod val="65000"/>
                  <a:lumOff val="35000"/>
                </a:schemeClr>
              </a:solidFill>
            </a:ln>
            <a:sp3d contourW="12700"/>
          </c:spPr>
          <c:dPt>
            <c:idx val="0"/>
            <c:bubble3D val="0"/>
            <c:spPr>
              <a:solidFill>
                <a:srgbClr val="9ECCFF"/>
              </a:solidFill>
              <a:ln w="12700">
                <a:solidFill>
                  <a:schemeClr val="tx1">
                    <a:lumMod val="65000"/>
                    <a:lumOff val="35000"/>
                  </a:schemeClr>
                </a:solidFill>
              </a:ln>
              <a:effectLst/>
              <a:sp3d contourW="12700"/>
            </c:spPr>
            <c:extLst>
              <c:ext xmlns:c16="http://schemas.microsoft.com/office/drawing/2014/chart" uri="{C3380CC4-5D6E-409C-BE32-E72D297353CC}">
                <c16:uniqueId val="{00000001-6E80-44EB-98C3-0C7A515005DF}"/>
              </c:ext>
            </c:extLst>
          </c:dPt>
          <c:dPt>
            <c:idx val="1"/>
            <c:bubble3D val="0"/>
            <c:spPr>
              <a:solidFill>
                <a:srgbClr val="FFB3BC"/>
              </a:solidFill>
              <a:ln w="12700">
                <a:solidFill>
                  <a:schemeClr val="tx1">
                    <a:lumMod val="65000"/>
                    <a:lumOff val="35000"/>
                  </a:schemeClr>
                </a:solidFill>
              </a:ln>
              <a:effectLst/>
              <a:sp3d contourW="12700"/>
            </c:spPr>
            <c:extLst>
              <c:ext xmlns:c16="http://schemas.microsoft.com/office/drawing/2014/chart" uri="{C3380CC4-5D6E-409C-BE32-E72D297353CC}">
                <c16:uniqueId val="{00000003-6E80-44EB-98C3-0C7A515005DF}"/>
              </c:ext>
            </c:extLst>
          </c:dPt>
          <c:dPt>
            <c:idx val="2"/>
            <c:bubble3D val="0"/>
            <c:spPr>
              <a:solidFill>
                <a:srgbClr val="7DBDFF"/>
              </a:solidFill>
              <a:ln w="12700">
                <a:solidFill>
                  <a:schemeClr val="tx1">
                    <a:lumMod val="65000"/>
                    <a:lumOff val="35000"/>
                  </a:schemeClr>
                </a:solidFill>
              </a:ln>
              <a:effectLst/>
              <a:sp3d contourW="12700"/>
            </c:spPr>
            <c:extLst>
              <c:ext xmlns:c16="http://schemas.microsoft.com/office/drawing/2014/chart" uri="{C3380CC4-5D6E-409C-BE32-E72D297353CC}">
                <c16:uniqueId val="{00000005-6E80-44EB-98C3-0C7A515005DF}"/>
              </c:ext>
            </c:extLst>
          </c:dPt>
          <c:dPt>
            <c:idx val="3"/>
            <c:bubble3D val="0"/>
            <c:spPr>
              <a:solidFill>
                <a:srgbClr val="FFCD35"/>
              </a:solidFill>
              <a:ln w="12700">
                <a:solidFill>
                  <a:schemeClr val="tx1">
                    <a:lumMod val="65000"/>
                    <a:lumOff val="35000"/>
                  </a:schemeClr>
                </a:solidFill>
              </a:ln>
              <a:effectLst/>
              <a:sp3d contourW="12700"/>
            </c:spPr>
            <c:extLst>
              <c:ext xmlns:c16="http://schemas.microsoft.com/office/drawing/2014/chart" uri="{C3380CC4-5D6E-409C-BE32-E72D297353CC}">
                <c16:uniqueId val="{00000007-6E80-44EB-98C3-0C7A515005DF}"/>
              </c:ext>
            </c:extLst>
          </c:dPt>
          <c:dPt>
            <c:idx val="4"/>
            <c:bubble3D val="0"/>
            <c:spPr>
              <a:solidFill>
                <a:srgbClr val="FEC300"/>
              </a:solidFill>
              <a:ln w="12700">
                <a:solidFill>
                  <a:schemeClr val="tx1">
                    <a:lumMod val="65000"/>
                    <a:lumOff val="35000"/>
                  </a:schemeClr>
                </a:solidFill>
              </a:ln>
              <a:effectLst/>
              <a:sp3d contourW="12700"/>
            </c:spPr>
            <c:extLst>
              <c:ext xmlns:c16="http://schemas.microsoft.com/office/drawing/2014/chart" uri="{C3380CC4-5D6E-409C-BE32-E72D297353CC}">
                <c16:uniqueId val="{00000009-6E80-44EB-98C3-0C7A515005DF}"/>
              </c:ext>
            </c:extLst>
          </c:dPt>
          <c:dLbls>
            <c:spPr>
              <a:noFill/>
              <a:ln>
                <a:noFill/>
              </a:ln>
              <a:effectLst/>
            </c:spPr>
            <c:txPr>
              <a:bodyPr rot="0" spcFirstLastPara="0" vertOverflow="ellipsis" vert="horz" wrap="square" lIns="38100" tIns="19050" rIns="38100" bIns="19050" anchor="ctr" anchorCtr="1" forceAA="0"/>
              <a:lstStyle/>
              <a:p>
                <a:pPr>
                  <a:defRPr lang="zh-CN" sz="900" b="1" i="0" u="none" strike="noStrike" kern="1200" baseline="0">
                    <a:solidFill>
                      <a:schemeClr val="bg1"/>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endParaRPr lang="zh-CN"/>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1848.08</c:v>
                </c:pt>
                <c:pt idx="1">
                  <c:v>629.14</c:v>
                </c:pt>
                <c:pt idx="2">
                  <c:v>0</c:v>
                </c:pt>
                <c:pt idx="3">
                  <c:v>0</c:v>
                </c:pt>
                <c:pt idx="4">
                  <c:v>0</c:v>
                </c:pt>
              </c:numCache>
            </c:numRef>
          </c:val>
          <c:extLst>
            <c:ext xmlns:c16="http://schemas.microsoft.com/office/drawing/2014/chart" uri="{C3380CC4-5D6E-409C-BE32-E72D297353CC}">
              <c16:uniqueId val="{0000000A-6E80-44EB-98C3-0C7A515005DF}"/>
            </c:ext>
          </c:extLst>
        </c:ser>
        <c:dLbls>
          <c:showLegendKey val="0"/>
          <c:showVal val="0"/>
          <c:showCatName val="0"/>
          <c:showSerName val="0"/>
          <c:showPercent val="1"/>
          <c:showBubbleSize val="0"/>
          <c:showLeaderLines val="1"/>
        </c:dLbls>
        <c:firstSliceAng val="0"/>
        <c:holeSize val="0"/>
      </c:doughnutChart>
      <c:spPr>
        <a:noFill/>
        <a:ln>
          <a:noFill/>
        </a:ln>
        <a:effectLst/>
      </c:spPr>
    </c:plotArea>
    <c:legend>
      <c:legendPos val="b"/>
      <c:layout>
        <c:manualLayout>
          <c:xMode val="edge"/>
          <c:yMode val="edge"/>
          <c:x val="0.115703027282787"/>
          <c:y val="0.85414898927578098"/>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endParaRPr lang="zh-CN"/>
        </a:p>
      </c:txPr>
    </c:legend>
    <c:plotVisOnly val="1"/>
    <c:dispBlanksAs val="gap"/>
    <c:showDLblsOverMax val="0"/>
  </c:chart>
  <c:spPr>
    <a:blipFill rotWithShape="1">
      <a:blip xmlns:r="http://schemas.openxmlformats.org/officeDocument/2006/relationships" r:embed="rId4"/>
      <a:stretch>
        <a:fillRect/>
      </a:stretch>
    </a:blipFill>
    <a:ln w="9525" cap="flat" cmpd="sng" algn="ctr">
      <a:noFill/>
      <a:round/>
    </a:ln>
    <a:effectLst/>
  </c:spPr>
  <c:txPr>
    <a:bodyPr/>
    <a:lstStyle/>
    <a:p>
      <a:pPr>
        <a:defRPr lang="zh-CN">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endParaRPr lang="zh-CN"/>
    </a:p>
  </c:txPr>
  <c:externalData r:id="rId5">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zh-CN" altLang="en-US"/>
              <a:t>财政拨款收、支决算总计变动情况</a:t>
            </a:r>
          </a:p>
        </c:rich>
      </c:tx>
      <c:layout>
        <c:manualLayout>
          <c:xMode val="edge"/>
          <c:yMode val="edge"/>
          <c:x val="0.28828229027962698"/>
          <c:y val="4.4156706507304098E-2"/>
        </c:manualLayout>
      </c:layout>
      <c:overlay val="0"/>
      <c:spPr>
        <a:noFill/>
        <a:ln>
          <a:noFill/>
        </a:ln>
        <a:effectLst/>
      </c:spPr>
      <c:txPr>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title>
    <c:autoTitleDeleted val="0"/>
    <c:plotArea>
      <c:layout>
        <c:manualLayout>
          <c:layoutTarget val="inner"/>
          <c:xMode val="edge"/>
          <c:yMode val="edge"/>
          <c:x val="9.8923901128461902E-2"/>
          <c:y val="0.18464973439575"/>
          <c:w val="0.87366666666666704"/>
          <c:h val="0.60680555555555604"/>
        </c:manualLayout>
      </c:layout>
      <c:barChart>
        <c:barDir val="col"/>
        <c:grouping val="clustered"/>
        <c:varyColors val="0"/>
        <c:ser>
          <c:idx val="0"/>
          <c:order val="0"/>
          <c:tx>
            <c:strRef>
              <c:f>Sheet1!$B$1</c:f>
              <c:strCache>
                <c:ptCount val="1"/>
                <c:pt idx="0">
                  <c:v>2020年</c:v>
                </c:pt>
              </c:strCache>
            </c:strRef>
          </c:tx>
          <c:spPr>
            <a:solidFill>
              <a:srgbClr val="D6AF14"/>
            </a:solidFill>
            <a:ln>
              <a:noFill/>
            </a:ln>
            <a:effectLst>
              <a:outerShdw blurRad="50800" dist="38100" dir="2700000" algn="tl" rotWithShape="0">
                <a:srgbClr val="9A7A0E">
                  <a:alpha val="40000"/>
                </a:srgbClr>
              </a:outerShdw>
            </a:effectLst>
          </c:spPr>
          <c:invertIfNegative val="0"/>
          <c:cat>
            <c:strRef>
              <c:f>Sheet1!$A$2:$A$3</c:f>
              <c:strCache>
                <c:ptCount val="2"/>
                <c:pt idx="0">
                  <c:v>收入</c:v>
                </c:pt>
                <c:pt idx="1">
                  <c:v>支出</c:v>
                </c:pt>
              </c:strCache>
            </c:strRef>
          </c:cat>
          <c:val>
            <c:numRef>
              <c:f>Sheet1!$B$2:$B$3</c:f>
              <c:numCache>
                <c:formatCode>General</c:formatCode>
                <c:ptCount val="2"/>
                <c:pt idx="0">
                  <c:v>2151.4499999999998</c:v>
                </c:pt>
                <c:pt idx="1">
                  <c:v>2228.42</c:v>
                </c:pt>
              </c:numCache>
            </c:numRef>
          </c:val>
          <c:extLst>
            <c:ext xmlns:c16="http://schemas.microsoft.com/office/drawing/2014/chart" uri="{C3380CC4-5D6E-409C-BE32-E72D297353CC}">
              <c16:uniqueId val="{00000000-4E50-4486-8ACD-C2F01AB1C58C}"/>
            </c:ext>
          </c:extLst>
        </c:ser>
        <c:ser>
          <c:idx val="1"/>
          <c:order val="1"/>
          <c:tx>
            <c:strRef>
              <c:f>Sheet1!$C$1</c:f>
              <c:strCache>
                <c:ptCount val="1"/>
                <c:pt idx="0">
                  <c:v>2021年</c:v>
                </c:pt>
              </c:strCache>
            </c:strRef>
          </c:tx>
          <c:spPr>
            <a:solidFill>
              <a:srgbClr val="19B0A6"/>
            </a:solidFill>
            <a:ln>
              <a:noFill/>
            </a:ln>
            <a:effectLst>
              <a:outerShdw blurRad="50800" dist="38100" dir="2700000" algn="tl" rotWithShape="0">
                <a:srgbClr val="128178">
                  <a:alpha val="40000"/>
                </a:srgbClr>
              </a:outerShdw>
            </a:effectLst>
          </c:spPr>
          <c:invertIfNegative val="0"/>
          <c:cat>
            <c:strRef>
              <c:f>Sheet1!$A$2:$A$3</c:f>
              <c:strCache>
                <c:ptCount val="2"/>
                <c:pt idx="0">
                  <c:v>收入</c:v>
                </c:pt>
                <c:pt idx="1">
                  <c:v>支出</c:v>
                </c:pt>
              </c:strCache>
            </c:strRef>
          </c:cat>
          <c:val>
            <c:numRef>
              <c:f>Sheet1!$C$2:$C$3</c:f>
              <c:numCache>
                <c:formatCode>General</c:formatCode>
                <c:ptCount val="2"/>
                <c:pt idx="0">
                  <c:v>2446.65</c:v>
                </c:pt>
                <c:pt idx="1">
                  <c:v>2477.2199999999998</c:v>
                </c:pt>
              </c:numCache>
            </c:numRef>
          </c:val>
          <c:extLst>
            <c:ext xmlns:c16="http://schemas.microsoft.com/office/drawing/2014/chart" uri="{C3380CC4-5D6E-409C-BE32-E72D297353CC}">
              <c16:uniqueId val="{00000001-4E50-4486-8ACD-C2F01AB1C58C}"/>
            </c:ext>
          </c:extLst>
        </c:ser>
        <c:dLbls>
          <c:showLegendKey val="0"/>
          <c:showVal val="0"/>
          <c:showCatName val="0"/>
          <c:showSerName val="0"/>
          <c:showPercent val="0"/>
          <c:showBubbleSize val="0"/>
        </c:dLbls>
        <c:gapWidth val="219"/>
        <c:overlap val="-27"/>
        <c:axId val="573639283"/>
        <c:axId val="726603114"/>
      </c:barChart>
      <c:catAx>
        <c:axId val="573639283"/>
        <c:scaling>
          <c:orientation val="minMax"/>
        </c:scaling>
        <c:delete val="0"/>
        <c:axPos val="b"/>
        <c:majorGridlines>
          <c:spPr>
            <a:ln w="9525" cap="flat" cmpd="sng" algn="ctr">
              <a:solidFill>
                <a:schemeClr val="tx1">
                  <a:lumMod val="15000"/>
                  <a:lumOff val="85000"/>
                  <a:alpha val="47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726603114"/>
        <c:crosses val="autoZero"/>
        <c:auto val="1"/>
        <c:lblAlgn val="ctr"/>
        <c:lblOffset val="100"/>
        <c:noMultiLvlLbl val="0"/>
      </c:catAx>
      <c:valAx>
        <c:axId val="726603114"/>
        <c:scaling>
          <c:orientation val="minMax"/>
        </c:scaling>
        <c:delete val="0"/>
        <c:axPos val="l"/>
        <c:majorGridlines>
          <c:spPr>
            <a:ln w="9525" cap="flat" cmpd="sng" algn="ctr">
              <a:solidFill>
                <a:schemeClr val="tx1">
                  <a:lumMod val="15000"/>
                  <a:lumOff val="85000"/>
                  <a:alpha val="47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573639283"/>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zh-CN" altLang="en-US"/>
              <a:t>一般公共预算财政拨款支出决算变动情况</a:t>
            </a:r>
          </a:p>
        </c:rich>
      </c:tx>
      <c:layout>
        <c:manualLayout>
          <c:xMode val="edge"/>
          <c:yMode val="edge"/>
          <c:x val="0.20909920178088101"/>
          <c:y val="3.3902399698444399E-2"/>
        </c:manualLayout>
      </c:layout>
      <c:overlay val="0"/>
      <c:spPr>
        <a:noFill/>
        <a:ln>
          <a:noFill/>
        </a:ln>
        <a:effectLst/>
      </c:spPr>
      <c:txPr>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title>
    <c:autoTitleDeleted val="0"/>
    <c:plotArea>
      <c:layout>
        <c:manualLayout>
          <c:layoutTarget val="inner"/>
          <c:xMode val="edge"/>
          <c:yMode val="edge"/>
          <c:x val="9.8923901128461902E-2"/>
          <c:y val="0.18464973439575"/>
          <c:w val="0.87366666666666704"/>
          <c:h val="0.60680555555555604"/>
        </c:manualLayout>
      </c:layout>
      <c:barChart>
        <c:barDir val="col"/>
        <c:grouping val="clustered"/>
        <c:varyColors val="0"/>
        <c:ser>
          <c:idx val="0"/>
          <c:order val="0"/>
          <c:tx>
            <c:strRef>
              <c:f>Sheet1!$B$1</c:f>
              <c:strCache>
                <c:ptCount val="1"/>
                <c:pt idx="0">
                  <c:v>支出</c:v>
                </c:pt>
              </c:strCache>
            </c:strRef>
          </c:tx>
          <c:spPr>
            <a:solidFill>
              <a:srgbClr val="D6AF14"/>
            </a:solidFill>
            <a:ln>
              <a:noFill/>
            </a:ln>
            <a:effectLst>
              <a:outerShdw blurRad="50800" dist="38100" dir="2700000" algn="tl" rotWithShape="0">
                <a:srgbClr val="9A7A0E">
                  <a:alpha val="40000"/>
                </a:srgbClr>
              </a:outerShdw>
            </a:effectLst>
          </c:spPr>
          <c:invertIfNegative val="0"/>
          <c:cat>
            <c:strRef>
              <c:f>Sheet1!$A$2:$A$3</c:f>
              <c:strCache>
                <c:ptCount val="2"/>
                <c:pt idx="0">
                  <c:v>2020年</c:v>
                </c:pt>
                <c:pt idx="1">
                  <c:v>2021年</c:v>
                </c:pt>
              </c:strCache>
            </c:strRef>
          </c:cat>
          <c:val>
            <c:numRef>
              <c:f>Sheet1!$B$2:$B$3</c:f>
              <c:numCache>
                <c:formatCode>General</c:formatCode>
                <c:ptCount val="2"/>
                <c:pt idx="0">
                  <c:v>2228.42</c:v>
                </c:pt>
                <c:pt idx="1">
                  <c:v>2477.2199999999998</c:v>
                </c:pt>
              </c:numCache>
            </c:numRef>
          </c:val>
          <c:extLst>
            <c:ext xmlns:c16="http://schemas.microsoft.com/office/drawing/2014/chart" uri="{C3380CC4-5D6E-409C-BE32-E72D297353CC}">
              <c16:uniqueId val="{00000000-6D84-4F9F-B0D3-8FD016C2F0F1}"/>
            </c:ext>
          </c:extLst>
        </c:ser>
        <c:dLbls>
          <c:showLegendKey val="0"/>
          <c:showVal val="0"/>
          <c:showCatName val="0"/>
          <c:showSerName val="0"/>
          <c:showPercent val="0"/>
          <c:showBubbleSize val="0"/>
        </c:dLbls>
        <c:gapWidth val="219"/>
        <c:overlap val="-27"/>
        <c:axId val="573639283"/>
        <c:axId val="726603114"/>
      </c:barChart>
      <c:catAx>
        <c:axId val="573639283"/>
        <c:scaling>
          <c:orientation val="minMax"/>
        </c:scaling>
        <c:delete val="0"/>
        <c:axPos val="b"/>
        <c:majorGridlines>
          <c:spPr>
            <a:ln w="9525" cap="flat" cmpd="sng" algn="ctr">
              <a:solidFill>
                <a:schemeClr val="tx1">
                  <a:lumMod val="15000"/>
                  <a:lumOff val="85000"/>
                  <a:alpha val="47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726603114"/>
        <c:crosses val="autoZero"/>
        <c:auto val="1"/>
        <c:lblAlgn val="ctr"/>
        <c:lblOffset val="100"/>
        <c:noMultiLvlLbl val="0"/>
      </c:catAx>
      <c:valAx>
        <c:axId val="726603114"/>
        <c:scaling>
          <c:orientation val="minMax"/>
        </c:scaling>
        <c:delete val="0"/>
        <c:axPos val="l"/>
        <c:majorGridlines>
          <c:spPr>
            <a:ln w="9525" cap="flat" cmpd="sng" algn="ctr">
              <a:solidFill>
                <a:schemeClr val="tx1">
                  <a:lumMod val="15000"/>
                  <a:lumOff val="85000"/>
                  <a:alpha val="47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573639283"/>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40" b="1" i="0" u="none" strike="noStrike" kern="1200" spc="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r>
              <a:rPr lang="zh-CN" altLang="en-US"/>
              <a:t>一般公共预算财政拨款支出决算结构</a:t>
            </a:r>
          </a:p>
        </c:rich>
      </c:tx>
      <c:overlay val="0"/>
      <c:spPr>
        <a:noFill/>
        <a:ln>
          <a:noFill/>
        </a:ln>
        <a:effectLst/>
      </c:spPr>
      <c:txPr>
        <a:bodyPr rot="0" spcFirstLastPara="0" vertOverflow="ellipsis" vert="horz" wrap="square" anchor="ctr" anchorCtr="1" forceAA="0"/>
        <a:lstStyle/>
        <a:p>
          <a:pPr defTabSz="914400">
            <a:defRPr lang="zh-CN" sz="1440" b="1" i="0" u="none" strike="noStrike" kern="1200" spc="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endParaRPr lang="zh-CN"/>
        </a:p>
      </c:txPr>
    </c:title>
    <c:autoTitleDeleted val="0"/>
    <c:plotArea>
      <c:layout>
        <c:manualLayout>
          <c:layoutTarget val="inner"/>
          <c:xMode val="edge"/>
          <c:yMode val="edge"/>
          <c:x val="1.5639787488110599E-2"/>
          <c:y val="0.12827640257261499"/>
          <c:w val="0.90344917690096704"/>
          <c:h val="0.62513781697905202"/>
        </c:manualLayout>
      </c:layout>
      <c:doughnutChart>
        <c:varyColors val="1"/>
        <c:ser>
          <c:idx val="0"/>
          <c:order val="0"/>
          <c:tx>
            <c:strRef>
              <c:f>Sheet1!$B$1</c:f>
              <c:strCache>
                <c:ptCount val="1"/>
                <c:pt idx="0">
                  <c:v>列1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935-4D45-9D69-55A895BB88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935-4D45-9D69-55A895BB88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935-4D45-9D69-55A895BB88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935-4D45-9D69-55A895BB88E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935-4D45-9D69-55A895BB88EB}"/>
              </c:ext>
            </c:extLst>
          </c:dPt>
          <c:dLbls>
            <c:spPr>
              <a:noFill/>
              <a:ln>
                <a:noFill/>
              </a:ln>
              <a:effectLst/>
            </c:spPr>
            <c:txPr>
              <a:bodyPr rot="0" spcFirstLastPara="0" vertOverflow="ellipsis" vert="horz" wrap="square" lIns="38100" tIns="19050" rIns="38100" bIns="19050" anchor="ctr" anchorCtr="1" forceAA="0"/>
              <a:lstStyle/>
              <a:p>
                <a:pPr>
                  <a:defRPr lang="zh-CN" sz="900" b="1" i="0" u="none" strike="noStrike" kern="1200" baseline="0">
                    <a:solidFill>
                      <a:schemeClr val="bg1"/>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endParaRPr lang="zh-CN"/>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一般公共服务支出</c:v>
                </c:pt>
                <c:pt idx="1">
                  <c:v>国防支出</c:v>
                </c:pt>
                <c:pt idx="2">
                  <c:v>社会保障和就业支出</c:v>
                </c:pt>
                <c:pt idx="3">
                  <c:v>卫生健康支出</c:v>
                </c:pt>
                <c:pt idx="4">
                  <c:v>住房保障支出</c:v>
                </c:pt>
              </c:strCache>
            </c:strRef>
          </c:cat>
          <c:val>
            <c:numRef>
              <c:f>Sheet1!$B$2:$B$6</c:f>
              <c:numCache>
                <c:formatCode>General</c:formatCode>
                <c:ptCount val="5"/>
                <c:pt idx="0">
                  <c:v>2145.5700000000002</c:v>
                </c:pt>
                <c:pt idx="1">
                  <c:v>85.57</c:v>
                </c:pt>
                <c:pt idx="2">
                  <c:v>129.36000000000001</c:v>
                </c:pt>
                <c:pt idx="3">
                  <c:v>43.62</c:v>
                </c:pt>
                <c:pt idx="4">
                  <c:v>73.099999999999994</c:v>
                </c:pt>
              </c:numCache>
            </c:numRef>
          </c:val>
          <c:extLst>
            <c:ext xmlns:c16="http://schemas.microsoft.com/office/drawing/2014/chart" uri="{C3380CC4-5D6E-409C-BE32-E72D297353CC}">
              <c16:uniqueId val="{0000000A-1935-4D45-9D69-55A895BB88EB}"/>
            </c:ext>
          </c:extLst>
        </c:ser>
        <c:dLbls>
          <c:showLegendKey val="0"/>
          <c:showVal val="0"/>
          <c:showCatName val="0"/>
          <c:showSerName val="0"/>
          <c:showPercent val="1"/>
          <c:showBubbleSize val="0"/>
          <c:showLeaderLines val="1"/>
        </c:dLbls>
        <c:firstSliceAng val="0"/>
        <c:holeSize val="0"/>
      </c:doughnutChart>
      <c:spPr>
        <a:noFill/>
        <a:ln>
          <a:noFill/>
        </a:ln>
        <a:effectLst/>
      </c:spPr>
    </c:plotArea>
    <c:legend>
      <c:legendPos val="b"/>
      <c:layout>
        <c:manualLayout>
          <c:xMode val="edge"/>
          <c:yMode val="edge"/>
          <c:x val="0.115703027282787"/>
          <c:y val="0.85414898927578098"/>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endParaRPr lang="zh-CN"/>
        </a:p>
      </c:txPr>
    </c:legend>
    <c:plotVisOnly val="1"/>
    <c:dispBlanksAs val="gap"/>
    <c:showDLblsOverMax val="0"/>
  </c:chart>
  <c:spPr>
    <a:blipFill rotWithShape="1">
      <a:blip xmlns:r="http://schemas.openxmlformats.org/officeDocument/2006/relationships" r:embed="rId4"/>
      <a:stretch>
        <a:fillRect/>
      </a:stretch>
    </a:blipFill>
    <a:ln w="9525" cap="flat" cmpd="sng" algn="ctr">
      <a:noFill/>
      <a:round/>
    </a:ln>
    <a:effectLst/>
  </c:spPr>
  <c:txPr>
    <a:bodyPr/>
    <a:lstStyle/>
    <a:p>
      <a:pPr>
        <a:defRPr lang="zh-CN">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endParaRPr lang="zh-CN"/>
    </a:p>
  </c:txPr>
  <c:externalData r:id="rId5">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40" b="1" i="0" u="none" strike="noStrike" kern="1200" spc="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r>
              <a:rPr lang="zh-CN" altLang="en-US" sz="1200"/>
              <a:t>“三公”经费财政拨款支出结构</a:t>
            </a:r>
          </a:p>
        </c:rich>
      </c:tx>
      <c:layout>
        <c:manualLayout>
          <c:xMode val="edge"/>
          <c:yMode val="edge"/>
          <c:x val="0.179360761645699"/>
          <c:y val="1.1419870574800201E-2"/>
        </c:manualLayout>
      </c:layout>
      <c:overlay val="0"/>
      <c:spPr>
        <a:noFill/>
        <a:ln>
          <a:noFill/>
        </a:ln>
        <a:effectLst/>
      </c:spPr>
      <c:txPr>
        <a:bodyPr rot="0" spcFirstLastPara="0" vertOverflow="ellipsis" vert="horz" wrap="square" anchor="ctr" anchorCtr="1" forceAA="0"/>
        <a:lstStyle/>
        <a:p>
          <a:pPr defTabSz="914400">
            <a:defRPr lang="zh-CN" sz="1440" b="1" i="0" u="none" strike="noStrike" kern="1200" spc="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endParaRPr lang="zh-CN"/>
        </a:p>
      </c:txPr>
    </c:title>
    <c:autoTitleDeleted val="0"/>
    <c:plotArea>
      <c:layout>
        <c:manualLayout>
          <c:layoutTarget val="inner"/>
          <c:xMode val="edge"/>
          <c:yMode val="edge"/>
          <c:x val="1.5639787488110599E-2"/>
          <c:y val="0.12827640257261499"/>
          <c:w val="0.90344917690096704"/>
          <c:h val="0.62513781697905202"/>
        </c:manualLayout>
      </c:layout>
      <c:doughnutChart>
        <c:varyColors val="1"/>
        <c:ser>
          <c:idx val="0"/>
          <c:order val="0"/>
          <c:tx>
            <c:strRef>
              <c:f>Sheet1!$B$1</c:f>
              <c:strCache>
                <c:ptCount val="1"/>
                <c:pt idx="0">
                  <c:v>本年支出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520-4FD3-91F2-A19507BF89A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520-4FD3-91F2-A19507BF89A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520-4FD3-91F2-A19507BF89A4}"/>
              </c:ext>
            </c:extLst>
          </c:dPt>
          <c:dLbls>
            <c:spPr>
              <a:noFill/>
              <a:ln>
                <a:noFill/>
              </a:ln>
              <a:effectLst/>
            </c:spPr>
            <c:txPr>
              <a:bodyPr rot="0" spcFirstLastPara="0" vertOverflow="ellipsis" vert="horz" wrap="square" lIns="38100" tIns="19050" rIns="38100" bIns="19050" anchor="ctr" anchorCtr="1" forceAA="0"/>
              <a:lstStyle/>
              <a:p>
                <a:pPr>
                  <a:defRPr lang="zh-CN" sz="900" b="1" i="0" u="none" strike="noStrike" kern="1200" baseline="0">
                    <a:solidFill>
                      <a:schemeClr val="bg1"/>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endParaRPr lang="zh-CN"/>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公务用车购置及运行费</c:v>
                </c:pt>
                <c:pt idx="1">
                  <c:v>公务接待费</c:v>
                </c:pt>
                <c:pt idx="2">
                  <c:v>因公出国（境）费</c:v>
                </c:pt>
              </c:strCache>
            </c:strRef>
          </c:cat>
          <c:val>
            <c:numRef>
              <c:f>Sheet1!$B$2:$B$4</c:f>
              <c:numCache>
                <c:formatCode>General</c:formatCode>
                <c:ptCount val="3"/>
                <c:pt idx="0">
                  <c:v>188.88</c:v>
                </c:pt>
                <c:pt idx="1">
                  <c:v>12.74</c:v>
                </c:pt>
                <c:pt idx="2">
                  <c:v>0</c:v>
                </c:pt>
              </c:numCache>
            </c:numRef>
          </c:val>
          <c:extLst>
            <c:ext xmlns:c16="http://schemas.microsoft.com/office/drawing/2014/chart" uri="{C3380CC4-5D6E-409C-BE32-E72D297353CC}">
              <c16:uniqueId val="{00000006-2520-4FD3-91F2-A19507BF89A4}"/>
            </c:ext>
          </c:extLst>
        </c:ser>
        <c:dLbls>
          <c:showLegendKey val="0"/>
          <c:showVal val="0"/>
          <c:showCatName val="0"/>
          <c:showSerName val="0"/>
          <c:showPercent val="1"/>
          <c:showBubbleSize val="0"/>
          <c:showLeaderLines val="1"/>
        </c:dLbls>
        <c:firstSliceAng val="0"/>
        <c:holeSize val="0"/>
      </c:doughnutChart>
      <c:spPr>
        <a:noFill/>
        <a:ln>
          <a:noFill/>
        </a:ln>
        <a:effectLst/>
      </c:spPr>
    </c:plotArea>
    <c:legend>
      <c:legendPos val="b"/>
      <c:layout>
        <c:manualLayout>
          <c:xMode val="edge"/>
          <c:yMode val="edge"/>
          <c:x val="2.2197416946166799E-2"/>
          <c:y val="0.73353635325466304"/>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endParaRPr lang="zh-CN"/>
        </a:p>
      </c:txPr>
    </c:legend>
    <c:plotVisOnly val="1"/>
    <c:dispBlanksAs val="gap"/>
    <c:showDLblsOverMax val="0"/>
  </c:chart>
  <c:spPr>
    <a:blipFill rotWithShape="1">
      <a:blip xmlns:r="http://schemas.openxmlformats.org/officeDocument/2006/relationships" r:embed="rId4"/>
      <a:stretch>
        <a:fillRect/>
      </a:stretch>
    </a:blipFill>
    <a:ln w="9525" cap="flat" cmpd="sng" algn="ctr">
      <a:noFill/>
      <a:round/>
    </a:ln>
    <a:effectLst/>
  </c:spPr>
  <c:txPr>
    <a:bodyPr/>
    <a:lstStyle/>
    <a:p>
      <a:pPr>
        <a:defRPr lang="zh-CN">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endParaRPr lang="zh-CN"/>
    </a:p>
  </c:txPr>
  <c:externalData r:id="rId5">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CEF6E-F4E3-4922-8334-C2244ACD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2660</Words>
  <Characters>15163</Characters>
  <Application>Microsoft Office Word</Application>
  <DocSecurity>0</DocSecurity>
  <Lines>126</Lines>
  <Paragraphs>35</Paragraphs>
  <ScaleCrop>false</ScaleCrop>
  <Company>四川省财政厅</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阿坝州部门决算说明</dc:title>
  <dc:creator>曹颖</dc:creator>
  <cp:lastModifiedBy>郭 华</cp:lastModifiedBy>
  <cp:revision>11</cp:revision>
  <cp:lastPrinted>2022-09-19T09:45:00Z</cp:lastPrinted>
  <dcterms:created xsi:type="dcterms:W3CDTF">2021-08-06T09:38:00Z</dcterms:created>
  <dcterms:modified xsi:type="dcterms:W3CDTF">2023-08-26T00:03:00Z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y fmtid="{D5CDD505-2E9C-101B-9397-08002B2CF9AE}" pid="3" name="ICV">
    <vt:lpwstr>57F775BD8EAF437B9CBF305ABBB201E2</vt:lpwstr>
  </property>
</Properties>
</file>