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3F43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bidi="ar"/>
        </w:rPr>
        <w:t>2022年度中国人民政治协商会议</w:t>
      </w:r>
    </w:p>
    <w:p w14:paraId="5623DFB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bidi="ar"/>
        </w:rPr>
        <w:t>阿坝州松潘县委员会办公室部门决算</w:t>
      </w:r>
    </w:p>
    <w:p w14:paraId="0528C4B7">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bidi="ar"/>
        </w:rPr>
        <w:t>（部门公开）</w:t>
      </w:r>
    </w:p>
    <w:p w14:paraId="689C654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7561E3D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7311418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63C0D7C9">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0405147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591A50A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6589EED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7C06477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已经保密审查、内容审定，同意对外公开</w:t>
      </w:r>
    </w:p>
    <w:p w14:paraId="07CED68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07C490A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150912A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24A9EF7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6F4BE46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18CC76E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1A1BE2E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33472D57">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56A751E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3FDD676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2ACB5CB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256C01F7">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p>
    <w:p w14:paraId="0A0DFBC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5FDAEF27">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b/>
          <w:bCs/>
          <w:kern w:val="0"/>
          <w:sz w:val="44"/>
          <w:szCs w:val="44"/>
          <w:lang w:val="en-US" w:eastAsia="zh-CN" w:bidi="ar"/>
        </w:rPr>
      </w:pPr>
      <w:r>
        <w:rPr>
          <w:rFonts w:hint="eastAsia" w:ascii="方正小标宋简体" w:hAnsi="方正小标宋简体" w:eastAsia="方正小标宋简体" w:cs="方正小标宋简体"/>
          <w:b/>
          <w:bCs/>
          <w:kern w:val="0"/>
          <w:sz w:val="44"/>
          <w:szCs w:val="44"/>
          <w:lang w:val="en-US" w:eastAsia="zh-CN" w:bidi="ar"/>
        </w:rPr>
        <w:t>目录</w:t>
      </w:r>
    </w:p>
    <w:p w14:paraId="6D829576">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76" w:lineRule="exact"/>
        <w:ind w:left="0" w:right="0" w:firstLine="1920" w:firstLineChars="600"/>
        <w:jc w:val="left"/>
        <w:textAlignment w:val="auto"/>
        <w:rPr>
          <w:rFonts w:hint="eastAsia" w:ascii="仿宋_GB2312" w:hAnsi="宋体" w:eastAsia="仿宋_GB2312" w:cs="仿宋_GB2312"/>
          <w:kern w:val="0"/>
          <w:sz w:val="32"/>
          <w:szCs w:val="32"/>
          <w:lang w:val="en-US" w:eastAsia="zh-CN" w:bidi="ar"/>
        </w:rPr>
      </w:pPr>
    </w:p>
    <w:p w14:paraId="4CBEE2C3">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76" w:lineRule="exact"/>
        <w:ind w:left="0" w:right="0" w:firstLine="1920" w:firstLineChars="60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公开时间：2023年9月10日</w:t>
      </w:r>
    </w:p>
    <w:p w14:paraId="5053D6CD">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第一部分 部门概况</w:t>
      </w:r>
      <w:r>
        <w:tab/>
      </w:r>
      <w:r>
        <w:rPr>
          <w:rFonts w:hint="eastAsia"/>
          <w:lang w:val="en-US" w:eastAsia="zh-CN"/>
        </w:rPr>
        <w:t>4</w:t>
      </w:r>
    </w:p>
    <w:p w14:paraId="7E5ACA71">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hAns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一、基本职能及主要工作</w:t>
      </w:r>
      <w:r>
        <w:tab/>
      </w:r>
      <w:r>
        <w:rPr>
          <w:rFonts w:hint="eastAsia"/>
          <w:lang w:val="en-US" w:eastAsia="zh-CN"/>
        </w:rPr>
        <w:t>5-10</w:t>
      </w:r>
    </w:p>
    <w:p w14:paraId="041B34E0">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二、机构设置</w:t>
      </w:r>
      <w:r>
        <w:tab/>
      </w:r>
      <w:r>
        <w:rPr>
          <w:rFonts w:hint="eastAsia"/>
          <w:lang w:val="en-US" w:eastAsia="zh-CN"/>
        </w:rPr>
        <w:t>11-14</w:t>
      </w:r>
    </w:p>
    <w:p w14:paraId="6534C0B0">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第二部分 2022年度部门决算情况说明</w:t>
      </w:r>
      <w:r>
        <w:tab/>
      </w:r>
      <w:r>
        <w:rPr>
          <w:rFonts w:hint="eastAsia"/>
          <w:lang w:val="en-US" w:eastAsia="zh-CN"/>
        </w:rPr>
        <w:t>15</w:t>
      </w:r>
    </w:p>
    <w:p w14:paraId="562E3D01">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一、收入支出决算总体情况说明</w:t>
      </w:r>
      <w:r>
        <w:tab/>
      </w:r>
      <w:r>
        <w:rPr>
          <w:rFonts w:hint="eastAsia"/>
          <w:lang w:val="en-US" w:eastAsia="zh-CN"/>
        </w:rPr>
        <w:t>15</w:t>
      </w:r>
    </w:p>
    <w:p w14:paraId="45173189">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二、收入决算情况说明</w:t>
      </w:r>
      <w:r>
        <w:tab/>
      </w:r>
      <w:r>
        <w:rPr>
          <w:rFonts w:hint="eastAsia"/>
          <w:lang w:val="en-US" w:eastAsia="zh-CN"/>
        </w:rPr>
        <w:t>15</w:t>
      </w:r>
    </w:p>
    <w:p w14:paraId="6EBB8177">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三、支出决算情况说明</w:t>
      </w:r>
      <w:r>
        <w:tab/>
      </w:r>
      <w:r>
        <w:rPr>
          <w:rFonts w:hint="eastAsia"/>
          <w:lang w:val="en-US" w:eastAsia="zh-CN"/>
        </w:rPr>
        <w:t>15</w:t>
      </w:r>
    </w:p>
    <w:p w14:paraId="7AF3D469">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四、财政拨款收入支出决算总体情况说明</w:t>
      </w:r>
      <w:r>
        <w:tab/>
      </w:r>
      <w:r>
        <w:rPr>
          <w:rFonts w:hint="eastAsia"/>
          <w:lang w:val="en-US" w:eastAsia="zh-CN"/>
        </w:rPr>
        <w:t>15</w:t>
      </w:r>
    </w:p>
    <w:p w14:paraId="7ED06CA6">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五、一般公共预算财政拨款支出决算情况说明</w:t>
      </w:r>
      <w:r>
        <w:tab/>
      </w:r>
      <w:r>
        <w:rPr>
          <w:rFonts w:hint="eastAsia"/>
          <w:lang w:val="en-US" w:eastAsia="zh-CN"/>
        </w:rPr>
        <w:t>16</w:t>
      </w:r>
    </w:p>
    <w:p w14:paraId="3AC23BBB">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六、一般公共预算财政拨款基本支出决算情况说明</w:t>
      </w:r>
      <w:r>
        <w:tab/>
      </w:r>
      <w:r>
        <w:rPr>
          <w:rFonts w:hint="eastAsia"/>
          <w:lang w:val="en-US" w:eastAsia="zh-CN"/>
        </w:rPr>
        <w:t>17</w:t>
      </w:r>
    </w:p>
    <w:p w14:paraId="27206CCC">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七、财政拨款“三公”经费支出决算情况说明</w:t>
      </w:r>
      <w:r>
        <w:tab/>
      </w:r>
      <w:r>
        <w:rPr>
          <w:rFonts w:hint="eastAsia"/>
          <w:lang w:val="en-US" w:eastAsia="zh-CN"/>
        </w:rPr>
        <w:t>17</w:t>
      </w:r>
    </w:p>
    <w:p w14:paraId="072CEE2D">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八、政府性基金预算支出决算情况说明</w:t>
      </w:r>
      <w:r>
        <w:tab/>
      </w:r>
      <w:r>
        <w:rPr>
          <w:rFonts w:hint="eastAsia"/>
          <w:lang w:val="en-US" w:eastAsia="zh-CN"/>
        </w:rPr>
        <w:t>18</w:t>
      </w:r>
    </w:p>
    <w:p w14:paraId="628BEF8F">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hAnsi="宋体" w:cs="仿宋_GB2312" w:eastAsiaTheme="minorEastAsia"/>
          <w:kern w:val="0"/>
          <w:sz w:val="32"/>
          <w:szCs w:val="32"/>
          <w:lang w:val="en-US" w:eastAsia="zh-CN" w:bidi="ar"/>
        </w:rPr>
      </w:pPr>
      <w:r>
        <w:rPr>
          <w:rFonts w:hint="eastAsia" w:ascii="仿宋_GB2312" w:hAnsi="宋体" w:eastAsia="仿宋_GB2312" w:cs="仿宋_GB2312"/>
          <w:kern w:val="0"/>
          <w:sz w:val="32"/>
          <w:szCs w:val="32"/>
          <w:lang w:val="en-US" w:eastAsia="zh-CN" w:bidi="ar"/>
        </w:rPr>
        <w:t>九、国有资本经营预算支出决算情况说明</w:t>
      </w:r>
      <w:r>
        <w:tab/>
      </w:r>
      <w:r>
        <w:rPr>
          <w:rFonts w:hint="eastAsia"/>
          <w:lang w:val="en-US" w:eastAsia="zh-CN"/>
        </w:rPr>
        <w:t>18</w:t>
      </w:r>
    </w:p>
    <w:p w14:paraId="17F32A37">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 xml:space="preserve">十、其他重要事项的情况说明 </w:t>
      </w:r>
      <w:r>
        <w:tab/>
      </w:r>
      <w:r>
        <w:rPr>
          <w:rFonts w:hint="eastAsia"/>
          <w:lang w:val="en-US" w:eastAsia="zh-CN"/>
        </w:rPr>
        <w:t>19</w:t>
      </w:r>
    </w:p>
    <w:p w14:paraId="3E7058C0">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第三部分 名词解释</w:t>
      </w:r>
      <w:r>
        <w:tab/>
      </w:r>
      <w:r>
        <w:rPr>
          <w:rFonts w:hint="eastAsia"/>
          <w:lang w:val="en-US" w:eastAsia="zh-CN"/>
        </w:rPr>
        <w:t>19-22</w:t>
      </w:r>
    </w:p>
    <w:p w14:paraId="1B45139C">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第四部分 附件</w:t>
      </w:r>
      <w:r>
        <w:tab/>
      </w:r>
      <w:r>
        <w:rPr>
          <w:rFonts w:hint="eastAsia"/>
          <w:lang w:val="en-US" w:eastAsia="zh-CN"/>
        </w:rPr>
        <w:t>22-35</w:t>
      </w:r>
    </w:p>
    <w:p w14:paraId="79B6AE0F">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第五部分 附表</w:t>
      </w:r>
      <w:r>
        <w:tab/>
      </w:r>
      <w:r>
        <w:rPr>
          <w:rFonts w:hint="eastAsia"/>
          <w:lang w:val="en-US" w:eastAsia="zh-CN"/>
        </w:rPr>
        <w:t>35</w:t>
      </w:r>
    </w:p>
    <w:p w14:paraId="7E239F66">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一、收入支出决算总表</w:t>
      </w:r>
      <w:r>
        <w:tab/>
      </w:r>
      <w:r>
        <w:rPr>
          <w:rFonts w:hint="eastAsia"/>
          <w:lang w:val="en-US" w:eastAsia="zh-CN"/>
        </w:rPr>
        <w:t>35</w:t>
      </w:r>
    </w:p>
    <w:p w14:paraId="5393687A">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二、收入决算表</w:t>
      </w:r>
      <w:r>
        <w:tab/>
      </w:r>
      <w:r>
        <w:rPr>
          <w:rFonts w:hint="eastAsia"/>
          <w:lang w:val="en-US" w:eastAsia="zh-CN"/>
        </w:rPr>
        <w:t>35</w:t>
      </w:r>
    </w:p>
    <w:p w14:paraId="3C77DF93">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三、支出决算表</w:t>
      </w:r>
      <w:r>
        <w:tab/>
      </w:r>
      <w:r>
        <w:rPr>
          <w:rFonts w:hint="eastAsia"/>
          <w:lang w:val="en-US" w:eastAsia="zh-CN"/>
        </w:rPr>
        <w:t>36</w:t>
      </w:r>
    </w:p>
    <w:p w14:paraId="0A85D7F1">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四、财政拨款收入支出决算总表</w:t>
      </w:r>
      <w:r>
        <w:tab/>
      </w:r>
      <w:r>
        <w:rPr>
          <w:rFonts w:hint="eastAsia"/>
          <w:lang w:val="en-US" w:eastAsia="zh-CN"/>
        </w:rPr>
        <w:t>36</w:t>
      </w:r>
    </w:p>
    <w:p w14:paraId="6BF3B0E9">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五、财政拨款支出决算明细表</w:t>
      </w:r>
      <w:r>
        <w:tab/>
      </w:r>
      <w:r>
        <w:rPr>
          <w:rFonts w:hint="eastAsia"/>
          <w:lang w:val="en-US" w:eastAsia="zh-CN"/>
        </w:rPr>
        <w:t>36</w:t>
      </w:r>
    </w:p>
    <w:p w14:paraId="5E970D0E">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六、一般公共预算财政拨款支出决算表</w:t>
      </w:r>
      <w:r>
        <w:tab/>
      </w:r>
      <w:r>
        <w:rPr>
          <w:rFonts w:hint="eastAsia"/>
          <w:lang w:val="en-US" w:eastAsia="zh-CN"/>
        </w:rPr>
        <w:t>36</w:t>
      </w:r>
    </w:p>
    <w:p w14:paraId="5E298C76">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七、一般公共预算财政拨款支出决算明细表</w:t>
      </w:r>
      <w:r>
        <w:tab/>
      </w:r>
      <w:r>
        <w:rPr>
          <w:rFonts w:hint="eastAsia"/>
          <w:lang w:val="en-US" w:eastAsia="zh-CN"/>
        </w:rPr>
        <w:t>36</w:t>
      </w:r>
    </w:p>
    <w:p w14:paraId="5045C269">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八、一般公共预算财政拨款基本支出决算表</w:t>
      </w:r>
      <w:r>
        <w:tab/>
      </w:r>
      <w:r>
        <w:rPr>
          <w:rFonts w:hint="eastAsia"/>
          <w:lang w:val="en-US" w:eastAsia="zh-CN"/>
        </w:rPr>
        <w:t>36</w:t>
      </w:r>
    </w:p>
    <w:p w14:paraId="0BCA5138">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九、一般公共预算财政拨款项目支出决算表</w:t>
      </w:r>
      <w:r>
        <w:tab/>
      </w:r>
      <w:r>
        <w:rPr>
          <w:rFonts w:hint="eastAsia"/>
          <w:lang w:val="en-US" w:eastAsia="zh-CN"/>
        </w:rPr>
        <w:t>36</w:t>
      </w:r>
    </w:p>
    <w:p w14:paraId="76C055B5">
      <w:pPr>
        <w:keepNext w:val="0"/>
        <w:keepLines w:val="0"/>
        <w:pageBreakBefore w:val="0"/>
        <w:widowControl/>
        <w:suppressLineNumbers w:val="0"/>
        <w:tabs>
          <w:tab w:val="right" w:leader="middleDot" w:pos="7350"/>
        </w:tabs>
        <w:kinsoku/>
        <w:wordWrap/>
        <w:overflowPunct/>
        <w:topLinePunct w:val="0"/>
        <w:autoSpaceDE w:val="0"/>
        <w:autoSpaceDN/>
        <w:bidi w:val="0"/>
        <w:adjustRightInd/>
        <w:snapToGrid w:val="0"/>
        <w:spacing w:before="0" w:beforeAutospacing="0" w:after="0" w:afterAutospacing="0" w:line="576" w:lineRule="exact"/>
        <w:ind w:left="0" w:right="0"/>
        <w:jc w:val="both"/>
        <w:textAlignment w:val="auto"/>
        <w:rPr>
          <w:rFonts w:hint="eastAsia" w:ascii="仿宋_GB2312" w:cs="仿宋_GB2312" w:eastAsiaTheme="minorEastAsia"/>
          <w:kern w:val="0"/>
          <w:sz w:val="32"/>
          <w:szCs w:val="32"/>
          <w:lang w:val="en-US" w:eastAsia="zh-CN"/>
        </w:rPr>
      </w:pPr>
      <w:r>
        <w:rPr>
          <w:rFonts w:hint="eastAsia" w:ascii="仿宋_GB2312" w:hAnsi="宋体" w:eastAsia="仿宋_GB2312" w:cs="仿宋_GB2312"/>
          <w:kern w:val="0"/>
          <w:sz w:val="32"/>
          <w:szCs w:val="32"/>
          <w:lang w:val="en-US" w:eastAsia="zh-CN" w:bidi="ar"/>
        </w:rPr>
        <w:t>十三、财政拨款“三公”经费支出决算表</w:t>
      </w:r>
      <w:r>
        <w:tab/>
      </w:r>
      <w:r>
        <w:rPr>
          <w:rFonts w:hint="eastAsia"/>
          <w:lang w:val="en-US" w:eastAsia="zh-CN"/>
        </w:rPr>
        <w:t>36</w:t>
      </w:r>
    </w:p>
    <w:p w14:paraId="63684A6A">
      <w:pPr>
        <w:pageBreakBefore w:val="0"/>
        <w:kinsoku/>
        <w:wordWrap/>
        <w:overflowPunct/>
        <w:bidi w:val="0"/>
        <w:spacing w:line="540" w:lineRule="exact"/>
      </w:pPr>
    </w:p>
    <w:p w14:paraId="6FAE3850">
      <w:pPr>
        <w:pageBreakBefore w:val="0"/>
        <w:widowControl/>
        <w:kinsoku/>
        <w:wordWrap/>
        <w:overflowPunct/>
        <w:bidi w:val="0"/>
        <w:spacing w:line="540" w:lineRule="exact"/>
        <w:jc w:val="left"/>
        <w:rPr>
          <w:rFonts w:hint="eastAsia" w:ascii="仿宋_GB2312" w:eastAsia="仿宋_GB2312" w:cs="仿宋_GB2312"/>
          <w:kern w:val="0"/>
          <w:sz w:val="32"/>
          <w:szCs w:val="32"/>
        </w:rPr>
      </w:pPr>
      <w:r>
        <w:rPr>
          <w:rFonts w:ascii="仿宋" w:hAnsi="仿宋" w:eastAsia="仿宋"/>
          <w:b/>
          <w:sz w:val="24"/>
        </w:rPr>
        <w:br w:type="page"/>
      </w:r>
    </w:p>
    <w:p w14:paraId="34771F2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黑体" w:hAnsi="宋体" w:eastAsia="黑体" w:cs="黑体"/>
          <w:kern w:val="0"/>
          <w:sz w:val="32"/>
          <w:szCs w:val="32"/>
        </w:rPr>
      </w:pPr>
      <w:r>
        <w:rPr>
          <w:rFonts w:hint="eastAsia" w:ascii="黑体" w:hAnsi="黑体" w:eastAsia="黑体" w:cs="黑体"/>
          <w:kern w:val="0"/>
          <w:sz w:val="32"/>
          <w:szCs w:val="32"/>
          <w:lang w:val="en-US" w:eastAsia="zh-CN" w:bidi="ar"/>
        </w:rPr>
        <w:t>第一部分 部门概况</w:t>
      </w:r>
      <w:r>
        <w:rPr>
          <w:rFonts w:hint="eastAsia" w:ascii="黑体" w:hAnsi="宋体" w:eastAsia="黑体" w:cs="黑体"/>
          <w:kern w:val="0"/>
          <w:sz w:val="32"/>
          <w:szCs w:val="32"/>
          <w:lang w:val="en-US" w:eastAsia="zh-CN" w:bidi="ar"/>
        </w:rPr>
        <w:t xml:space="preserve"> </w:t>
      </w:r>
    </w:p>
    <w:p w14:paraId="4447324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一、基本职能及主要工作</w:t>
      </w:r>
    </w:p>
    <w:p w14:paraId="03D2ABD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lang w:val="en-US" w:eastAsia="zh-CN" w:bidi="ar"/>
        </w:rPr>
        <w:t>（一）主要职能</w:t>
      </w:r>
    </w:p>
    <w:p w14:paraId="3F02326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（1）负责政协委员会全体会议、常务委员会会议、党组会议、主席会议及有关政协工作会议的会务工作和文字材料工作。</w:t>
      </w:r>
    </w:p>
    <w:p w14:paraId="0A1BA7A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（2）负责向上级政协及县委、县政府报送的建议和建议案、信息等有关材料的起草工作。</w:t>
      </w:r>
    </w:p>
    <w:p w14:paraId="5D61EFF9">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（3）负责政协委员会全体会议、常务委员会会议决议、决定的具体组织实施工作。</w:t>
      </w:r>
    </w:p>
    <w:p w14:paraId="3FD94A2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（4）负责县政协委员的联系工作，收集整理各界人士的意见、建议，及时向上级政协及县委、县政府反映，编辑、报送《社情民意》。</w:t>
      </w:r>
    </w:p>
    <w:p w14:paraId="0BE5535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（5）负责承办县政协常务委员会、主席会议决定安排的委员视察、调研活动的组织和服务工作。</w:t>
      </w:r>
    </w:p>
    <w:p w14:paraId="68ED64C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（6）负责县政协的宣传和机关职工的学习及精神文明创建工作。</w:t>
      </w:r>
    </w:p>
    <w:p w14:paraId="01ACCD5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（7）负责与县委、人大、政府有关部门及乡镇、政协各参加单位的联系、协调等工作；协调各专门委员会活动的组织工作。</w:t>
      </w:r>
    </w:p>
    <w:p w14:paraId="0873C2D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（8）负责县政协的对外联谊接待工作。</w:t>
      </w:r>
    </w:p>
    <w:p w14:paraId="6CEE0C0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（9）负责权限范围内的人事和机构编制管理工作。协同有关部门参与县政协委员的协商推荐、届中调整等具体工作。</w:t>
      </w:r>
    </w:p>
    <w:p w14:paraId="0B50EB0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480" w:firstLineChars="15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（10）负责县政协机关保密、文档和人民群众来信来访工作；负责县政协机关后勤、财务和离退休人员服务工作。</w:t>
      </w:r>
    </w:p>
    <w:p w14:paraId="63C50B0C">
      <w:pPr>
        <w:keepNext w:val="0"/>
        <w:keepLines w:val="0"/>
        <w:pageBreakBefore w:val="0"/>
        <w:widowControl/>
        <w:suppressLineNumbers w:val="0"/>
        <w:shd w:val="clear" w:fill="FFFFFF"/>
        <w:kinsoku/>
        <w:wordWrap/>
        <w:overflowPunct/>
        <w:topLinePunct w:val="0"/>
        <w:autoSpaceDE w:val="0"/>
        <w:autoSpaceDN/>
        <w:bidi w:val="0"/>
        <w:snapToGrid w:val="0"/>
        <w:spacing w:before="0" w:beforeAutospacing="0" w:after="0" w:afterAutospacing="0" w:line="576" w:lineRule="exact"/>
        <w:ind w:left="0" w:right="0" w:firstLine="320" w:firstLineChars="100"/>
        <w:jc w:val="left"/>
        <w:textAlignment w:val="auto"/>
        <w:rPr>
          <w:rFonts w:hint="eastAsia" w:ascii="仿宋_GB2312" w:eastAsia="仿宋_GB2312" w:cs="仿宋_GB2312"/>
          <w:kern w:val="0"/>
          <w:sz w:val="32"/>
          <w:szCs w:val="32"/>
          <w:shd w:val="clear" w:fill="FFFFFF"/>
        </w:rPr>
      </w:pPr>
      <w:r>
        <w:rPr>
          <w:rFonts w:hint="eastAsia" w:ascii="仿宋_GB2312" w:hAnsi="宋体" w:eastAsia="仿宋_GB2312" w:cs="仿宋_GB2312"/>
          <w:color w:val="333333"/>
          <w:kern w:val="0"/>
          <w:sz w:val="32"/>
          <w:szCs w:val="32"/>
          <w:shd w:val="clear" w:fill="FFFFFF"/>
          <w:lang w:val="en-US" w:eastAsia="zh-CN" w:bidi="ar"/>
        </w:rPr>
        <w:t>（11）承办县政协领导交办的其他工作。</w:t>
      </w:r>
    </w:p>
    <w:p w14:paraId="28618DF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eastAsia="楷体_GB2312" w:cs="楷体_GB2312"/>
          <w:b/>
          <w:kern w:val="0"/>
          <w:sz w:val="32"/>
          <w:szCs w:val="32"/>
        </w:rPr>
      </w:pPr>
      <w:r>
        <w:rPr>
          <w:rFonts w:hint="eastAsia" w:ascii="楷体_GB2312" w:hAnsi="宋体" w:eastAsia="楷体_GB2312" w:cs="楷体_GB2312"/>
          <w:b/>
          <w:kern w:val="0"/>
          <w:sz w:val="32"/>
          <w:szCs w:val="32"/>
          <w:lang w:val="en-US" w:eastAsia="zh-CN" w:bidi="ar"/>
        </w:rPr>
        <w:t>（二）2022年重点工作完成情况</w:t>
      </w:r>
    </w:p>
    <w:p w14:paraId="01A691FC">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spacing w:val="0"/>
          <w:kern w:val="10"/>
          <w:sz w:val="32"/>
          <w:szCs w:val="32"/>
        </w:rPr>
      </w:pPr>
      <w:r>
        <w:rPr>
          <w:rFonts w:hint="eastAsia" w:ascii="仿宋_GB2312" w:hAnsi="宋体" w:eastAsia="仿宋_GB2312" w:cs="仿宋_GB2312"/>
          <w:b/>
          <w:spacing w:val="0"/>
          <w:kern w:val="10"/>
          <w:sz w:val="32"/>
          <w:szCs w:val="32"/>
          <w:lang w:val="en-US" w:eastAsia="zh-CN" w:bidi="ar"/>
        </w:rPr>
        <w:t>1.视察调研高质量完成。</w:t>
      </w:r>
      <w:r>
        <w:rPr>
          <w:rFonts w:hint="eastAsia" w:ascii="仿宋_GB2312" w:hAnsi="宋体" w:eastAsia="仿宋_GB2312" w:cs="仿宋_GB2312"/>
          <w:spacing w:val="0"/>
          <w:kern w:val="10"/>
          <w:sz w:val="32"/>
          <w:szCs w:val="32"/>
          <w:lang w:val="en-US" w:eastAsia="zh-CN" w:bidi="ar"/>
        </w:rPr>
        <w:t>结合实际，精心选择了《松潘县现代农业产业园区建设及创建专题视察》《松潘县</w:t>
      </w:r>
      <w:r>
        <w:rPr>
          <w:rFonts w:hint="eastAsia" w:ascii="仿宋_GB2312" w:hAnsi="宋体" w:eastAsia="仿宋_GB2312" w:cs="仿宋_GB2312"/>
          <w:kern w:val="10"/>
          <w:sz w:val="32"/>
          <w:szCs w:val="32"/>
          <w:lang w:val="en-US" w:eastAsia="zh-CN" w:bidi="ar"/>
        </w:rPr>
        <w:t>政府“十大重点工程”专题视察》和</w:t>
      </w:r>
      <w:r>
        <w:rPr>
          <w:rFonts w:hint="eastAsia" w:ascii="仿宋_GB2312" w:hAnsi="宋体" w:eastAsia="仿宋_GB2312" w:cs="仿宋_GB2312"/>
          <w:spacing w:val="0"/>
          <w:kern w:val="10"/>
          <w:sz w:val="32"/>
          <w:szCs w:val="32"/>
          <w:lang w:val="en-US" w:eastAsia="zh-CN" w:bidi="ar"/>
        </w:rPr>
        <w:t>《松潘县重大传染病防治专题调研》《松潘县白羊生态产业片区建设专题调研》《松潘县</w:t>
      </w:r>
      <w:r>
        <w:rPr>
          <w:rFonts w:hint="eastAsia" w:ascii="仿宋_GB2312" w:hAnsi="宋体" w:eastAsia="仿宋_GB2312" w:cs="仿宋_GB2312"/>
          <w:kern w:val="10"/>
          <w:sz w:val="32"/>
          <w:szCs w:val="32"/>
          <w:lang w:val="en-US" w:eastAsia="zh-CN" w:bidi="ar"/>
        </w:rPr>
        <w:t>县域旅游景区扩景增容开发建设工作专题调研》《松潘县乡村国土空间规划情况专题调研》</w:t>
      </w:r>
      <w:r>
        <w:rPr>
          <w:rFonts w:hint="eastAsia" w:ascii="仿宋_GB2312" w:hAnsi="宋体" w:eastAsia="仿宋_GB2312" w:cs="仿宋_GB2312"/>
          <w:spacing w:val="0"/>
          <w:kern w:val="10"/>
          <w:sz w:val="32"/>
          <w:szCs w:val="32"/>
          <w:lang w:val="en-US" w:eastAsia="zh-CN" w:bidi="ar"/>
        </w:rPr>
        <w:t>等课题，邀请县政府参与，组织相关界别的政协委员、行业主管部门和涉及乡镇、群众参加，通过“看、查、听、访、问”等方式，深入实地开展视察调研，并召开座谈交流会，收集不同方面的意见建议，形成专题视察调研报告呈报县委县政府。同时，又自行加压，组织工作组开展了</w:t>
      </w:r>
      <w:r>
        <w:rPr>
          <w:rFonts w:hint="eastAsia" w:ascii="仿宋_GB2312" w:hAnsi="宋体" w:eastAsia="仿宋_GB2312" w:cs="仿宋_GB2312"/>
          <w:b w:val="0"/>
          <w:spacing w:val="0"/>
          <w:kern w:val="10"/>
          <w:sz w:val="32"/>
          <w:szCs w:val="32"/>
          <w:lang w:val="en-US" w:eastAsia="zh-CN" w:bidi="ar"/>
        </w:rPr>
        <w:t>《关于对松城片区进一步加强城镇管理的几点思考与对策》《松潘县川主寺片区旅游市场调查报</w:t>
      </w:r>
      <w:r>
        <w:rPr>
          <w:rFonts w:hint="eastAsia" w:ascii="仿宋_GB2312" w:hAnsi="宋体" w:eastAsia="仿宋_GB2312" w:cs="仿宋_GB2312"/>
          <w:spacing w:val="0"/>
          <w:kern w:val="10"/>
          <w:sz w:val="32"/>
          <w:szCs w:val="32"/>
          <w:lang w:val="en-US" w:eastAsia="zh-CN" w:bidi="ar"/>
        </w:rPr>
        <w:t>告》《松潘县青少年法治教育基地、新时代文明实践中心建设调研报告》等调研工作，提出可行性意见建议及对策30余条，得到县委县政府主要领导肯定和批示。</w:t>
      </w:r>
    </w:p>
    <w:p w14:paraId="495E7744">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b w:val="0"/>
          <w:spacing w:val="0"/>
          <w:kern w:val="10"/>
          <w:sz w:val="32"/>
          <w:szCs w:val="32"/>
        </w:rPr>
      </w:pPr>
      <w:r>
        <w:rPr>
          <w:rFonts w:hint="eastAsia" w:ascii="仿宋_GB2312" w:hAnsi="宋体" w:eastAsia="仿宋_GB2312" w:cs="仿宋_GB2312"/>
          <w:b/>
          <w:spacing w:val="0"/>
          <w:kern w:val="10"/>
          <w:sz w:val="32"/>
          <w:szCs w:val="32"/>
          <w:lang w:val="en-US" w:eastAsia="zh-CN" w:bidi="ar"/>
        </w:rPr>
        <w:t>2.提案办理成效显著。</w:t>
      </w:r>
      <w:r>
        <w:rPr>
          <w:rFonts w:hint="eastAsia" w:ascii="仿宋_GB2312" w:hAnsi="宋体" w:eastAsia="仿宋_GB2312" w:cs="仿宋_GB2312"/>
          <w:b w:val="0"/>
          <w:spacing w:val="0"/>
          <w:kern w:val="10"/>
          <w:sz w:val="32"/>
          <w:szCs w:val="32"/>
          <w:lang w:val="en-US" w:eastAsia="zh-CN" w:bidi="ar"/>
        </w:rPr>
        <w:t>始终把提案工作列为年度重点工作，十五届一次会议期间共收到提案116件，审查立案107件。高度重视政协提案工作，今年3月、5月分别召开了政协提案交办工作会议和提案办理协商座谈会，对提案进行集中交办，明确办理责任、办理任务和办理时限；并选取了4件提案作为重点提案进行督查办理，提出可行性意见建议14条。县政协积极搭建协商平台，构建政协、提案者与党政有关部门、承办单位四方联动的沟通协商机制，扎实推进提案办理工作实效。主席会议适时听取提案工作情况汇报，定期研究提案工作，主席会议成员、各专委会分别督办重点提案和重要提案，并在提高提案质量和办理质量方面多措并举，积极推动提案工作提质增效。</w:t>
      </w:r>
    </w:p>
    <w:p w14:paraId="3A5DC2D9">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b w:val="0"/>
          <w:spacing w:val="0"/>
          <w:kern w:val="10"/>
          <w:sz w:val="32"/>
          <w:szCs w:val="32"/>
        </w:rPr>
      </w:pPr>
      <w:r>
        <w:rPr>
          <w:rFonts w:hint="eastAsia" w:ascii="仿宋_GB2312" w:hAnsi="宋体" w:eastAsia="仿宋_GB2312" w:cs="仿宋_GB2312"/>
          <w:b/>
          <w:spacing w:val="0"/>
          <w:kern w:val="10"/>
          <w:sz w:val="32"/>
          <w:szCs w:val="32"/>
          <w:lang w:val="en-US" w:eastAsia="zh-CN" w:bidi="ar"/>
        </w:rPr>
        <w:t>3.协商平台作用有效发挥。</w:t>
      </w:r>
      <w:r>
        <w:rPr>
          <w:rFonts w:hint="eastAsia" w:ascii="仿宋_GB2312" w:hAnsi="宋体" w:eastAsia="仿宋_GB2312" w:cs="仿宋_GB2312"/>
          <w:b w:val="0"/>
          <w:spacing w:val="0"/>
          <w:kern w:val="10"/>
          <w:sz w:val="32"/>
          <w:szCs w:val="32"/>
          <w:lang w:val="en-US" w:eastAsia="zh-CN" w:bidi="ar"/>
        </w:rPr>
        <w:t>把协商作为主责主业，</w:t>
      </w:r>
      <w:r>
        <w:rPr>
          <w:rFonts w:hint="eastAsia" w:ascii="仿宋_GB2312" w:hAnsi="宋体" w:eastAsia="仿宋_GB2312" w:cs="仿宋_GB2312"/>
          <w:caps w:val="0"/>
          <w:spacing w:val="0"/>
          <w:kern w:val="10"/>
          <w:sz w:val="32"/>
          <w:szCs w:val="32"/>
          <w:lang w:val="en-US" w:eastAsia="zh-CN" w:bidi="ar"/>
        </w:rPr>
        <w:t>全面对标对表，精心培育打造“松州议事会</w:t>
      </w:r>
      <w:r>
        <w:rPr>
          <w:rFonts w:hint="eastAsia" w:ascii="仿宋_GB2312" w:hAnsi="宋体" w:eastAsia="仿宋_GB2312" w:cs="仿宋_GB2312"/>
          <w:i w:val="0"/>
          <w:caps w:val="0"/>
          <w:spacing w:val="0"/>
          <w:kern w:val="10"/>
          <w:sz w:val="32"/>
          <w:szCs w:val="32"/>
          <w:shd w:val="clear" w:fill="FFFFFF"/>
          <w:lang w:val="en-US" w:eastAsia="zh-CN" w:bidi="ar"/>
        </w:rPr>
        <w:t>·</w:t>
      </w:r>
      <w:r>
        <w:rPr>
          <w:rFonts w:hint="eastAsia" w:ascii="仿宋_GB2312" w:hAnsi="宋体" w:eastAsia="仿宋_GB2312" w:cs="仿宋_GB2312"/>
          <w:caps w:val="0"/>
          <w:spacing w:val="0"/>
          <w:kern w:val="10"/>
          <w:sz w:val="32"/>
          <w:szCs w:val="32"/>
          <w:lang w:val="en-US" w:eastAsia="zh-CN" w:bidi="ar"/>
        </w:rPr>
        <w:t>有事来协商”履职平台</w:t>
      </w:r>
      <w:r>
        <w:rPr>
          <w:rFonts w:hint="eastAsia" w:ascii="仿宋_GB2312" w:hAnsi="宋体" w:eastAsia="仿宋_GB2312" w:cs="仿宋_GB2312"/>
          <w:b w:val="0"/>
          <w:spacing w:val="0"/>
          <w:kern w:val="10"/>
          <w:sz w:val="32"/>
          <w:szCs w:val="32"/>
          <w:lang w:val="en-US" w:eastAsia="zh-CN" w:bidi="ar"/>
        </w:rPr>
        <w:t>设，健全完善工作机制，聚焦党委政府工作的重点、群众生产生活的难点、基层治理的短板选定协商议题，开展小微协商活动，补齐基层协商弱项短板，以“小”协商，发挥“大”作用。今年先后</w:t>
      </w:r>
      <w:r>
        <w:rPr>
          <w:rFonts w:hint="eastAsia" w:ascii="仿宋_GB2312" w:hAnsi="宋体" w:eastAsia="仿宋_GB2312" w:cs="仿宋_GB2312"/>
          <w:spacing w:val="0"/>
          <w:kern w:val="10"/>
          <w:sz w:val="32"/>
          <w:szCs w:val="32"/>
          <w:lang w:val="en-US" w:eastAsia="zh-CN" w:bidi="ar"/>
        </w:rPr>
        <w:t>开展了“解决农用动力电源</w:t>
      </w:r>
      <w:r>
        <w:rPr>
          <w:rFonts w:hint="eastAsia" w:ascii="仿宋_GB2312" w:hAnsi="宋体" w:eastAsia="仿宋_GB2312" w:cs="仿宋_GB2312"/>
          <w:kern w:val="10"/>
          <w:sz w:val="32"/>
          <w:szCs w:val="32"/>
          <w:lang w:val="en-US" w:eastAsia="zh-CN" w:bidi="ar"/>
        </w:rPr>
        <w:t>·</w:t>
      </w:r>
      <w:r>
        <w:rPr>
          <w:rFonts w:hint="eastAsia" w:ascii="仿宋_GB2312" w:hAnsi="宋体" w:eastAsia="仿宋_GB2312" w:cs="仿宋_GB2312"/>
          <w:spacing w:val="0"/>
          <w:kern w:val="10"/>
          <w:sz w:val="32"/>
          <w:szCs w:val="32"/>
          <w:lang w:val="en-US" w:eastAsia="zh-CN" w:bidi="ar"/>
        </w:rPr>
        <w:t>大力助推乡村振兴”“</w:t>
      </w:r>
      <w:r>
        <w:rPr>
          <w:rFonts w:hint="eastAsia" w:ascii="仿宋_GB2312" w:hAnsi="宋体" w:eastAsia="仿宋_GB2312" w:cs="仿宋_GB2312"/>
          <w:kern w:val="10"/>
          <w:sz w:val="32"/>
          <w:szCs w:val="32"/>
          <w:lang w:val="en-US" w:eastAsia="zh-CN" w:bidi="ar"/>
        </w:rPr>
        <w:t>稳经济·促就业·保民生</w:t>
      </w:r>
      <w:r>
        <w:rPr>
          <w:rFonts w:hint="eastAsia" w:ascii="仿宋_GB2312" w:hAnsi="宋体" w:eastAsia="仿宋_GB2312" w:cs="仿宋_GB2312"/>
          <w:spacing w:val="0"/>
          <w:kern w:val="10"/>
          <w:sz w:val="32"/>
          <w:szCs w:val="32"/>
          <w:lang w:val="en-US" w:eastAsia="zh-CN" w:bidi="ar"/>
        </w:rPr>
        <w:t>”“规范电力通信网络设施</w:t>
      </w:r>
      <w:r>
        <w:rPr>
          <w:rFonts w:hint="eastAsia" w:ascii="仿宋_GB2312" w:hAnsi="宋体" w:eastAsia="仿宋_GB2312" w:cs="仿宋_GB2312"/>
          <w:kern w:val="10"/>
          <w:sz w:val="32"/>
          <w:szCs w:val="32"/>
          <w:lang w:val="en-US" w:eastAsia="zh-CN" w:bidi="ar"/>
        </w:rPr>
        <w:t>·</w:t>
      </w:r>
      <w:r>
        <w:rPr>
          <w:rFonts w:hint="eastAsia" w:ascii="仿宋_GB2312" w:hAnsi="宋体" w:eastAsia="仿宋_GB2312" w:cs="仿宋_GB2312"/>
          <w:i w:val="0"/>
          <w:caps w:val="0"/>
          <w:spacing w:val="0"/>
          <w:kern w:val="10"/>
          <w:sz w:val="32"/>
          <w:szCs w:val="32"/>
          <w:shd w:val="clear" w:fill="FFFFFF"/>
          <w:lang w:val="en-US" w:eastAsia="zh-CN" w:bidi="ar"/>
        </w:rPr>
        <w:t>有序有效助推乡村振兴</w:t>
      </w:r>
      <w:r>
        <w:rPr>
          <w:rFonts w:hint="eastAsia" w:ascii="仿宋_GB2312" w:hAnsi="宋体" w:eastAsia="仿宋_GB2312" w:cs="仿宋_GB2312"/>
          <w:spacing w:val="0"/>
          <w:kern w:val="10"/>
          <w:sz w:val="32"/>
          <w:szCs w:val="32"/>
          <w:lang w:val="en-US" w:eastAsia="zh-CN" w:bidi="ar"/>
        </w:rPr>
        <w:t>”等4次小微协商活动，邀请县政府、县级相关部门、乡镇和部分政协委员、群众代表等全程参与协商，</w:t>
      </w:r>
      <w:r>
        <w:rPr>
          <w:rFonts w:hint="eastAsia" w:ascii="仿宋_GB2312" w:hAnsi="宋体" w:eastAsia="仿宋_GB2312" w:cs="仿宋_GB2312"/>
          <w:b w:val="0"/>
          <w:i w:val="0"/>
          <w:kern w:val="10"/>
          <w:sz w:val="32"/>
          <w:szCs w:val="32"/>
          <w:lang w:val="en-US" w:eastAsia="zh-CN" w:bidi="ar"/>
        </w:rPr>
        <w:t>提出各类意见建议21条，解决17条。</w:t>
      </w:r>
      <w:r>
        <w:rPr>
          <w:rFonts w:hint="eastAsia" w:ascii="仿宋_GB2312" w:hAnsi="宋体" w:eastAsia="仿宋_GB2312" w:cs="仿宋_GB2312"/>
          <w:spacing w:val="0"/>
          <w:kern w:val="10"/>
          <w:sz w:val="32"/>
          <w:szCs w:val="32"/>
          <w:lang w:val="en-US" w:eastAsia="zh-CN" w:bidi="ar"/>
        </w:rPr>
        <w:t>并跟踪督办2021年小微协商活动，督促活动成果转化。</w:t>
      </w:r>
      <w:r>
        <w:rPr>
          <w:rFonts w:hint="eastAsia" w:ascii="仿宋_GB2312" w:hAnsi="宋体" w:eastAsia="仿宋_GB2312" w:cs="仿宋_GB2312"/>
          <w:b w:val="0"/>
          <w:spacing w:val="0"/>
          <w:kern w:val="10"/>
          <w:sz w:val="32"/>
          <w:szCs w:val="32"/>
          <w:lang w:val="en-US" w:eastAsia="zh-CN" w:bidi="ar"/>
        </w:rPr>
        <w:t>协商活动接地气、合民意、反响好，</w:t>
      </w:r>
      <w:r>
        <w:rPr>
          <w:rFonts w:hint="eastAsia" w:ascii="仿宋_GB2312" w:hAnsi="宋体" w:eastAsia="仿宋_GB2312" w:cs="仿宋_GB2312"/>
          <w:i w:val="0"/>
          <w:caps w:val="0"/>
          <w:spacing w:val="0"/>
          <w:kern w:val="10"/>
          <w:sz w:val="32"/>
          <w:szCs w:val="32"/>
          <w:shd w:val="clear" w:fill="FFFFFF"/>
          <w:lang w:val="en-US" w:eastAsia="zh-CN" w:bidi="ar"/>
        </w:rPr>
        <w:t>切实解决了广大群众关心关注的热点难点</w:t>
      </w:r>
      <w:r>
        <w:rPr>
          <w:rFonts w:hint="eastAsia" w:ascii="仿宋_GB2312" w:hAnsi="宋体" w:eastAsia="仿宋_GB2312" w:cs="仿宋_GB2312"/>
          <w:b w:val="0"/>
          <w:spacing w:val="0"/>
          <w:kern w:val="10"/>
          <w:sz w:val="32"/>
          <w:szCs w:val="32"/>
          <w:lang w:val="en-US" w:eastAsia="zh-CN" w:bidi="ar"/>
        </w:rPr>
        <w:t>问题，推动政协协商与基层协商有效衔接，同社会治理、乡村振兴有机结合。</w:t>
      </w:r>
    </w:p>
    <w:p w14:paraId="3409E654">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spacing w:val="0"/>
          <w:kern w:val="10"/>
          <w:sz w:val="32"/>
          <w:szCs w:val="32"/>
        </w:rPr>
      </w:pPr>
      <w:r>
        <w:rPr>
          <w:rFonts w:hint="eastAsia" w:ascii="仿宋_GB2312" w:hAnsi="宋体" w:eastAsia="仿宋_GB2312" w:cs="仿宋_GB2312"/>
          <w:b/>
          <w:spacing w:val="0"/>
          <w:kern w:val="10"/>
          <w:sz w:val="32"/>
          <w:szCs w:val="32"/>
          <w:lang w:val="en-US" w:eastAsia="zh-CN" w:bidi="ar"/>
        </w:rPr>
        <w:t>4.委员培训圆满完成。</w:t>
      </w:r>
      <w:r>
        <w:rPr>
          <w:rFonts w:hint="eastAsia" w:ascii="仿宋_GB2312" w:hAnsi="宋体" w:eastAsia="仿宋_GB2312" w:cs="仿宋_GB2312"/>
          <w:spacing w:val="0"/>
          <w:kern w:val="10"/>
          <w:sz w:val="32"/>
          <w:szCs w:val="32"/>
          <w:lang w:val="en-US" w:eastAsia="zh-CN" w:bidi="ar"/>
        </w:rPr>
        <w:t>4月中旬，举办了为期三天的政协第十五届松潘县委员会2022年度委员培训班，县政协委员、驻松州政协委员和17个乡镇联系政协工作的副书记、政协机关干部职工约170人参训。7月中旬，组织50名政协委员赴浙江开展为期一周的履职提能培训。组织政协委员和机关干部参加全国政协第139期线上业务知识培训。通过培训，掀起了新一届政协加强学习研究的热潮，为委员学习人民政协理论和业务知识起到了引路的作用。增强了政协委员的荣誉感以及履行委员职责的责任感，进一步理解了人民政协开展工作的原则、方式和途径，对委员履职具有很强的指导意义。培训期间，举办了丰富多彩的政协委员文艺晚会。</w:t>
      </w:r>
    </w:p>
    <w:p w14:paraId="4DE9A0BE">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spacing w:val="0"/>
          <w:kern w:val="10"/>
          <w:sz w:val="32"/>
          <w:szCs w:val="32"/>
        </w:rPr>
      </w:pPr>
      <w:r>
        <w:rPr>
          <w:rFonts w:hint="eastAsia" w:ascii="仿宋_GB2312" w:hAnsi="宋体" w:eastAsia="仿宋_GB2312" w:cs="仿宋_GB2312"/>
          <w:b/>
          <w:spacing w:val="0"/>
          <w:kern w:val="10"/>
          <w:sz w:val="32"/>
          <w:szCs w:val="32"/>
          <w:lang w:val="en-US" w:eastAsia="zh-CN" w:bidi="ar"/>
        </w:rPr>
        <w:t>5.“双助”活动推动有力。</w:t>
      </w:r>
      <w:r>
        <w:rPr>
          <w:rFonts w:hint="eastAsia" w:ascii="仿宋_GB2312" w:hAnsi="宋体" w:eastAsia="仿宋_GB2312" w:cs="仿宋_GB2312"/>
          <w:i w:val="0"/>
          <w:caps w:val="0"/>
          <w:spacing w:val="0"/>
          <w:kern w:val="10"/>
          <w:sz w:val="32"/>
          <w:szCs w:val="32"/>
          <w:shd w:val="clear" w:fill="FFFFFF"/>
          <w:lang w:val="en-US" w:eastAsia="zh-CN" w:bidi="ar"/>
        </w:rPr>
        <w:t>结合实际制定了《松潘县政协“双助”活动实施方案》，主席会成员分别联系1个片区、4个乡镇，</w:t>
      </w:r>
      <w:r>
        <w:rPr>
          <w:rFonts w:hint="eastAsia" w:ascii="仿宋_GB2312" w:hAnsi="宋体" w:eastAsia="仿宋_GB2312" w:cs="仿宋_GB2312"/>
          <w:spacing w:val="0"/>
          <w:kern w:val="10"/>
          <w:sz w:val="32"/>
          <w:szCs w:val="32"/>
          <w:lang w:val="en-US" w:eastAsia="zh-CN" w:bidi="ar"/>
        </w:rPr>
        <w:t>131名政协委员结对帮扶264名困难农户，通过政策宣传、技术指导、劳务输出、困难救助等方式，助推了项目资金筹备、产业结构调整、技能技术培训、劳动就业务工等致富增收门路。4月19日，县政协召开了“</w:t>
      </w:r>
      <w:r>
        <w:rPr>
          <w:rFonts w:hint="eastAsia" w:ascii="仿宋_GB2312" w:hAnsi="宋体" w:eastAsia="仿宋_GB2312" w:cs="仿宋_GB2312"/>
          <w:i w:val="0"/>
          <w:caps w:val="0"/>
          <w:spacing w:val="0"/>
          <w:kern w:val="10"/>
          <w:sz w:val="32"/>
          <w:szCs w:val="32"/>
          <w:shd w:val="clear" w:fill="FFFFFF"/>
          <w:lang w:val="en-US" w:eastAsia="zh-CN" w:bidi="ar"/>
        </w:rPr>
        <w:t>助力巩固脱贫·助推乡村振兴</w:t>
      </w:r>
      <w:r>
        <w:rPr>
          <w:rFonts w:hint="eastAsia" w:ascii="仿宋_GB2312" w:hAnsi="宋体" w:eastAsia="仿宋_GB2312" w:cs="仿宋_GB2312"/>
          <w:spacing w:val="0"/>
          <w:kern w:val="10"/>
          <w:sz w:val="32"/>
          <w:szCs w:val="32"/>
          <w:lang w:val="en-US" w:eastAsia="zh-CN" w:bidi="ar"/>
        </w:rPr>
        <w:t>”</w:t>
      </w:r>
      <w:r>
        <w:rPr>
          <w:rFonts w:hint="eastAsia" w:ascii="仿宋_GB2312" w:hAnsi="宋体" w:eastAsia="仿宋_GB2312" w:cs="仿宋_GB2312"/>
          <w:i w:val="0"/>
          <w:caps w:val="0"/>
          <w:spacing w:val="0"/>
          <w:kern w:val="10"/>
          <w:sz w:val="32"/>
          <w:szCs w:val="32"/>
          <w:shd w:val="clear" w:fill="FFFFFF"/>
          <w:lang w:val="en-US" w:eastAsia="zh-CN" w:bidi="ar"/>
        </w:rPr>
        <w:t>专项活动推进会，详细部署了“双助”活动的工作任务、推进时段、达到效果。会上对工作成绩突出的3名政协委员进行</w:t>
      </w:r>
      <w:r>
        <w:rPr>
          <w:rFonts w:hint="eastAsia" w:ascii="仿宋_GB2312" w:hAnsi="宋体" w:eastAsia="仿宋_GB2312" w:cs="仿宋_GB2312"/>
          <w:spacing w:val="0"/>
          <w:kern w:val="10"/>
          <w:sz w:val="32"/>
          <w:szCs w:val="32"/>
          <w:lang w:val="en-US" w:eastAsia="zh-CN" w:bidi="ar"/>
        </w:rPr>
        <w:t>了表扬和授牌。广大委员充分发挥个人优势，分别在各行各业，扎实开展“我为群众办实事”和“五个一”活动等，体现委员担当、彰显委员作用。比如：委员泽仁周大力调整农业产业结构，种植反季节蔬菜；</w:t>
      </w:r>
      <w:r>
        <w:rPr>
          <w:rFonts w:hint="eastAsia" w:ascii="仿宋_GB2312" w:hAnsi="宋体" w:eastAsia="仿宋_GB2312" w:cs="仿宋_GB2312"/>
          <w:b w:val="0"/>
          <w:i w:val="0"/>
          <w:caps w:val="0"/>
          <w:spacing w:val="0"/>
          <w:kern w:val="10"/>
          <w:sz w:val="32"/>
          <w:szCs w:val="32"/>
          <w:shd w:val="clear" w:fill="FFFFFF"/>
          <w:lang w:val="en-US" w:eastAsia="zh-CN" w:bidi="ar"/>
        </w:rPr>
        <w:t>委员周晋近大胆探索，开创乡村民宿旅游；委员葛玲发挥党建引领作用，成立“农民合作社+脱贫户”；电商达人、致富奔康的残疾委员何顺权；委员罗吾拥扎为抗击疫情捐款捐物；马宗权抗震救灾走在前……</w:t>
      </w:r>
      <w:r>
        <w:rPr>
          <w:rFonts w:hint="eastAsia" w:ascii="仿宋_GB2312" w:hAnsi="宋体" w:eastAsia="仿宋_GB2312" w:cs="仿宋_GB2312"/>
          <w:spacing w:val="0"/>
          <w:kern w:val="10"/>
          <w:sz w:val="32"/>
          <w:szCs w:val="32"/>
          <w:lang w:val="en-US" w:eastAsia="zh-CN" w:bidi="ar"/>
        </w:rPr>
        <w:t>同时，积极鼓励委员助销“白羊沁芽”，增加农民收入。并通过松潘电视台、微松潘和政协微信公众号对委员们的先进事迹、成功经验和有效做法进行了大力宣传，激发参与热情、营造良好氛围，扩大委员影响、树立政协形象。</w:t>
      </w:r>
    </w:p>
    <w:p w14:paraId="6FB7879F">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i w:val="0"/>
          <w:caps w:val="0"/>
          <w:spacing w:val="0"/>
          <w:kern w:val="10"/>
          <w:sz w:val="32"/>
          <w:szCs w:val="32"/>
          <w:shd w:val="clear" w:fill="FFFFFF"/>
        </w:rPr>
      </w:pPr>
      <w:r>
        <w:rPr>
          <w:rFonts w:hint="eastAsia" w:ascii="仿宋_GB2312" w:hAnsi="宋体" w:eastAsia="仿宋_GB2312" w:cs="仿宋_GB2312"/>
          <w:b/>
          <w:spacing w:val="0"/>
          <w:kern w:val="10"/>
          <w:sz w:val="32"/>
          <w:szCs w:val="32"/>
          <w:lang w:val="en-US" w:eastAsia="zh-CN" w:bidi="ar"/>
        </w:rPr>
        <w:t>6.民主监督实效提升。</w:t>
      </w:r>
      <w:r>
        <w:rPr>
          <w:rFonts w:hint="eastAsia" w:ascii="仿宋_GB2312" w:hAnsi="宋体" w:eastAsia="仿宋_GB2312" w:cs="仿宋_GB2312"/>
          <w:spacing w:val="0"/>
          <w:kern w:val="10"/>
          <w:sz w:val="32"/>
          <w:szCs w:val="32"/>
          <w:lang w:val="en-US" w:eastAsia="zh-CN" w:bidi="ar"/>
        </w:rPr>
        <w:t>全年来，常委会分别听取了县人民政府、县人民法院、县人民检察院半年工作情况通报，听取了县政府关于2022年上半年国民经济社会运行情况通报；开展了4次专题调研、2次专题视察，组织80余名政协委员分别参与全县基础设施建设、产业发展、乡村振兴等重点项目进行民主监督，确保重点工作按时按质推进。组织30余名政协委员分别参与公益诉讼、基层民事纠纷调解、教育卫生社会事业和生态环境保护公益事业开放等监督活动，不断推动建言献策成果落地。在督办、视察、调研过程中，坚持双向发力，注重收集不同方面的意见建议20余条，形成各类视察调研报告9篇，向微松潘和省州政</w:t>
      </w:r>
      <w:r>
        <w:rPr>
          <w:rFonts w:hint="eastAsia" w:ascii="仿宋_GB2312" w:hAnsi="宋体" w:eastAsia="仿宋_GB2312" w:cs="仿宋_GB2312"/>
          <w:i w:val="0"/>
          <w:caps w:val="0"/>
          <w:spacing w:val="0"/>
          <w:kern w:val="10"/>
          <w:sz w:val="32"/>
          <w:szCs w:val="32"/>
          <w:shd w:val="clear" w:fill="FFFFFF"/>
          <w:lang w:val="en-US" w:eastAsia="zh-CN" w:bidi="ar"/>
        </w:rPr>
        <w:t>协系统报送信息工作简报58期。</w:t>
      </w:r>
    </w:p>
    <w:p w14:paraId="06B3071A">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leftChars="0" w:right="0" w:firstLine="643" w:firstLineChars="200"/>
        <w:jc w:val="left"/>
        <w:textAlignment w:val="auto"/>
        <w:rPr>
          <w:rFonts w:hint="eastAsia" w:ascii="仿宋_GB2312" w:eastAsia="仿宋_GB2312" w:cs="仿宋_GB2312"/>
          <w:kern w:val="10"/>
          <w:sz w:val="32"/>
          <w:szCs w:val="32"/>
        </w:rPr>
      </w:pPr>
      <w:r>
        <w:rPr>
          <w:rFonts w:hint="eastAsia" w:ascii="仿宋_GB2312" w:hAnsi="宋体" w:eastAsia="仿宋_GB2312" w:cs="仿宋_GB2312"/>
          <w:b/>
          <w:spacing w:val="0"/>
          <w:kern w:val="10"/>
          <w:sz w:val="32"/>
          <w:szCs w:val="32"/>
          <w:lang w:val="en-US" w:eastAsia="zh-CN" w:bidi="ar"/>
        </w:rPr>
        <w:t>7.“书香政协”建设有力。</w:t>
      </w:r>
      <w:r>
        <w:rPr>
          <w:rFonts w:hint="eastAsia" w:ascii="仿宋_GB2312" w:hAnsi="宋体" w:eastAsia="仿宋_GB2312" w:cs="仿宋_GB2312"/>
          <w:spacing w:val="0"/>
          <w:kern w:val="10"/>
          <w:sz w:val="32"/>
          <w:szCs w:val="32"/>
          <w:lang w:val="en-US" w:eastAsia="zh-CN" w:bidi="ar"/>
        </w:rPr>
        <w:t>通过走访收集、座谈征集、口述记</w:t>
      </w:r>
      <w:r>
        <w:rPr>
          <w:rFonts w:hint="eastAsia" w:ascii="仿宋_GB2312" w:hAnsi="宋体" w:eastAsia="仿宋_GB2312" w:cs="仿宋_GB2312"/>
          <w:kern w:val="10"/>
          <w:sz w:val="32"/>
          <w:szCs w:val="32"/>
          <w:lang w:val="en-US" w:eastAsia="zh-CN" w:bidi="ar"/>
        </w:rPr>
        <w:t>录、档案查阅等方式，大量收集历年来松潘县碑文碑刻碑记等资料，组织工作组扎实编印《松潘县碑刻资料辑录详解》文史资料第六辑，并印刷出版。主席会成员分别参加县委和政协机关举办的“七一”朗诵诗歌活动。同时，组织广大委员多次参与县政协、宣传部、文旅等单位举办的读书、书画活动，畅谈党的二十大取得丰硕成绩的感想和心声。</w:t>
      </w:r>
    </w:p>
    <w:p w14:paraId="5C28F19F">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val="0"/>
          <w:spacing w:val="0"/>
          <w:kern w:val="10"/>
          <w:sz w:val="32"/>
          <w:szCs w:val="32"/>
        </w:rPr>
      </w:pPr>
      <w:r>
        <w:rPr>
          <w:rFonts w:hint="eastAsia" w:ascii="仿宋_GB2312" w:hAnsi="宋体" w:eastAsia="仿宋_GB2312" w:cs="仿宋_GB2312"/>
          <w:b/>
          <w:spacing w:val="0"/>
          <w:kern w:val="10"/>
          <w:sz w:val="32"/>
          <w:szCs w:val="32"/>
          <w:lang w:val="en-US" w:eastAsia="zh-CN" w:bidi="ar"/>
        </w:rPr>
        <w:t>8.我们紧紧围绕县委县政府工作重点，坚持不畏困难，勇于承担，主动作为，在重点工作中，以实际行动彰显了政协担当。</w:t>
      </w:r>
      <w:r>
        <w:rPr>
          <w:rFonts w:hint="eastAsia" w:ascii="仿宋_GB2312" w:hAnsi="宋体" w:eastAsia="仿宋_GB2312" w:cs="仿宋_GB2312"/>
          <w:b/>
          <w:spacing w:val="0"/>
          <w:kern w:val="10"/>
          <w:sz w:val="32"/>
          <w:szCs w:val="32"/>
          <w:shd w:val="clear" w:fill="FFFFFF"/>
          <w:lang w:val="en-US" w:eastAsia="zh-CN" w:bidi="ar"/>
        </w:rPr>
        <w:t>一是主动参与重点工作督查。</w:t>
      </w:r>
      <w:r>
        <w:rPr>
          <w:rFonts w:hint="eastAsia" w:ascii="仿宋_GB2312" w:hAnsi="宋体" w:eastAsia="仿宋_GB2312" w:cs="仿宋_GB2312"/>
          <w:spacing w:val="0"/>
          <w:kern w:val="10"/>
          <w:sz w:val="32"/>
          <w:szCs w:val="32"/>
          <w:shd w:val="clear" w:fill="FFFFFF"/>
          <w:lang w:val="en-US" w:eastAsia="zh-CN" w:bidi="ar"/>
        </w:rPr>
        <w:t>根据县委工作安排，3名副主席分别带队，3名县级干部积极参与，</w:t>
      </w:r>
      <w:r>
        <w:rPr>
          <w:rFonts w:hint="eastAsia" w:ascii="仿宋_GB2312" w:hAnsi="宋体" w:eastAsia="仿宋_GB2312" w:cs="仿宋_GB2312"/>
          <w:spacing w:val="0"/>
          <w:kern w:val="10"/>
          <w:sz w:val="32"/>
          <w:szCs w:val="32"/>
          <w:lang w:val="en-US" w:eastAsia="zh-CN" w:bidi="ar"/>
        </w:rPr>
        <w:t>会同县纪委监委、县委组织部、县目督中心和有关部门同志组成综合督查组，深入全县17个乡镇、村（社区）对农村土地撂荒、基础设施建设、项目推进、常态化疫情防控、“两联一进”群众工作全覆盖、乡村振兴等重点工作的落实和推进情况，进行了3次专项督导检查，分别形成了《综合督查工作报告》《关于社情民意收集情况的报告》，将收集的意见建议、民众诉求、</w:t>
      </w:r>
      <w:r>
        <w:rPr>
          <w:rFonts w:hint="eastAsia" w:ascii="仿宋_GB2312" w:hAnsi="宋体" w:eastAsia="仿宋_GB2312" w:cs="仿宋_GB2312"/>
          <w:i w:val="0"/>
          <w:caps w:val="0"/>
          <w:spacing w:val="0"/>
          <w:kern w:val="10"/>
          <w:sz w:val="32"/>
          <w:szCs w:val="32"/>
          <w:lang w:val="en-US" w:eastAsia="zh-CN" w:bidi="ar"/>
        </w:rPr>
        <w:t>社情民意等形成专报呈报县委县政府决策，提供参考。</w:t>
      </w:r>
      <w:r>
        <w:rPr>
          <w:rFonts w:hint="eastAsia" w:ascii="仿宋_GB2312" w:hAnsi="宋体" w:eastAsia="仿宋_GB2312" w:cs="仿宋_GB2312"/>
          <w:b/>
          <w:spacing w:val="0"/>
          <w:kern w:val="10"/>
          <w:sz w:val="32"/>
          <w:szCs w:val="32"/>
          <w:shd w:val="clear" w:fill="FFFFFF"/>
          <w:lang w:val="en-US" w:eastAsia="zh-CN" w:bidi="ar"/>
        </w:rPr>
        <w:t>二是积极助推重大项目建设。</w:t>
      </w:r>
      <w:r>
        <w:rPr>
          <w:rFonts w:hint="eastAsia" w:ascii="仿宋_GB2312" w:hAnsi="宋体" w:eastAsia="仿宋_GB2312" w:cs="仿宋_GB2312"/>
          <w:i w:val="0"/>
          <w:caps w:val="0"/>
          <w:spacing w:val="0"/>
          <w:kern w:val="10"/>
          <w:sz w:val="32"/>
          <w:szCs w:val="32"/>
          <w:lang w:val="en-US" w:eastAsia="zh-CN" w:bidi="ar"/>
        </w:rPr>
        <w:t>按照县委安排，由主席牵头，推动开展天府旅游名</w:t>
      </w:r>
      <w:r>
        <w:rPr>
          <w:rFonts w:hint="eastAsia" w:ascii="仿宋_GB2312" w:hAnsi="宋体" w:eastAsia="仿宋_GB2312" w:cs="仿宋_GB2312"/>
          <w:b w:val="0"/>
          <w:spacing w:val="0"/>
          <w:kern w:val="10"/>
          <w:sz w:val="32"/>
          <w:szCs w:val="32"/>
          <w:lang w:val="en-US" w:eastAsia="zh-CN" w:bidi="ar"/>
        </w:rPr>
        <w:t>县创建、古城文化挖掘与打造、第六届花灯会筹备和燕云乡牦牛标准化养殖基地等重大项目工作，</w:t>
      </w:r>
      <w:r>
        <w:rPr>
          <w:rFonts w:hint="eastAsia" w:ascii="仿宋_GB2312" w:hAnsi="宋体" w:eastAsia="仿宋_GB2312" w:cs="仿宋_GB2312"/>
          <w:i w:val="0"/>
          <w:caps w:val="0"/>
          <w:spacing w:val="0"/>
          <w:kern w:val="10"/>
          <w:sz w:val="32"/>
          <w:szCs w:val="32"/>
          <w:lang w:val="en-US" w:eastAsia="zh-CN" w:bidi="ar"/>
        </w:rPr>
        <w:t>主席会成员主动融入</w:t>
      </w:r>
      <w:r>
        <w:rPr>
          <w:rFonts w:hint="eastAsia" w:ascii="仿宋_GB2312" w:hAnsi="宋体" w:eastAsia="仿宋_GB2312" w:cs="仿宋_GB2312"/>
          <w:b w:val="0"/>
          <w:spacing w:val="0"/>
          <w:kern w:val="10"/>
          <w:sz w:val="32"/>
          <w:szCs w:val="32"/>
          <w:lang w:val="en-US" w:eastAsia="zh-CN" w:bidi="ar"/>
        </w:rPr>
        <w:t>全国民族团结示范申创、国家历史文化名城申创等重大项目建设工作，主动参与脱贫攻坚有效衔接乡村振兴、基础设施建设、生态环境保护和基层社会治理等重点工作。积极参与全县科级领导班子和干部队伍建设大调研工作和教育系统干部队伍调研工作，为县委提高选人用人科学化制度化规范化水平、着力建设忠诚干净担当高素质干部队伍献计献策，积极贡献政协力量。</w:t>
      </w:r>
      <w:r>
        <w:rPr>
          <w:rFonts w:hint="eastAsia" w:ascii="仿宋_GB2312" w:hAnsi="宋体" w:eastAsia="仿宋_GB2312" w:cs="仿宋_GB2312"/>
          <w:b/>
          <w:spacing w:val="0"/>
          <w:kern w:val="10"/>
          <w:sz w:val="32"/>
          <w:szCs w:val="32"/>
          <w:shd w:val="clear" w:fill="FFFFFF"/>
          <w:lang w:val="en-US" w:eastAsia="zh-CN" w:bidi="ar"/>
        </w:rPr>
        <w:t>三是深入开展群众工作。</w:t>
      </w:r>
      <w:r>
        <w:rPr>
          <w:rFonts w:hint="eastAsia" w:ascii="仿宋_GB2312" w:hAnsi="宋体" w:eastAsia="仿宋_GB2312" w:cs="仿宋_GB2312"/>
          <w:i w:val="0"/>
          <w:caps w:val="0"/>
          <w:spacing w:val="0"/>
          <w:kern w:val="10"/>
          <w:sz w:val="32"/>
          <w:szCs w:val="32"/>
          <w:lang w:val="en-US" w:eastAsia="zh-CN" w:bidi="ar"/>
        </w:rPr>
        <w:t>县政协积极响应，主席会成员主动及时深入到西部红色农牧片区、小姓、镇坪、进安和川主寺等乡镇，机关干部经常深入进安镇4个村16户脱贫户和32户一般户，扎实推进</w:t>
      </w:r>
      <w:r>
        <w:rPr>
          <w:rFonts w:hint="eastAsia" w:ascii="仿宋_GB2312" w:hAnsi="宋体" w:eastAsia="仿宋_GB2312" w:cs="仿宋_GB2312"/>
          <w:b w:val="0"/>
          <w:spacing w:val="0"/>
          <w:kern w:val="10"/>
          <w:sz w:val="32"/>
          <w:szCs w:val="32"/>
          <w:lang w:val="en-US" w:eastAsia="zh-CN" w:bidi="ar"/>
        </w:rPr>
        <w:t>“两联一进”“我为群众办实事”“双助”“五个一”等活动；深入到小河镇慰问因“8.19”泥石流受灾3户农户家中开展慰问，送去慰问金和慰问品约1万元。同时，多次开展惠民政策宣传、产业结构调整、低保识别认证、安全隐患排查和访贫问苦等工作，积极排忧解难，受益群众近千人。</w:t>
      </w:r>
      <w:r>
        <w:rPr>
          <w:rFonts w:hint="eastAsia" w:ascii="仿宋_GB2312" w:hAnsi="宋体" w:eastAsia="仿宋_GB2312" w:cs="仿宋_GB2312"/>
          <w:b/>
          <w:spacing w:val="0"/>
          <w:kern w:val="10"/>
          <w:sz w:val="32"/>
          <w:szCs w:val="32"/>
          <w:lang w:val="en-US" w:eastAsia="zh-CN" w:bidi="ar"/>
        </w:rPr>
        <w:t>四是维护社会和谐稳定。</w:t>
      </w:r>
      <w:r>
        <w:rPr>
          <w:rFonts w:hint="eastAsia" w:ascii="仿宋_GB2312" w:hAnsi="宋体" w:eastAsia="仿宋_GB2312" w:cs="仿宋_GB2312"/>
          <w:b w:val="0"/>
          <w:spacing w:val="0"/>
          <w:kern w:val="10"/>
          <w:sz w:val="32"/>
          <w:szCs w:val="32"/>
          <w:lang w:val="en-US" w:eastAsia="zh-CN" w:bidi="ar"/>
        </w:rPr>
        <w:t>主席会成员在疫情防控阻击战中不退缩，主动参与全县疫情防控，进驻集中隔离点、深入联系乡镇、重要卡点进行指导和检查疫情防控工作；广大政协委员充分发挥自身优势，分别在各自工作岗位、居住辖区内参与疫情防控、政策宣传、卡点值守等工作；政协机关干部主动参与办公大楼防控值守，加入志愿者队伍，开展疫情防控志愿工作，为确保全县社会平安作出了应有贡献；积极参与社会综合治理，主动掌握联系乡镇的安全生产、森林草原防灭火等社会状况，切实化解松黑路建设、征地拆迁等矛盾纠纷；积极深入联系寺庙、宗教活动场所，扎实开展“三个离不开”“五个认同”等爱国主义教育活动；认真检查政协机关水、电和驾驶员行车安全等日常工作，牢固树立安全无小事意识，确保政协机关总体平安。</w:t>
      </w:r>
    </w:p>
    <w:p w14:paraId="563A8AAF">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黑体" w:hAnsi="宋体" w:eastAsia="黑体" w:cs="黑体"/>
          <w:kern w:val="0"/>
          <w:sz w:val="32"/>
          <w:szCs w:val="32"/>
          <w:lang w:val="en-US" w:eastAsia="zh-CN" w:bidi="ar"/>
        </w:rPr>
      </w:pPr>
      <w:r>
        <w:rPr>
          <w:rFonts w:hint="eastAsia" w:ascii="黑体" w:hAnsi="宋体" w:eastAsia="黑体" w:cs="黑体"/>
          <w:kern w:val="0"/>
          <w:sz w:val="32"/>
          <w:szCs w:val="32"/>
          <w:lang w:val="en-US" w:eastAsia="zh-CN" w:bidi="ar"/>
        </w:rPr>
        <w:t>二、机构设置</w:t>
      </w:r>
    </w:p>
    <w:p w14:paraId="4DE8DF13">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中国人民政治协商会议四川省松潘县委员会</w:t>
      </w:r>
      <w:r>
        <w:rPr>
          <w:rFonts w:hint="eastAsia" w:ascii="仿宋_GB2312" w:hAnsi="仿宋_GB2312" w:eastAsia="仿宋_GB2312" w:cs="仿宋_GB2312"/>
          <w:sz w:val="32"/>
          <w:szCs w:val="32"/>
        </w:rPr>
        <w:t>属</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级单位。纳入</w:t>
      </w:r>
      <w:r>
        <w:rPr>
          <w:rFonts w:hint="eastAsia" w:ascii="仿宋_GB2312" w:hAnsi="仿宋_GB2312" w:eastAsia="仿宋_GB2312" w:cs="仿宋_GB2312"/>
          <w:sz w:val="32"/>
          <w:szCs w:val="32"/>
          <w:lang w:eastAsia="zh-CN"/>
        </w:rPr>
        <w:t>政协办公室</w:t>
      </w:r>
      <w:r>
        <w:rPr>
          <w:rFonts w:hint="eastAsia" w:ascii="仿宋_GB2312" w:hAnsi="仿宋_GB2312" w:eastAsia="仿宋_GB2312" w:cs="仿宋_GB2312"/>
          <w:sz w:val="32"/>
          <w:szCs w:val="32"/>
        </w:rPr>
        <w:t>2021年度部门决算编制范围的二级预算单位包括：</w:t>
      </w:r>
      <w:r>
        <w:rPr>
          <w:rFonts w:hint="eastAsia" w:ascii="仿宋_GB2312" w:hAnsi="仿宋_GB2312" w:eastAsia="仿宋_GB2312" w:cs="仿宋_GB2312"/>
          <w:sz w:val="32"/>
          <w:szCs w:val="32"/>
          <w:lang w:eastAsia="zh-CN"/>
        </w:rPr>
        <w:t>县政协委员信息中心。</w:t>
      </w:r>
    </w:p>
    <w:p w14:paraId="7091AEF8">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ascii="仿宋_GB2312" w:hAnsi="仿宋_GB2312" w:eastAsia="仿宋_GB2312" w:cs="仿宋_GB2312"/>
          <w:b/>
          <w:color w:val="333333"/>
          <w:kern w:val="0"/>
          <w:sz w:val="32"/>
          <w:szCs w:val="32"/>
        </w:rPr>
      </w:pPr>
      <w:r>
        <w:rPr>
          <w:rFonts w:hint="eastAsia" w:ascii="仿宋_GB2312" w:hAnsi="仿宋_GB2312" w:eastAsia="仿宋_GB2312" w:cs="仿宋_GB2312"/>
          <w:sz w:val="32"/>
          <w:szCs w:val="32"/>
        </w:rPr>
        <w:t>根据上述职责，县政协机关设办公室一个，设四个科级专门委员会即：经济科技委员会，文史提案学习委员会，教育卫生</w:t>
      </w:r>
      <w:r>
        <w:rPr>
          <w:rFonts w:hint="eastAsia" w:ascii="仿宋_GB2312" w:hAnsi="仿宋_GB2312" w:eastAsia="仿宋_GB2312" w:cs="仿宋_GB2312"/>
          <w:sz w:val="32"/>
          <w:szCs w:val="32"/>
          <w:lang w:val="en-US" w:eastAsia="zh-CN"/>
        </w:rPr>
        <w:t>健康</w:t>
      </w:r>
      <w:r>
        <w:rPr>
          <w:rFonts w:hint="eastAsia" w:ascii="仿宋_GB2312" w:hAnsi="仿宋_GB2312" w:eastAsia="仿宋_GB2312" w:cs="仿宋_GB2312"/>
          <w:sz w:val="32"/>
          <w:szCs w:val="32"/>
        </w:rPr>
        <w:t>委员会，民族宗教委员会。</w:t>
      </w:r>
      <w:r>
        <w:rPr>
          <w:rFonts w:hint="eastAsia" w:ascii="仿宋_GB2312" w:hAnsi="仿宋_GB2312" w:eastAsia="仿宋_GB2312" w:cs="仿宋_GB2312"/>
          <w:b/>
          <w:bCs/>
          <w:sz w:val="32"/>
          <w:szCs w:val="32"/>
        </w:rPr>
        <w:t>办公室</w:t>
      </w:r>
      <w:r>
        <w:rPr>
          <w:rFonts w:hint="eastAsia" w:ascii="仿宋_GB2312" w:hAnsi="仿宋_GB2312" w:eastAsia="仿宋_GB2312" w:cs="仿宋_GB2312"/>
          <w:b/>
          <w:color w:val="333333"/>
          <w:kern w:val="0"/>
          <w:sz w:val="32"/>
          <w:szCs w:val="32"/>
        </w:rPr>
        <w:t>主要职责：</w:t>
      </w:r>
    </w:p>
    <w:p w14:paraId="399B3FC1">
      <w:pPr>
        <w:pageBreakBefore w:val="0"/>
        <w:kinsoku/>
        <w:wordWrap/>
        <w:overflowPunct/>
        <w:bidi w:val="0"/>
        <w:adjustRightInd w:val="0"/>
        <w:snapToGrid w:val="0"/>
        <w:spacing w:line="540" w:lineRule="exact"/>
        <w:ind w:firstLine="800" w:firstLineChars="25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1、负责政协委员会全体会议、常务委员会会议、党组会议、主席会议及有关政协工作会议的会务工作和文字材料工作。</w:t>
      </w:r>
    </w:p>
    <w:p w14:paraId="753CAF9A">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2、负责向上级政协及县委、县政府报送的建议和建议案、信息等有关材料的起草工作。</w:t>
      </w:r>
    </w:p>
    <w:p w14:paraId="5D3693D5">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3、负责政协委员会全体会议、常务委员会会议决议、决定的具体组织实施工作。</w:t>
      </w:r>
    </w:p>
    <w:p w14:paraId="21876731">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4、负责县政协委员的联系工作，收集整理各界人士的意见、建议，及时向上级政协及县委、县政府反映，编辑、报送《社情民意》。</w:t>
      </w:r>
    </w:p>
    <w:p w14:paraId="0CC8F308">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5、负责承办县政协常务委员会、主席会议决定安排的委员视察、调研活动的组织和服务工作。</w:t>
      </w:r>
    </w:p>
    <w:p w14:paraId="00FFF0FD">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6、负责县政协的宣传和机关职工的学习及精神文明创建工作。</w:t>
      </w:r>
    </w:p>
    <w:p w14:paraId="537AD5DD">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7、负责与县委、人大、政府有关部门及乡镇、政协各参加单位的联系、协调等工作；协调各专门委员会活动的组织工作。</w:t>
      </w:r>
    </w:p>
    <w:p w14:paraId="78BC0CB5">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8、负责县政协的对外联谊接待工作。</w:t>
      </w:r>
    </w:p>
    <w:p w14:paraId="027A55C5">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9、负责权限范围内的人事和机构编制管理工作。协同有关部门参与县政协委员的协商推荐、届中调整等具体工作。</w:t>
      </w:r>
    </w:p>
    <w:p w14:paraId="7EFA9F9D">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10、负责县政协机关保密、文档和人民群众来信来访工作；负责县政协机关后勤、财务和离退休人员服务工作。</w:t>
      </w:r>
    </w:p>
    <w:p w14:paraId="07F7570C">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11、承办县政协领导交办的其他工作。</w:t>
      </w:r>
    </w:p>
    <w:p w14:paraId="62E4D590">
      <w:pPr>
        <w:pageBreakBefore w:val="0"/>
        <w:shd w:val="clear" w:color="auto" w:fill="FFFFFF"/>
        <w:kinsoku/>
        <w:wordWrap/>
        <w:overflowPunct/>
        <w:bidi w:val="0"/>
        <w:adjustRightInd w:val="0"/>
        <w:snapToGrid w:val="0"/>
        <w:spacing w:line="540" w:lineRule="exact"/>
        <w:ind w:firstLine="643"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b/>
          <w:color w:val="333333"/>
          <w:kern w:val="0"/>
          <w:sz w:val="32"/>
          <w:szCs w:val="32"/>
        </w:rPr>
        <w:t>文史提案学习委员会主要职责：</w:t>
      </w:r>
    </w:p>
    <w:p w14:paraId="3146A682">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1、研究提出县政协全会期间的提案工作方案。</w:t>
      </w:r>
    </w:p>
    <w:p w14:paraId="55A87FC9">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2、努力创造条件，支持、协助委员围绕国家和地方的方针政策、重大施政措施以及人民群众普遍关心的问题，提出提案，发挥政治协商、民主监督、参政议政作用。</w:t>
      </w:r>
    </w:p>
    <w:p w14:paraId="16389EB7">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3、对政协提案进行审查，提出处理意见，提交有关单位研究办理。</w:t>
      </w:r>
    </w:p>
    <w:p w14:paraId="1A111218">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4、推动和协助承办单位办理提案，促进落实。</w:t>
      </w:r>
    </w:p>
    <w:p w14:paraId="392CE535">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5、选择重点提案进行专题调查，或与有关专门委员会、党政有关部门联合组织调查研究，充实提案内容，扩大提案影响。</w:t>
      </w:r>
    </w:p>
    <w:p w14:paraId="4C2A03B9">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6、向常委会和全体会议提出工作报告。</w:t>
      </w:r>
    </w:p>
    <w:p w14:paraId="392AADA6">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7、承办政协常务委员会和主席会议交办的事项</w:t>
      </w:r>
    </w:p>
    <w:p w14:paraId="60B36D52">
      <w:pPr>
        <w:pageBreakBefore w:val="0"/>
        <w:shd w:val="clear" w:color="auto" w:fill="FFFFFF"/>
        <w:kinsoku/>
        <w:wordWrap/>
        <w:overflowPunct/>
        <w:bidi w:val="0"/>
        <w:adjustRightInd w:val="0"/>
        <w:snapToGrid w:val="0"/>
        <w:spacing w:line="540" w:lineRule="exact"/>
        <w:ind w:firstLine="643"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b/>
          <w:color w:val="333333"/>
          <w:kern w:val="0"/>
          <w:sz w:val="32"/>
          <w:szCs w:val="32"/>
        </w:rPr>
        <w:t>经济科技委员会主要职责：</w:t>
      </w:r>
    </w:p>
    <w:p w14:paraId="567B1096">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1、学习、宣传和贯彻改革、开放、搞活的社会主义现代化建设总方针及有关政策、法律，帮助委员和各界人士了解当前经济建设的形势。</w:t>
      </w:r>
    </w:p>
    <w:p w14:paraId="5FD44CC6">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2、广泛联系本委委员和各界人士，听取他们对国家和地方大政方针及其他政策、决策的意见，发挥民主渠道作用。</w:t>
      </w:r>
    </w:p>
    <w:p w14:paraId="25F4EEE8">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3、就国家经济生活中的重要问题开展座谈讨论、专题调查等活动，向有关部门及其他有关组织提出建议。</w:t>
      </w:r>
    </w:p>
    <w:p w14:paraId="51C5696D">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4、对常委会、主席会议交付及有关部门委托本委员会研讨的问题组织讨论。</w:t>
      </w:r>
    </w:p>
    <w:p w14:paraId="7B1290FC">
      <w:pPr>
        <w:pageBreakBefore w:val="0"/>
        <w:shd w:val="clear" w:color="auto" w:fill="FFFFFF"/>
        <w:kinsoku/>
        <w:wordWrap/>
        <w:overflowPunct/>
        <w:bidi w:val="0"/>
        <w:adjustRightInd w:val="0"/>
        <w:snapToGrid w:val="0"/>
        <w:spacing w:line="540" w:lineRule="exact"/>
        <w:ind w:firstLine="640"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5、承办政协常务委员会和主席会议交办的事项。</w:t>
      </w:r>
    </w:p>
    <w:p w14:paraId="087E1603">
      <w:pPr>
        <w:pageBreakBefore w:val="0"/>
        <w:shd w:val="clear" w:color="auto" w:fill="FFFFFF"/>
        <w:kinsoku/>
        <w:wordWrap/>
        <w:overflowPunct/>
        <w:bidi w:val="0"/>
        <w:adjustRightInd w:val="0"/>
        <w:snapToGrid w:val="0"/>
        <w:spacing w:line="540" w:lineRule="exact"/>
        <w:ind w:firstLine="643" w:firstLineChars="200"/>
        <w:jc w:val="left"/>
        <w:rPr>
          <w:rFonts w:ascii="仿宋_GB2312" w:hAnsi="仿宋_GB2312" w:eastAsia="仿宋_GB2312" w:cs="仿宋_GB2312"/>
          <w:color w:val="333333"/>
          <w:kern w:val="0"/>
          <w:sz w:val="32"/>
          <w:szCs w:val="32"/>
        </w:rPr>
      </w:pPr>
      <w:r>
        <w:rPr>
          <w:rFonts w:hint="eastAsia" w:ascii="仿宋_GB2312" w:hAnsi="仿宋_GB2312" w:eastAsia="仿宋_GB2312" w:cs="仿宋_GB2312"/>
          <w:b/>
          <w:color w:val="333333"/>
          <w:kern w:val="0"/>
          <w:sz w:val="32"/>
          <w:szCs w:val="32"/>
        </w:rPr>
        <w:t>教科文卫体委员会主要职责：</w:t>
      </w:r>
    </w:p>
    <w:p w14:paraId="1BB596DB">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1、学习、宣传、贯彻党和国家的方针、政策，帮助委员了解我国教育、科技、文化、医药、卫生、体育事业的发展情况，为社会主义三个文明建设和祖国统一服务。</w:t>
      </w:r>
    </w:p>
    <w:p w14:paraId="1EAC6AD5">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2、同人大教科文卫委员会和政府有关部门建立经常的工作联系，针对一些重大问题加强必要的对话和协商。</w:t>
      </w:r>
    </w:p>
    <w:p w14:paraId="6B38DAE7">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3、广泛联系本委委员和有关各界人士，就教育、科技、文化、医药、卫生、体育等方面的重大问题开展座谈讨论、专题调查等活动，提出意见、建议，并推动解决。</w:t>
      </w:r>
    </w:p>
    <w:p w14:paraId="76D71AB9">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4、在统筹安排下，同有关组织、团体联合举办各种讲座、报告会，以开阔视野，交流信息，以便知情出力。</w:t>
      </w:r>
    </w:p>
    <w:p w14:paraId="25D1AB2B">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5、承办政协常务委员会和主席会议交办的事项。</w:t>
      </w:r>
    </w:p>
    <w:p w14:paraId="62C6831A">
      <w:pPr>
        <w:pageBreakBefore w:val="0"/>
        <w:shd w:val="clear" w:color="auto" w:fill="FFFFFF"/>
        <w:kinsoku/>
        <w:wordWrap/>
        <w:overflowPunct/>
        <w:topLinePunct w:val="0"/>
        <w:autoSpaceDE/>
        <w:autoSpaceDN/>
        <w:bidi w:val="0"/>
        <w:adjustRightInd w:val="0"/>
        <w:snapToGrid w:val="0"/>
        <w:spacing w:line="540" w:lineRule="exact"/>
        <w:ind w:firstLine="643"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b/>
          <w:color w:val="333333"/>
          <w:kern w:val="0"/>
          <w:sz w:val="32"/>
          <w:szCs w:val="32"/>
        </w:rPr>
        <w:t>民族宗教委员会主要职责：</w:t>
      </w:r>
    </w:p>
    <w:p w14:paraId="0C4B49F6">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学习、宣传党和国家有关改革开放的政策和社会主义建设的总方针，学习民族区域自治法、民族政策及有关法律，学习华侨工作的有关法律、政策。帮助委员和各界人士了解民族、宗教、港澳台侨工作情况，推动各界人士为少数民族地区经济、文化发展事业贡献力量，为和平统一祖国</w:t>
      </w:r>
      <w:r>
        <w:rPr>
          <w:rFonts w:hint="eastAsia" w:ascii="仿宋_GB2312" w:hAnsi="仿宋_GB2312" w:eastAsia="仿宋_GB2312" w:cs="仿宋_GB2312"/>
          <w:color w:val="333333"/>
          <w:kern w:val="0"/>
          <w:sz w:val="32"/>
          <w:szCs w:val="32"/>
          <w:lang w:eastAsia="zh-CN"/>
        </w:rPr>
        <w:t>作贡献</w:t>
      </w:r>
      <w:r>
        <w:rPr>
          <w:rFonts w:hint="eastAsia" w:ascii="仿宋_GB2312" w:hAnsi="仿宋_GB2312" w:eastAsia="仿宋_GB2312" w:cs="仿宋_GB2312"/>
          <w:color w:val="333333"/>
          <w:kern w:val="0"/>
          <w:sz w:val="32"/>
          <w:szCs w:val="32"/>
        </w:rPr>
        <w:t>。</w:t>
      </w:r>
    </w:p>
    <w:p w14:paraId="6EBFE9EE">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2、联系本委委员、少数民族代表和有关人士，听取并反映有关民族、宗教、港澳台侨工作方面的意见和建议。</w:t>
      </w:r>
    </w:p>
    <w:p w14:paraId="3531D942">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3、组织本委委员调查了解国家宗教政策、民族政策和侨务政策的贯彻执行情况，并就存在的问题进行研究，向国家机关和其他有关组织提出建议、意见或批评；协助、督促解决问题，推动有关政策的落实。</w:t>
      </w:r>
    </w:p>
    <w:p w14:paraId="3E6DD473">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4、加强同宗教界人士的联系，协助开展学术交流和文化交往等活动，为和平统一祖国作贡献。</w:t>
      </w:r>
    </w:p>
    <w:p w14:paraId="33811C52">
      <w:pPr>
        <w:pageBreakBefore w:val="0"/>
        <w:shd w:val="clear" w:color="auto" w:fill="FFFFFF"/>
        <w:kinsoku/>
        <w:wordWrap/>
        <w:overflowPunct/>
        <w:topLinePunct w:val="0"/>
        <w:autoSpaceDE/>
        <w:autoSpaceDN/>
        <w:bidi w:val="0"/>
        <w:adjustRightInd w:val="0"/>
        <w:snapToGrid w:val="0"/>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kern w:val="0"/>
          <w:sz w:val="32"/>
          <w:szCs w:val="32"/>
        </w:rPr>
        <w:t>5、对政协常务委员会和主席会议交付及政府有关部门委托本委员会研讨的问题组织讨论。</w:t>
      </w:r>
    </w:p>
    <w:p w14:paraId="3C2CC455">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5A4FAE16">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黑体" w:hAnsi="黑体" w:eastAsia="黑体" w:cs="黑体"/>
          <w:kern w:val="0"/>
          <w:sz w:val="32"/>
          <w:szCs w:val="32"/>
        </w:rPr>
      </w:pPr>
      <w:r>
        <w:rPr>
          <w:rFonts w:hint="eastAsia" w:ascii="仿宋_GB2312" w:hAnsi="宋体" w:eastAsia="仿宋_GB2312" w:cs="仿宋_GB2312"/>
          <w:kern w:val="0"/>
          <w:sz w:val="32"/>
          <w:szCs w:val="32"/>
          <w:lang w:val="en-US" w:eastAsia="zh-CN" w:bidi="ar"/>
        </w:rPr>
        <w:t xml:space="preserve"> </w:t>
      </w:r>
      <w:r>
        <w:rPr>
          <w:rFonts w:hint="eastAsia" w:ascii="黑体" w:hAnsi="黑体" w:eastAsia="黑体" w:cs="黑体"/>
          <w:kern w:val="0"/>
          <w:sz w:val="32"/>
          <w:szCs w:val="32"/>
          <w:lang w:val="en-US" w:eastAsia="zh-CN" w:bidi="ar"/>
        </w:rPr>
        <w:t xml:space="preserve">第二部分 2022年度部门决算情况说明 </w:t>
      </w:r>
    </w:p>
    <w:p w14:paraId="374A482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一、收入支出决算总体情况说明</w:t>
      </w:r>
    </w:p>
    <w:p w14:paraId="0C8981A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2022年度收、支总计</w:t>
      </w:r>
      <w:r>
        <w:rPr>
          <w:rFonts w:hint="default" w:ascii="仿宋_GB2312" w:hAnsi="宋体" w:eastAsia="仿宋_GB2312" w:cs="仿宋_GB2312"/>
          <w:kern w:val="0"/>
          <w:sz w:val="32"/>
          <w:szCs w:val="32"/>
          <w:lang w:val="en-US" w:eastAsia="zh-CN" w:bidi="ar"/>
        </w:rPr>
        <w:t>881.92</w:t>
      </w:r>
      <w:r>
        <w:rPr>
          <w:rFonts w:hint="eastAsia" w:ascii="仿宋_GB2312" w:hAnsi="宋体" w:eastAsia="仿宋_GB2312" w:cs="仿宋_GB2312"/>
          <w:kern w:val="0"/>
          <w:sz w:val="32"/>
          <w:szCs w:val="32"/>
          <w:lang w:val="en-US" w:eastAsia="zh-CN" w:bidi="ar"/>
        </w:rPr>
        <w:t>万元。与2021年相比，收、支总计886.44万元，减少4.52万元，减少1%。主要变动原因一是公务用车运行维护费、接待费减少；二是因年末人员调出导致人员经费减少。</w:t>
      </w:r>
    </w:p>
    <w:p w14:paraId="6B4F718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二、收入决算情况说明</w:t>
      </w:r>
    </w:p>
    <w:p w14:paraId="3EC9C32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本年收入合计881.92万元，其中：一般公共预算财政拨款收入881.92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34C0C4B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楷体_GB2312" w:hAnsi="楷体_GB2312" w:eastAsia="楷体_GB2312" w:cs="楷体_GB2312"/>
          <w:b/>
          <w:bCs/>
          <w:kern w:val="0"/>
          <w:sz w:val="32"/>
          <w:szCs w:val="32"/>
        </w:rPr>
      </w:pPr>
      <w:r>
        <w:rPr>
          <w:rFonts w:hint="eastAsia" w:ascii="仿宋_GB2312" w:hAnsi="宋体" w:eastAsia="仿宋_GB2312" w:cs="仿宋_GB2312"/>
          <w:kern w:val="0"/>
          <w:sz w:val="32"/>
          <w:szCs w:val="32"/>
          <w:lang w:val="en-US" w:eastAsia="zh-CN" w:bidi="ar"/>
        </w:rPr>
        <w:t xml:space="preserve">   </w:t>
      </w:r>
      <w:r>
        <w:rPr>
          <w:rFonts w:hint="eastAsia" w:ascii="楷体_GB2312" w:hAnsi="楷体_GB2312" w:eastAsia="楷体_GB2312" w:cs="楷体_GB2312"/>
          <w:b/>
          <w:bCs/>
          <w:kern w:val="0"/>
          <w:sz w:val="32"/>
          <w:szCs w:val="32"/>
          <w:lang w:val="en-US" w:eastAsia="zh-CN" w:bidi="ar"/>
        </w:rPr>
        <w:t xml:space="preserve">  三、支出决算情况说明</w:t>
      </w:r>
    </w:p>
    <w:p w14:paraId="62D97EE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2022年本年支出合计881.92万元，其中：基本支出879.99万元，占99.78%；项目支出1.94万元，占0.22%；上缴上级支出0.00万元，占0.00%；经营支出0.00万元，占经营支出0.00万元，占 0.00%；对附属单位补助支出0.00万元，占0.00%。</w:t>
      </w:r>
    </w:p>
    <w:p w14:paraId="3BF6CD0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楷体_GB2312" w:hAnsi="楷体_GB2312" w:eastAsia="楷体_GB2312" w:cs="楷体_GB2312"/>
          <w:b/>
          <w:bCs/>
          <w:kern w:val="0"/>
          <w:sz w:val="32"/>
          <w:szCs w:val="32"/>
        </w:rPr>
      </w:pPr>
      <w:r>
        <w:rPr>
          <w:rFonts w:hint="eastAsia" w:ascii="仿宋_GB2312" w:hAnsi="宋体" w:eastAsia="仿宋_GB2312" w:cs="仿宋_GB2312"/>
          <w:kern w:val="0"/>
          <w:sz w:val="32"/>
          <w:szCs w:val="32"/>
          <w:lang w:val="en-US" w:eastAsia="zh-CN" w:bidi="ar"/>
        </w:rPr>
        <w:t xml:space="preserve">  </w:t>
      </w:r>
      <w:r>
        <w:rPr>
          <w:rFonts w:hint="eastAsia" w:ascii="楷体_GB2312" w:hAnsi="楷体_GB2312" w:eastAsia="楷体_GB2312" w:cs="楷体_GB2312"/>
          <w:b/>
          <w:bCs/>
          <w:kern w:val="0"/>
          <w:sz w:val="32"/>
          <w:szCs w:val="32"/>
          <w:lang w:val="en-US" w:eastAsia="zh-CN" w:bidi="ar"/>
        </w:rPr>
        <w:t xml:space="preserve">  四、财政拨款收入支出决算总体情况说明</w:t>
      </w:r>
    </w:p>
    <w:p w14:paraId="0A03CAE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lang w:eastAsia="zh-CN"/>
        </w:rPr>
      </w:pPr>
      <w:r>
        <w:rPr>
          <w:rFonts w:hint="eastAsia" w:ascii="仿宋_GB2312" w:hAnsi="宋体" w:eastAsia="仿宋_GB2312" w:cs="仿宋_GB2312"/>
          <w:kern w:val="0"/>
          <w:sz w:val="32"/>
          <w:szCs w:val="32"/>
          <w:lang w:val="en-US" w:eastAsia="zh-CN" w:bidi="ar"/>
        </w:rPr>
        <w:t>2022年财政拨款收、支总计881.92万元。与2021年相比，财政拨款收、支总计886.44万元，减少4.52万元，减少1%。主要变动原因一是公务用车运行维护费、接待费减少；二是因年末人员调出导致人员经费减少。</w:t>
      </w:r>
    </w:p>
    <w:p w14:paraId="58C5B10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楷体_GB2312" w:hAnsi="楷体_GB2312" w:eastAsia="楷体_GB2312" w:cs="楷体_GB2312"/>
          <w:b/>
          <w:bCs/>
          <w:kern w:val="0"/>
          <w:sz w:val="32"/>
          <w:szCs w:val="32"/>
        </w:rPr>
      </w:pPr>
      <w:r>
        <w:rPr>
          <w:rFonts w:hint="eastAsia" w:ascii="仿宋_GB2312" w:hAnsi="宋体" w:eastAsia="仿宋_GB2312" w:cs="仿宋_GB2312"/>
          <w:kern w:val="0"/>
          <w:sz w:val="32"/>
          <w:szCs w:val="32"/>
          <w:lang w:val="en-US" w:eastAsia="zh-CN" w:bidi="ar"/>
        </w:rPr>
        <w:t xml:space="preserve">    </w:t>
      </w:r>
      <w:r>
        <w:rPr>
          <w:rFonts w:hint="eastAsia" w:ascii="楷体_GB2312" w:hAnsi="楷体_GB2312" w:eastAsia="楷体_GB2312" w:cs="楷体_GB2312"/>
          <w:b/>
          <w:bCs/>
          <w:kern w:val="0"/>
          <w:sz w:val="32"/>
          <w:szCs w:val="32"/>
          <w:lang w:val="en-US" w:eastAsia="zh-CN" w:bidi="ar"/>
        </w:rPr>
        <w:t>五、一般公共预算财政拨款支出决算情况说明</w:t>
      </w:r>
    </w:p>
    <w:p w14:paraId="3225FEB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lang w:val="en-US" w:eastAsia="zh-CN" w:bidi="ar"/>
        </w:rPr>
        <w:t>（一）一般公共预算财政拨款支出决算总体情况</w:t>
      </w:r>
    </w:p>
    <w:p w14:paraId="3509629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lang w:eastAsia="zh-CN"/>
        </w:rPr>
      </w:pPr>
      <w:r>
        <w:rPr>
          <w:rFonts w:hint="eastAsia" w:ascii="仿宋_GB2312" w:hAnsi="宋体" w:eastAsia="仿宋_GB2312" w:cs="仿宋_GB2312"/>
          <w:kern w:val="0"/>
          <w:sz w:val="32"/>
          <w:szCs w:val="32"/>
          <w:lang w:val="en-US" w:eastAsia="zh-CN" w:bidi="ar"/>
        </w:rPr>
        <w:t>2022年一般公共预算财政拨款支出881.92万元，占本年支出合计的100.00%。与2021年相比，一般公共预算财政拨款支出减少4.52万元，减少1%。主要变动原因一是公务用车运行维护费、接待费减少；二是因年末人员调出导致人员经费减少。</w:t>
      </w:r>
    </w:p>
    <w:p w14:paraId="0F5D912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lang w:val="en-US" w:eastAsia="zh-CN" w:bidi="ar"/>
        </w:rPr>
        <w:t>（二）一般公共预算财政拨款支出决算结构情况</w:t>
      </w:r>
    </w:p>
    <w:p w14:paraId="7F547EF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一般公共预算财政拨款支出881.92万元，主要用于以下方面：一般公共服务（类）支出695.86万元，占79%；教育支出（类）0.00万元，占0.00%；科学技术（类）支出0.00万元，占0.00%；文化旅游体育与传媒（类）支出0.00万元，占0.00%；社会保障和就业（类）支出96.64万元，占11%；卫生健康支出38.84万元，占4%；住房保障支出50.58万元，占6%。</w:t>
      </w:r>
    </w:p>
    <w:p w14:paraId="591EDC3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（三）一般公共预算财政拨款支出决算具体情况</w:t>
      </w:r>
    </w:p>
    <w:p w14:paraId="1241867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2022年一般公共预算支出决算数为881.92，完成预算100.00%。其中：</w:t>
      </w:r>
    </w:p>
    <w:p w14:paraId="171B2035">
      <w:pPr>
        <w:keepNext w:val="0"/>
        <w:keepLines w:val="0"/>
        <w:pageBreakBefore w:val="0"/>
        <w:widowControl/>
        <w:numPr>
          <w:ilvl w:val="0"/>
          <w:numId w:val="0"/>
        </w:numPr>
        <w:suppressLineNumbers w:val="0"/>
        <w:kinsoku/>
        <w:wordWrap/>
        <w:overflowPunct/>
        <w:topLinePunct w:val="0"/>
        <w:autoSpaceDE w:val="0"/>
        <w:autoSpaceDN/>
        <w:bidi w:val="0"/>
        <w:snapToGrid w:val="0"/>
        <w:spacing w:before="0" w:beforeAutospacing="0" w:after="0" w:afterAutospacing="0" w:line="576" w:lineRule="exact"/>
        <w:ind w:right="0" w:rightChars="0" w:firstLine="630" w:firstLineChars="300"/>
        <w:jc w:val="left"/>
        <w:textAlignment w:val="auto"/>
        <w:rPr>
          <w:rFonts w:ascii="仿宋" w:hAnsi="仿宋" w:eastAsia="仿宋"/>
          <w:b/>
          <w:color w:val="000000"/>
          <w:sz w:val="32"/>
          <w:szCs w:val="32"/>
        </w:rPr>
      </w:pPr>
      <w:r>
        <w:rPr>
          <w:rFonts w:hint="default" w:ascii="仿宋_GB2312" w:hAnsi="仿宋_GB2312" w:eastAsia="仿宋_GB2312" w:cs="仿宋_GB2312"/>
          <w:b w:val="0"/>
          <w:bCs w:val="0"/>
          <w:lang w:val="en-US" w:eastAsia="zh-CN"/>
        </w:rPr>
        <w:t xml:space="preserve"> </w:t>
      </w:r>
      <w:r>
        <w:rPr>
          <w:rStyle w:val="10"/>
          <w:rFonts w:ascii="仿宋" w:hAnsi="仿宋" w:eastAsia="仿宋"/>
          <w:bCs/>
          <w:color w:val="000000"/>
          <w:sz w:val="32"/>
          <w:szCs w:val="32"/>
        </w:rPr>
        <w:t>1.</w:t>
      </w:r>
      <w:r>
        <w:rPr>
          <w:rStyle w:val="10"/>
          <w:rFonts w:hint="eastAsia" w:ascii="仿宋" w:hAnsi="仿宋" w:eastAsia="仿宋"/>
          <w:bCs/>
          <w:color w:val="000000"/>
          <w:sz w:val="32"/>
          <w:szCs w:val="32"/>
        </w:rPr>
        <w:t>一般公共服务</w:t>
      </w:r>
      <w:r>
        <w:rPr>
          <w:rStyle w:val="10"/>
          <w:rFonts w:hint="eastAsia" w:ascii="仿宋" w:hAnsi="仿宋" w:eastAsia="仿宋"/>
          <w:bCs/>
          <w:color w:val="000000"/>
          <w:sz w:val="32"/>
          <w:szCs w:val="32"/>
          <w:lang w:eastAsia="zh-CN"/>
        </w:rPr>
        <w:t>支出（</w:t>
      </w:r>
      <w:r>
        <w:rPr>
          <w:rStyle w:val="10"/>
          <w:rFonts w:hint="eastAsia" w:ascii="仿宋" w:hAnsi="仿宋" w:eastAsia="仿宋"/>
          <w:bCs/>
          <w:color w:val="000000"/>
          <w:sz w:val="32"/>
          <w:szCs w:val="32"/>
          <w:lang w:val="en-US" w:eastAsia="zh-CN"/>
        </w:rPr>
        <w:t>201</w:t>
      </w:r>
      <w:r>
        <w:rPr>
          <w:rStyle w:val="10"/>
          <w:rFonts w:hint="default" w:ascii="仿宋" w:hAnsi="仿宋" w:eastAsia="仿宋"/>
          <w:bCs/>
          <w:color w:val="000000"/>
          <w:sz w:val="32"/>
          <w:szCs w:val="32"/>
          <w:lang w:val="en-US" w:eastAsia="zh-CN"/>
        </w:rPr>
        <w:t>02</w:t>
      </w:r>
      <w:r>
        <w:rPr>
          <w:rStyle w:val="10"/>
          <w:rFonts w:hint="eastAsia" w:ascii="仿宋" w:hAnsi="仿宋" w:eastAsia="仿宋"/>
          <w:bCs/>
          <w:color w:val="000000"/>
          <w:sz w:val="32"/>
          <w:szCs w:val="32"/>
          <w:lang w:eastAsia="zh-CN"/>
        </w:rPr>
        <w:t>）：</w:t>
      </w:r>
      <w:r>
        <w:rPr>
          <w:rStyle w:val="10"/>
          <w:rFonts w:ascii="仿宋" w:hAnsi="仿宋" w:eastAsia="仿宋"/>
          <w:b w:val="0"/>
          <w:bCs/>
          <w:color w:val="000000"/>
          <w:sz w:val="32"/>
          <w:szCs w:val="32"/>
        </w:rPr>
        <w:t xml:space="preserve"> </w:t>
      </w:r>
      <w:r>
        <w:rPr>
          <w:rStyle w:val="10"/>
          <w:rFonts w:hint="eastAsia" w:ascii="仿宋" w:hAnsi="仿宋" w:eastAsia="仿宋"/>
          <w:b w:val="0"/>
          <w:bCs/>
          <w:color w:val="000000"/>
          <w:sz w:val="32"/>
          <w:szCs w:val="32"/>
        </w:rPr>
        <w:t>决算为</w:t>
      </w:r>
      <w:r>
        <w:rPr>
          <w:rStyle w:val="10"/>
          <w:rFonts w:hint="eastAsia" w:ascii="仿宋" w:hAnsi="仿宋" w:eastAsia="仿宋"/>
          <w:b w:val="0"/>
          <w:bCs/>
          <w:color w:val="000000"/>
          <w:sz w:val="32"/>
          <w:szCs w:val="32"/>
          <w:lang w:val="en-US" w:eastAsia="zh-CN"/>
        </w:rPr>
        <w:t>695.87</w:t>
      </w:r>
      <w:r>
        <w:rPr>
          <w:rStyle w:val="10"/>
          <w:rFonts w:hint="eastAsia" w:ascii="仿宋" w:hAnsi="仿宋" w:eastAsia="仿宋"/>
          <w:b w:val="0"/>
          <w:bCs/>
          <w:color w:val="000000"/>
          <w:sz w:val="32"/>
          <w:szCs w:val="32"/>
        </w:rPr>
        <w:t>万元，完成预算</w:t>
      </w:r>
      <w:r>
        <w:rPr>
          <w:rStyle w:val="10"/>
          <w:rFonts w:hint="eastAsia" w:ascii="仿宋" w:hAnsi="仿宋" w:eastAsia="仿宋"/>
          <w:b w:val="0"/>
          <w:bCs/>
          <w:color w:val="000000"/>
          <w:sz w:val="32"/>
          <w:szCs w:val="32"/>
          <w:lang w:val="en-US" w:eastAsia="zh-CN"/>
        </w:rPr>
        <w:t>100</w:t>
      </w:r>
      <w:r>
        <w:rPr>
          <w:rStyle w:val="10"/>
          <w:rFonts w:ascii="仿宋" w:hAnsi="仿宋" w:eastAsia="仿宋"/>
          <w:b w:val="0"/>
          <w:bCs/>
          <w:color w:val="000000"/>
          <w:sz w:val="32"/>
          <w:szCs w:val="32"/>
        </w:rPr>
        <w:t>%</w:t>
      </w:r>
      <w:r>
        <w:rPr>
          <w:rStyle w:val="10"/>
          <w:rFonts w:hint="eastAsia" w:ascii="仿宋" w:hAnsi="仿宋" w:eastAsia="仿宋"/>
          <w:b w:val="0"/>
          <w:bCs/>
          <w:color w:val="000000"/>
          <w:sz w:val="32"/>
          <w:szCs w:val="32"/>
        </w:rPr>
        <w:t>。</w:t>
      </w:r>
      <w:r>
        <w:rPr>
          <w:rFonts w:hint="eastAsia" w:ascii="仿宋_GB2312" w:hAnsi="宋体" w:eastAsia="仿宋_GB2312" w:cs="仿宋_GB2312"/>
          <w:kern w:val="0"/>
          <w:sz w:val="32"/>
          <w:szCs w:val="32"/>
          <w:lang w:val="en-US" w:eastAsia="zh-CN" w:bidi="ar"/>
        </w:rPr>
        <w:t>其中：（2010201）支出决算为693.93万元，（2010204）支出决算为1.94万元。</w:t>
      </w:r>
    </w:p>
    <w:p w14:paraId="47126632">
      <w:pPr>
        <w:keepNext w:val="0"/>
        <w:keepLines w:val="0"/>
        <w:pageBreakBefore w:val="0"/>
        <w:kinsoku/>
        <w:wordWrap/>
        <w:overflowPunct/>
        <w:topLinePunct w:val="0"/>
        <w:autoSpaceDE/>
        <w:autoSpaceDN/>
        <w:bidi w:val="0"/>
        <w:spacing w:line="576" w:lineRule="exact"/>
        <w:ind w:firstLine="643" w:firstLineChars="200"/>
        <w:textAlignment w:val="auto"/>
        <w:rPr>
          <w:rStyle w:val="10"/>
          <w:rFonts w:hint="eastAsia" w:ascii="仿宋" w:hAnsi="仿宋" w:eastAsia="仿宋"/>
          <w:b w:val="0"/>
          <w:bCs/>
          <w:color w:val="000000"/>
          <w:sz w:val="32"/>
          <w:szCs w:val="32"/>
          <w:lang w:val="en-US" w:eastAsia="zh-CN"/>
        </w:rPr>
      </w:pPr>
      <w:r>
        <w:rPr>
          <w:rStyle w:val="10"/>
          <w:rFonts w:ascii="仿宋" w:hAnsi="仿宋" w:eastAsia="仿宋"/>
          <w:bCs/>
          <w:color w:val="000000"/>
          <w:sz w:val="32"/>
          <w:szCs w:val="32"/>
        </w:rPr>
        <w:t>2.</w:t>
      </w:r>
      <w:r>
        <w:rPr>
          <w:rStyle w:val="10"/>
          <w:rFonts w:hint="eastAsia" w:ascii="仿宋" w:hAnsi="仿宋" w:eastAsia="仿宋"/>
          <w:bCs/>
          <w:color w:val="000000"/>
          <w:sz w:val="32"/>
          <w:szCs w:val="32"/>
        </w:rPr>
        <w:t>社会保障和就业（</w:t>
      </w:r>
      <w:r>
        <w:rPr>
          <w:rStyle w:val="10"/>
          <w:rFonts w:hint="eastAsia" w:ascii="仿宋" w:hAnsi="仿宋" w:eastAsia="仿宋"/>
          <w:bCs/>
          <w:color w:val="000000"/>
          <w:sz w:val="32"/>
          <w:szCs w:val="32"/>
          <w:lang w:val="en-US" w:eastAsia="zh-CN"/>
        </w:rPr>
        <w:t>20805</w:t>
      </w:r>
      <w:r>
        <w:rPr>
          <w:rStyle w:val="10"/>
          <w:rFonts w:hint="eastAsia" w:ascii="仿宋" w:hAnsi="仿宋" w:eastAsia="仿宋"/>
          <w:bCs/>
          <w:color w:val="000000"/>
          <w:sz w:val="32"/>
          <w:szCs w:val="32"/>
        </w:rPr>
        <w:t>）</w:t>
      </w:r>
      <w:r>
        <w:rPr>
          <w:rStyle w:val="10"/>
          <w:rFonts w:hint="eastAsia" w:ascii="仿宋" w:hAnsi="仿宋" w:eastAsia="仿宋"/>
          <w:bCs/>
          <w:color w:val="000000"/>
          <w:sz w:val="32"/>
          <w:szCs w:val="32"/>
          <w:lang w:eastAsia="zh-CN"/>
        </w:rPr>
        <w:t>：</w:t>
      </w:r>
      <w:r>
        <w:rPr>
          <w:rStyle w:val="10"/>
          <w:rFonts w:ascii="仿宋" w:hAnsi="仿宋" w:eastAsia="仿宋"/>
          <w:b w:val="0"/>
          <w:bCs/>
          <w:color w:val="000000"/>
          <w:sz w:val="32"/>
          <w:szCs w:val="32"/>
        </w:rPr>
        <w:t xml:space="preserve"> </w:t>
      </w:r>
      <w:r>
        <w:rPr>
          <w:rStyle w:val="10"/>
          <w:rFonts w:hint="eastAsia" w:ascii="仿宋" w:hAnsi="仿宋" w:eastAsia="仿宋"/>
          <w:b w:val="0"/>
          <w:bCs/>
          <w:color w:val="000000"/>
          <w:sz w:val="32"/>
          <w:szCs w:val="32"/>
        </w:rPr>
        <w:t>支出决算为</w:t>
      </w:r>
      <w:r>
        <w:rPr>
          <w:rStyle w:val="10"/>
          <w:rFonts w:hint="eastAsia" w:ascii="仿宋" w:hAnsi="仿宋" w:eastAsia="仿宋"/>
          <w:b w:val="0"/>
          <w:bCs/>
          <w:color w:val="000000"/>
          <w:sz w:val="32"/>
          <w:szCs w:val="32"/>
          <w:lang w:val="en-US" w:eastAsia="zh-CN"/>
        </w:rPr>
        <w:t>96.64</w:t>
      </w:r>
      <w:r>
        <w:rPr>
          <w:rStyle w:val="10"/>
          <w:rFonts w:hint="eastAsia" w:ascii="仿宋" w:hAnsi="仿宋" w:eastAsia="仿宋"/>
          <w:b w:val="0"/>
          <w:bCs/>
          <w:color w:val="000000"/>
          <w:sz w:val="32"/>
          <w:szCs w:val="32"/>
        </w:rPr>
        <w:t>万元，完成预算</w:t>
      </w:r>
      <w:r>
        <w:rPr>
          <w:rStyle w:val="10"/>
          <w:rFonts w:hint="eastAsia" w:ascii="仿宋" w:hAnsi="仿宋" w:eastAsia="仿宋"/>
          <w:b w:val="0"/>
          <w:bCs/>
          <w:color w:val="000000"/>
          <w:sz w:val="32"/>
          <w:szCs w:val="32"/>
          <w:lang w:val="en-US" w:eastAsia="zh-CN"/>
        </w:rPr>
        <w:t>100</w:t>
      </w:r>
      <w:r>
        <w:rPr>
          <w:rStyle w:val="10"/>
          <w:rFonts w:ascii="仿宋" w:hAnsi="仿宋" w:eastAsia="仿宋"/>
          <w:b w:val="0"/>
          <w:bCs/>
          <w:color w:val="000000"/>
          <w:sz w:val="32"/>
          <w:szCs w:val="32"/>
        </w:rPr>
        <w:t>%</w:t>
      </w:r>
      <w:r>
        <w:rPr>
          <w:rStyle w:val="10"/>
          <w:rFonts w:hint="eastAsia" w:ascii="仿宋" w:hAnsi="仿宋" w:eastAsia="仿宋"/>
          <w:b w:val="0"/>
          <w:bCs/>
          <w:color w:val="000000"/>
          <w:sz w:val="32"/>
          <w:szCs w:val="32"/>
        </w:rPr>
        <w:t>。</w:t>
      </w:r>
      <w:r>
        <w:rPr>
          <w:rStyle w:val="10"/>
          <w:rFonts w:hint="eastAsia" w:ascii="仿宋" w:hAnsi="仿宋" w:eastAsia="仿宋"/>
          <w:b w:val="0"/>
          <w:bCs/>
          <w:color w:val="000000"/>
          <w:sz w:val="32"/>
          <w:szCs w:val="32"/>
          <w:lang w:eastAsia="zh-CN"/>
        </w:rPr>
        <w:t>其中（</w:t>
      </w:r>
      <w:r>
        <w:rPr>
          <w:rStyle w:val="10"/>
          <w:rFonts w:hint="eastAsia" w:ascii="仿宋" w:hAnsi="仿宋" w:eastAsia="仿宋"/>
          <w:b w:val="0"/>
          <w:bCs/>
          <w:color w:val="000000"/>
          <w:sz w:val="32"/>
          <w:szCs w:val="32"/>
          <w:lang w:val="en-US" w:eastAsia="zh-CN"/>
        </w:rPr>
        <w:t>2080505</w:t>
      </w:r>
      <w:r>
        <w:rPr>
          <w:rStyle w:val="10"/>
          <w:rFonts w:hint="eastAsia" w:ascii="仿宋" w:hAnsi="仿宋" w:eastAsia="仿宋"/>
          <w:b w:val="0"/>
          <w:bCs/>
          <w:color w:val="000000"/>
          <w:sz w:val="32"/>
          <w:szCs w:val="32"/>
          <w:lang w:eastAsia="zh-CN"/>
        </w:rPr>
        <w:t>）养老保险支出：</w:t>
      </w:r>
      <w:r>
        <w:rPr>
          <w:rStyle w:val="10"/>
          <w:rFonts w:hint="eastAsia" w:ascii="仿宋" w:hAnsi="仿宋" w:eastAsia="仿宋"/>
          <w:b w:val="0"/>
          <w:bCs/>
          <w:color w:val="000000"/>
          <w:sz w:val="32"/>
          <w:szCs w:val="32"/>
          <w:lang w:val="en-US" w:eastAsia="zh-CN"/>
        </w:rPr>
        <w:t>64.43.（2080506）职业年金支出：32.21万元。</w:t>
      </w:r>
    </w:p>
    <w:p w14:paraId="27137202">
      <w:pPr>
        <w:keepNext w:val="0"/>
        <w:keepLines w:val="0"/>
        <w:pageBreakBefore w:val="0"/>
        <w:kinsoku/>
        <w:wordWrap/>
        <w:overflowPunct/>
        <w:topLinePunct w:val="0"/>
        <w:autoSpaceDE/>
        <w:autoSpaceDN/>
        <w:bidi w:val="0"/>
        <w:spacing w:line="576" w:lineRule="exact"/>
        <w:ind w:firstLine="643" w:firstLineChars="200"/>
        <w:textAlignment w:val="auto"/>
        <w:rPr>
          <w:rFonts w:hint="eastAsia" w:ascii="仿宋" w:hAnsi="仿宋" w:eastAsia="仿宋"/>
          <w:b/>
          <w:color w:val="000000"/>
          <w:sz w:val="32"/>
          <w:szCs w:val="32"/>
          <w:lang w:eastAsia="zh-CN"/>
        </w:rPr>
      </w:pPr>
      <w:r>
        <w:rPr>
          <w:rStyle w:val="10"/>
          <w:rFonts w:hint="eastAsia" w:ascii="仿宋" w:hAnsi="仿宋" w:eastAsia="仿宋"/>
          <w:b/>
          <w:bCs w:val="0"/>
          <w:color w:val="000000"/>
          <w:sz w:val="32"/>
          <w:szCs w:val="32"/>
          <w:lang w:val="en-US" w:eastAsia="zh-CN"/>
        </w:rPr>
        <w:t>3.</w:t>
      </w:r>
      <w:r>
        <w:rPr>
          <w:rFonts w:hint="eastAsia" w:ascii="仿宋" w:hAnsi="仿宋" w:eastAsia="仿宋"/>
          <w:b/>
          <w:bCs/>
          <w:color w:val="000000"/>
          <w:sz w:val="32"/>
          <w:szCs w:val="32"/>
        </w:rPr>
        <w:t>卫生健康</w:t>
      </w:r>
      <w:r>
        <w:rPr>
          <w:rStyle w:val="10"/>
          <w:rFonts w:hint="eastAsia" w:ascii="仿宋" w:hAnsi="仿宋" w:eastAsia="仿宋"/>
          <w:bCs/>
          <w:color w:val="000000"/>
          <w:sz w:val="32"/>
          <w:szCs w:val="32"/>
        </w:rPr>
        <w:t>（</w:t>
      </w:r>
      <w:r>
        <w:rPr>
          <w:rStyle w:val="10"/>
          <w:rFonts w:hint="eastAsia" w:ascii="仿宋" w:hAnsi="仿宋" w:eastAsia="仿宋"/>
          <w:bCs/>
          <w:color w:val="000000"/>
          <w:sz w:val="32"/>
          <w:szCs w:val="32"/>
          <w:lang w:val="en-US" w:eastAsia="zh-CN"/>
        </w:rPr>
        <w:t>21011</w:t>
      </w:r>
      <w:r>
        <w:rPr>
          <w:rStyle w:val="10"/>
          <w:rFonts w:hint="eastAsia" w:ascii="仿宋" w:hAnsi="仿宋" w:eastAsia="仿宋"/>
          <w:bCs/>
          <w:color w:val="000000"/>
          <w:sz w:val="32"/>
          <w:szCs w:val="32"/>
        </w:rPr>
        <w:t>）</w:t>
      </w:r>
      <w:r>
        <w:rPr>
          <w:rStyle w:val="10"/>
          <w:rFonts w:hint="eastAsia" w:ascii="仿宋" w:hAnsi="仿宋" w:eastAsia="仿宋"/>
          <w:bCs/>
          <w:color w:val="000000"/>
          <w:sz w:val="32"/>
          <w:szCs w:val="32"/>
          <w:lang w:eastAsia="zh-CN"/>
        </w:rPr>
        <w:t>：</w:t>
      </w:r>
      <w:r>
        <w:rPr>
          <w:rStyle w:val="10"/>
          <w:rFonts w:hint="eastAsia" w:ascii="仿宋" w:hAnsi="仿宋" w:eastAsia="仿宋"/>
          <w:b w:val="0"/>
          <w:bCs/>
          <w:color w:val="000000"/>
          <w:sz w:val="32"/>
          <w:szCs w:val="32"/>
        </w:rPr>
        <w:t>支出决算为</w:t>
      </w:r>
      <w:r>
        <w:rPr>
          <w:rStyle w:val="10"/>
          <w:rFonts w:hint="eastAsia" w:ascii="仿宋" w:hAnsi="仿宋" w:eastAsia="仿宋"/>
          <w:b w:val="0"/>
          <w:bCs/>
          <w:color w:val="000000"/>
          <w:sz w:val="32"/>
          <w:szCs w:val="32"/>
          <w:lang w:val="en-US" w:eastAsia="zh-CN"/>
        </w:rPr>
        <w:t>38.84</w:t>
      </w:r>
      <w:r>
        <w:rPr>
          <w:rStyle w:val="10"/>
          <w:rFonts w:hint="eastAsia" w:ascii="仿宋" w:hAnsi="仿宋" w:eastAsia="仿宋"/>
          <w:b w:val="0"/>
          <w:bCs/>
          <w:color w:val="000000"/>
          <w:sz w:val="32"/>
          <w:szCs w:val="32"/>
        </w:rPr>
        <w:t>万元，完成预算</w:t>
      </w:r>
      <w:r>
        <w:rPr>
          <w:rStyle w:val="10"/>
          <w:rFonts w:hint="eastAsia" w:ascii="仿宋" w:hAnsi="仿宋" w:eastAsia="仿宋"/>
          <w:b w:val="0"/>
          <w:bCs/>
          <w:color w:val="000000"/>
          <w:sz w:val="32"/>
          <w:szCs w:val="32"/>
          <w:lang w:val="en-US" w:eastAsia="zh-CN"/>
        </w:rPr>
        <w:t>100</w:t>
      </w:r>
      <w:r>
        <w:rPr>
          <w:rStyle w:val="10"/>
          <w:rFonts w:ascii="仿宋" w:hAnsi="仿宋" w:eastAsia="仿宋"/>
          <w:b w:val="0"/>
          <w:bCs/>
          <w:color w:val="000000"/>
          <w:sz w:val="32"/>
          <w:szCs w:val="32"/>
        </w:rPr>
        <w:t>%</w:t>
      </w:r>
      <w:r>
        <w:rPr>
          <w:rStyle w:val="10"/>
          <w:rFonts w:hint="eastAsia" w:ascii="仿宋" w:hAnsi="仿宋" w:eastAsia="仿宋"/>
          <w:b w:val="0"/>
          <w:bCs/>
          <w:color w:val="000000"/>
          <w:sz w:val="32"/>
          <w:szCs w:val="32"/>
        </w:rPr>
        <w:t>。</w:t>
      </w:r>
      <w:r>
        <w:rPr>
          <w:rStyle w:val="10"/>
          <w:rFonts w:hint="eastAsia" w:ascii="仿宋" w:hAnsi="仿宋" w:eastAsia="仿宋"/>
          <w:b w:val="0"/>
          <w:bCs/>
          <w:color w:val="000000"/>
          <w:sz w:val="32"/>
          <w:szCs w:val="32"/>
          <w:lang w:eastAsia="zh-CN"/>
        </w:rPr>
        <w:t>其中（</w:t>
      </w:r>
      <w:r>
        <w:rPr>
          <w:rFonts w:hint="default" w:ascii="仿宋_GB2312" w:hAnsi="宋体" w:eastAsia="仿宋_GB2312" w:cs="仿宋_GB2312"/>
          <w:kern w:val="0"/>
          <w:sz w:val="32"/>
          <w:szCs w:val="32"/>
          <w:lang w:val="en-US" w:eastAsia="zh-CN" w:bidi="ar"/>
        </w:rPr>
        <w:t>2101101</w:t>
      </w:r>
      <w:r>
        <w:rPr>
          <w:rFonts w:hint="eastAsia" w:ascii="仿宋_GB2312" w:hAnsi="宋体" w:eastAsia="仿宋_GB2312" w:cs="仿宋_GB2312"/>
          <w:kern w:val="0"/>
          <w:sz w:val="32"/>
          <w:szCs w:val="32"/>
          <w:lang w:val="en-US" w:eastAsia="zh-CN" w:bidi="ar"/>
        </w:rPr>
        <w:t>）支出决算为</w:t>
      </w:r>
      <w:r>
        <w:rPr>
          <w:rFonts w:hint="default" w:ascii="仿宋_GB2312" w:hAnsi="宋体" w:eastAsia="仿宋_GB2312" w:cs="仿宋_GB2312"/>
          <w:kern w:val="0"/>
          <w:sz w:val="32"/>
          <w:szCs w:val="32"/>
          <w:lang w:val="en-US" w:eastAsia="zh-CN" w:bidi="ar"/>
        </w:rPr>
        <w:t>28.13</w:t>
      </w:r>
      <w:r>
        <w:rPr>
          <w:rFonts w:hint="eastAsia" w:ascii="仿宋_GB2312" w:hAnsi="宋体" w:eastAsia="仿宋_GB2312" w:cs="仿宋_GB2312"/>
          <w:kern w:val="0"/>
          <w:sz w:val="32"/>
          <w:szCs w:val="32"/>
          <w:lang w:val="en-US" w:eastAsia="zh-CN" w:bidi="ar"/>
        </w:rPr>
        <w:t>万元，（</w:t>
      </w:r>
      <w:r>
        <w:rPr>
          <w:rFonts w:hint="default" w:ascii="仿宋_GB2312" w:hAnsi="宋体" w:eastAsia="仿宋_GB2312" w:cs="仿宋_GB2312"/>
          <w:kern w:val="0"/>
          <w:sz w:val="32"/>
          <w:szCs w:val="32"/>
          <w:lang w:val="en-US" w:eastAsia="zh-CN" w:bidi="ar"/>
        </w:rPr>
        <w:t>2101102</w:t>
      </w:r>
      <w:r>
        <w:rPr>
          <w:rFonts w:hint="eastAsia" w:ascii="仿宋_GB2312" w:hAnsi="宋体" w:eastAsia="仿宋_GB2312" w:cs="仿宋_GB2312"/>
          <w:kern w:val="0"/>
          <w:sz w:val="32"/>
          <w:szCs w:val="32"/>
          <w:lang w:val="en-US" w:eastAsia="zh-CN" w:bidi="ar"/>
        </w:rPr>
        <w:t>）支出决算为</w:t>
      </w:r>
      <w:r>
        <w:rPr>
          <w:rFonts w:hint="default" w:ascii="仿宋_GB2312" w:hAnsi="宋体" w:eastAsia="仿宋_GB2312" w:cs="仿宋_GB2312"/>
          <w:kern w:val="0"/>
          <w:sz w:val="32"/>
          <w:szCs w:val="32"/>
          <w:lang w:val="en-US" w:eastAsia="zh-CN" w:bidi="ar"/>
        </w:rPr>
        <w:t>1.2</w:t>
      </w:r>
      <w:r>
        <w:rPr>
          <w:rFonts w:hint="eastAsia" w:ascii="仿宋_GB2312" w:hAnsi="宋体" w:eastAsia="仿宋_GB2312" w:cs="仿宋_GB2312"/>
          <w:kern w:val="0"/>
          <w:sz w:val="32"/>
          <w:szCs w:val="32"/>
          <w:lang w:val="en-US" w:eastAsia="zh-CN" w:bidi="ar"/>
        </w:rPr>
        <w:t>7万元，（</w:t>
      </w:r>
      <w:r>
        <w:rPr>
          <w:rFonts w:hint="default" w:ascii="仿宋_GB2312" w:hAnsi="宋体" w:eastAsia="仿宋_GB2312" w:cs="仿宋_GB2312"/>
          <w:kern w:val="0"/>
          <w:sz w:val="32"/>
          <w:szCs w:val="32"/>
          <w:lang w:val="en-US" w:eastAsia="zh-CN" w:bidi="ar"/>
        </w:rPr>
        <w:t>2101103</w:t>
      </w:r>
      <w:r>
        <w:rPr>
          <w:rFonts w:hint="eastAsia" w:ascii="仿宋_GB2312" w:hAnsi="宋体" w:eastAsia="仿宋_GB2312" w:cs="仿宋_GB2312"/>
          <w:kern w:val="0"/>
          <w:sz w:val="32"/>
          <w:szCs w:val="32"/>
          <w:lang w:val="en-US" w:eastAsia="zh-CN" w:bidi="ar"/>
        </w:rPr>
        <w:t>）支出决算为</w:t>
      </w:r>
      <w:r>
        <w:rPr>
          <w:rFonts w:hint="default" w:ascii="仿宋_GB2312" w:hAnsi="宋体" w:eastAsia="仿宋_GB2312" w:cs="仿宋_GB2312"/>
          <w:kern w:val="0"/>
          <w:sz w:val="32"/>
          <w:szCs w:val="32"/>
          <w:lang w:val="en-US" w:eastAsia="zh-CN" w:bidi="ar"/>
        </w:rPr>
        <w:t>10.71</w:t>
      </w:r>
      <w:r>
        <w:rPr>
          <w:rFonts w:hint="eastAsia" w:ascii="仿宋_GB2312" w:hAnsi="宋体" w:eastAsia="仿宋_GB2312" w:cs="仿宋_GB2312"/>
          <w:kern w:val="0"/>
          <w:sz w:val="32"/>
          <w:szCs w:val="32"/>
          <w:lang w:val="en-US" w:eastAsia="zh-CN" w:bidi="ar"/>
        </w:rPr>
        <w:t>万元。</w:t>
      </w:r>
    </w:p>
    <w:p w14:paraId="375D2839">
      <w:pPr>
        <w:keepNext w:val="0"/>
        <w:keepLines w:val="0"/>
        <w:pageBreakBefore w:val="0"/>
        <w:kinsoku/>
        <w:wordWrap/>
        <w:overflowPunct/>
        <w:topLinePunct w:val="0"/>
        <w:autoSpaceDE/>
        <w:autoSpaceDN/>
        <w:bidi w:val="0"/>
        <w:spacing w:line="576" w:lineRule="exact"/>
        <w:ind w:firstLine="643" w:firstLineChars="200"/>
        <w:textAlignment w:val="auto"/>
        <w:rPr>
          <w:rFonts w:hint="eastAsia" w:ascii="仿宋_GB2312" w:eastAsia="仿宋_GB2312" w:cs="仿宋_GB2312"/>
          <w:kern w:val="0"/>
          <w:sz w:val="32"/>
          <w:szCs w:val="32"/>
          <w:lang w:val="en-US"/>
        </w:rPr>
      </w:pPr>
      <w:r>
        <w:rPr>
          <w:rStyle w:val="10"/>
          <w:rFonts w:hint="eastAsia" w:ascii="仿宋" w:hAnsi="仿宋" w:eastAsia="仿宋"/>
          <w:b/>
          <w:bCs w:val="0"/>
          <w:color w:val="000000"/>
          <w:sz w:val="32"/>
          <w:szCs w:val="32"/>
          <w:lang w:val="en-US" w:eastAsia="zh-CN"/>
        </w:rPr>
        <w:t>4.住房保障（2210201）：</w:t>
      </w:r>
      <w:r>
        <w:rPr>
          <w:rStyle w:val="10"/>
          <w:rFonts w:hint="eastAsia" w:ascii="仿宋" w:hAnsi="仿宋" w:eastAsia="仿宋"/>
          <w:b w:val="0"/>
          <w:bCs/>
          <w:color w:val="000000"/>
          <w:sz w:val="32"/>
          <w:szCs w:val="32"/>
        </w:rPr>
        <w:t>支出决算为</w:t>
      </w:r>
      <w:r>
        <w:rPr>
          <w:rStyle w:val="10"/>
          <w:rFonts w:hint="eastAsia" w:ascii="仿宋" w:hAnsi="仿宋" w:eastAsia="仿宋"/>
          <w:b w:val="0"/>
          <w:bCs/>
          <w:color w:val="000000"/>
          <w:sz w:val="32"/>
          <w:szCs w:val="32"/>
          <w:lang w:val="en-US" w:eastAsia="zh-CN"/>
        </w:rPr>
        <w:t>50.58</w:t>
      </w:r>
      <w:r>
        <w:rPr>
          <w:rStyle w:val="10"/>
          <w:rFonts w:hint="eastAsia" w:ascii="仿宋" w:hAnsi="仿宋" w:eastAsia="仿宋"/>
          <w:b w:val="0"/>
          <w:bCs/>
          <w:color w:val="000000"/>
          <w:sz w:val="32"/>
          <w:szCs w:val="32"/>
        </w:rPr>
        <w:t>万元，完成预算</w:t>
      </w:r>
      <w:r>
        <w:rPr>
          <w:rStyle w:val="10"/>
          <w:rFonts w:hint="eastAsia" w:ascii="仿宋" w:hAnsi="仿宋" w:eastAsia="仿宋"/>
          <w:b w:val="0"/>
          <w:bCs/>
          <w:color w:val="000000"/>
          <w:sz w:val="32"/>
          <w:szCs w:val="32"/>
          <w:lang w:val="en-US" w:eastAsia="zh-CN"/>
        </w:rPr>
        <w:t>100</w:t>
      </w:r>
      <w:r>
        <w:rPr>
          <w:rStyle w:val="10"/>
          <w:rFonts w:ascii="仿宋" w:hAnsi="仿宋" w:eastAsia="仿宋"/>
          <w:b w:val="0"/>
          <w:bCs/>
          <w:color w:val="000000"/>
          <w:sz w:val="32"/>
          <w:szCs w:val="32"/>
        </w:rPr>
        <w:t>%</w:t>
      </w:r>
      <w:r>
        <w:rPr>
          <w:rStyle w:val="10"/>
          <w:rFonts w:hint="eastAsia" w:ascii="仿宋" w:hAnsi="仿宋" w:eastAsia="仿宋"/>
          <w:b w:val="0"/>
          <w:bCs/>
          <w:color w:val="000000"/>
          <w:sz w:val="32"/>
          <w:szCs w:val="32"/>
        </w:rPr>
        <w:t>。</w:t>
      </w:r>
      <w:r>
        <w:rPr>
          <w:rFonts w:hint="default" w:ascii="仿宋_GB2312" w:eastAsia="仿宋_GB2312" w:cs="仿宋_GB2312"/>
          <w:kern w:val="0"/>
          <w:sz w:val="32"/>
          <w:szCs w:val="32"/>
          <w:lang w:val="en-US"/>
        </w:rPr>
        <w:t xml:space="preserve">   </w:t>
      </w:r>
    </w:p>
    <w:p w14:paraId="6ACA74E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 xml:space="preserve">六、一般公共预算财政拨款基本支出决算情况说明   </w:t>
      </w:r>
    </w:p>
    <w:p w14:paraId="7768668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一般公共预算财政拨款基本支出879.99万元，其中：人员经费786.62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5BB987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公用经费93.37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0417B63">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七、“三公”经费财政拨款支出决算情况说明</w:t>
      </w:r>
    </w:p>
    <w:p w14:paraId="7464E3E7">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（一）“三公”经费财政拨款支出决算总体情况说明</w:t>
      </w:r>
    </w:p>
    <w:p w14:paraId="213670E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2022年“三公”经费财政拨款支出决算为43.63万元，完成预算73%，决算数小于预算数的主要原因是我单位公务用车没有出现大修的情况，且节约使用公务经费。</w:t>
      </w:r>
    </w:p>
    <w:p w14:paraId="032D059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（二）“三公”经费财政拨款支出决算具体情况说明</w:t>
      </w:r>
    </w:p>
    <w:p w14:paraId="6076CCA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2022年“三公”经费财政拨款支出决算中，因公出国（境）费支出决算0.00万元，占0.00%；公务用车购置及运行维护费支出决算43.15万元，占98.90%；公务接待费支出决算0.48万元，占1.10%。具体情况如下：</w:t>
      </w:r>
    </w:p>
    <w:p w14:paraId="4E7C141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公务用车购置及运行维护费支出43.15万元，完成预算73%。公务用车购置及运行维护费支出决算比2021年减少57.49万元，减少57%。主要原因是2021年新购公务用车1辆，而2022年没有购车。截至2022年12月底，单位共有公务用车4辆，其中：轿车0辆、越野车4辆、载客汽车0辆。</w:t>
      </w:r>
    </w:p>
    <w:p w14:paraId="552B260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公务用车运行维护费支出43.15万元。主要用于政协机关开展各项工作涉及的县内下乡、县外、州外、省外出差等所需的公务用车燃料费、维修费、过路过桥费、保险费、洗车费、停车费、保养费等支出。</w:t>
      </w:r>
    </w:p>
    <w:p w14:paraId="4DBBC8FF">
      <w:pPr>
        <w:keepNext w:val="0"/>
        <w:keepLines w:val="0"/>
        <w:pageBreakBefore w:val="0"/>
        <w:widowControl/>
        <w:numPr>
          <w:ilvl w:val="0"/>
          <w:numId w:val="1"/>
        </w:numPr>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公务接待费支出0.48万元，完成预算100%。公务接待费支出决算比2021年减少0.81万元，减少63%。主要原因是落实中央八项规定，减少接待支出。其中：国内公务接待支出0.48万元，主要用于各政协到我县调研、交流工作涉及的餐费。国内公务接待2批次，30人次（不包括陪同人员），共计支出0.48万元，具体内容包括：泸州市政协到我县开展文化资源挖掘保护等交流工作餐费3300，彭州市政协到我县开展川西生态示范区等工作调研餐费1500元。</w:t>
      </w:r>
    </w:p>
    <w:p w14:paraId="45B1AFB9">
      <w:pPr>
        <w:keepNext w:val="0"/>
        <w:keepLines w:val="0"/>
        <w:pageBreakBefore w:val="0"/>
        <w:widowControl/>
        <w:numPr>
          <w:ilvl w:val="0"/>
          <w:numId w:val="0"/>
        </w:numPr>
        <w:suppressLineNumbers w:val="0"/>
        <w:kinsoku/>
        <w:wordWrap/>
        <w:overflowPunct/>
        <w:topLinePunct w:val="0"/>
        <w:autoSpaceDE w:val="0"/>
        <w:autoSpaceDN/>
        <w:bidi w:val="0"/>
        <w:snapToGrid w:val="0"/>
        <w:spacing w:before="0" w:beforeAutospacing="0" w:after="0" w:afterAutospacing="0" w:line="576" w:lineRule="exact"/>
        <w:ind w:right="0" w:rightChars="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八、政府性基金预算支出决算情况说明</w:t>
      </w:r>
    </w:p>
    <w:p w14:paraId="1B9BA60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2022年政府性基金预算财政拨款支出0.00万元。</w:t>
      </w:r>
    </w:p>
    <w:p w14:paraId="6077E67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楷体_GB2312" w:hAnsi="楷体_GB2312" w:eastAsia="楷体_GB2312" w:cs="楷体_GB2312"/>
          <w:b/>
          <w:bCs/>
          <w:kern w:val="0"/>
          <w:sz w:val="32"/>
          <w:szCs w:val="32"/>
        </w:rPr>
      </w:pPr>
      <w:r>
        <w:rPr>
          <w:rFonts w:hint="eastAsia" w:ascii="仿宋_GB2312" w:hAnsi="宋体" w:eastAsia="仿宋_GB2312" w:cs="仿宋_GB2312"/>
          <w:kern w:val="0"/>
          <w:sz w:val="32"/>
          <w:szCs w:val="32"/>
          <w:lang w:val="en-US" w:eastAsia="zh-CN" w:bidi="ar"/>
        </w:rPr>
        <w:t xml:space="preserve">    </w:t>
      </w:r>
      <w:r>
        <w:rPr>
          <w:rFonts w:hint="eastAsia" w:ascii="楷体_GB2312" w:hAnsi="楷体_GB2312" w:eastAsia="楷体_GB2312" w:cs="楷体_GB2312"/>
          <w:b/>
          <w:bCs/>
          <w:kern w:val="0"/>
          <w:sz w:val="32"/>
          <w:szCs w:val="32"/>
          <w:lang w:val="en-US" w:eastAsia="zh-CN" w:bidi="ar"/>
        </w:rPr>
        <w:t>九、国有资本经营预算支出决算情况说明</w:t>
      </w:r>
    </w:p>
    <w:p w14:paraId="18442FF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2022年国有资本经营预算财政拨款支出0.00万元。</w:t>
      </w:r>
    </w:p>
    <w:p w14:paraId="61E8A26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十、其他重要事项的情况说明</w:t>
      </w:r>
    </w:p>
    <w:p w14:paraId="0BF96A7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（一）机关运行经费支出情况</w:t>
      </w:r>
    </w:p>
    <w:p w14:paraId="56E0AC6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lang w:val="en-US"/>
        </w:rPr>
      </w:pPr>
      <w:r>
        <w:rPr>
          <w:rFonts w:hint="eastAsia" w:ascii="仿宋_GB2312" w:hAnsi="宋体" w:eastAsia="仿宋_GB2312" w:cs="仿宋_GB2312"/>
          <w:kern w:val="0"/>
          <w:sz w:val="32"/>
          <w:szCs w:val="32"/>
          <w:lang w:val="en-US" w:eastAsia="zh-CN" w:bidi="ar"/>
        </w:rPr>
        <w:t>2022年，中国人民政治协商会议阿坝州松潘县委员会办公室机关运行经费支出93.37万元，比2021年减少28.29万元，减少23%。主要原因是2021年有公务用车采购，2022年没有。</w:t>
      </w:r>
    </w:p>
    <w:p w14:paraId="063266D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lang w:val="en-US" w:eastAsia="zh-CN" w:bidi="ar"/>
        </w:rPr>
        <w:t>（二）政府采购支出情况</w:t>
      </w:r>
    </w:p>
    <w:p w14:paraId="578BB57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2022年，中国人民政治协商会议阿坝州松潘县委员会办公室政府采购支出总额19.13万元，其中：政府采购货物支出19.13万元、政府采购工程支出0.00万元、政府采购服务支出0.00万元。授予中小企业合同金额19.13万元，占政府采购支出总额的100.00%，其中：授予小微企业合同金额19.13万元，占政府采购支出总额的100.00%。主要用于办公室电脑、打印机、照相机等办公设备的采购。 </w:t>
      </w:r>
    </w:p>
    <w:p w14:paraId="169459A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（三）国有资产占有使用情况</w:t>
      </w:r>
    </w:p>
    <w:p w14:paraId="1262DE9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截至2022年12月31日，中国人民政治协商会议阿坝州松潘县委员会办公室共有车辆4辆，其中：主要领导干部用车0辆、机要通信用车0辆、应急保障用车0辆、其他用车4辆。其他用车主要是用于政协机</w:t>
      </w:r>
      <w:r>
        <w:rPr>
          <w:rFonts w:hint="default" w:ascii="仿宋_GB2312" w:hAnsi="宋体" w:eastAsia="仿宋_GB2312" w:cs="仿宋_GB2312"/>
          <w:kern w:val="0"/>
          <w:sz w:val="32"/>
          <w:szCs w:val="32"/>
          <w:lang w:val="en-US" w:eastAsia="zh-CN" w:bidi="ar"/>
        </w:rPr>
        <w:t xml:space="preserve"> </w:t>
      </w:r>
      <w:r>
        <w:rPr>
          <w:rFonts w:hint="eastAsia" w:ascii="仿宋_GB2312" w:hAnsi="宋体" w:eastAsia="仿宋_GB2312" w:cs="仿宋_GB2312"/>
          <w:kern w:val="0"/>
          <w:sz w:val="32"/>
          <w:szCs w:val="32"/>
          <w:lang w:val="en-US" w:eastAsia="zh-CN" w:bidi="ar"/>
        </w:rPr>
        <w:t>开展各项工作涉及的县内下乡、县外、州外、省外出差等的出行。支出单价100万元（含）以上设备（不含车辆）0台（套）。</w:t>
      </w:r>
    </w:p>
    <w:p w14:paraId="6A14262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3" w:firstLineChars="200"/>
        <w:jc w:val="left"/>
        <w:textAlignment w:val="auto"/>
        <w:rPr>
          <w:rFonts w:hint="eastAsia" w:ascii="仿宋_GB2312" w:eastAsia="仿宋_GB2312" w:cs="仿宋_GB2312"/>
          <w:b/>
          <w:bCs/>
          <w:kern w:val="0"/>
          <w:sz w:val="32"/>
          <w:szCs w:val="32"/>
        </w:rPr>
      </w:pPr>
      <w:r>
        <w:rPr>
          <w:rFonts w:hint="eastAsia" w:ascii="仿宋_GB2312" w:hAnsi="宋体" w:eastAsia="仿宋_GB2312" w:cs="仿宋_GB2312"/>
          <w:b/>
          <w:bCs/>
          <w:kern w:val="0"/>
          <w:sz w:val="32"/>
          <w:szCs w:val="32"/>
          <w:lang w:val="en-US" w:eastAsia="zh-CN" w:bidi="ar"/>
        </w:rPr>
        <w:t>（四）预算绩效管理情况</w:t>
      </w:r>
    </w:p>
    <w:p w14:paraId="02FEB59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根据预算绩效管理要求，本部门在2022年度预算编制阶段，组织对会议经费项目开展了预算事前绩效评估，编制了绩效目标，预算执行过程中，开展了绩效监控。组织对2022年度一般公共预算、政府性基金预算、国有资本经营预算、社会保险基金预算以及资本资产、债券资金等全面开展绩效自评，形成松潘县政协办公室部门整体（含部门预算项目）绩效自评报告。</w:t>
      </w:r>
    </w:p>
    <w:p w14:paraId="262E827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lang w:val="en-US" w:eastAsia="zh-CN" w:bidi="ar"/>
        </w:rPr>
        <w:t>第三部分 名词解释</w:t>
      </w:r>
    </w:p>
    <w:p w14:paraId="1D86484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1.财政拨款收入：指单位从同级财政部门取得的财政预算资金。</w:t>
      </w:r>
    </w:p>
    <w:p w14:paraId="1C08F32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2.事业收入：指事业单位开展专业业务活动及辅助活动取得的收入。如…（二级预算单位事业收入情况）等。</w:t>
      </w:r>
    </w:p>
    <w:p w14:paraId="258B107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3.经营收入：指事业单位在专业业务活动及其辅助活动之外开展非独立核算经营活动取得的收入。如…（二级预算单位经营收入情况）等。</w:t>
      </w:r>
    </w:p>
    <w:p w14:paraId="03FCDD3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4.其他收入：指单位取得的除上述收入以外的各项收入。主要是…（收入类型）等。</w:t>
      </w:r>
    </w:p>
    <w:p w14:paraId="00CBD90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5.使用非财政拨款结余：指事业单位使用以前年度积累的非财政拨款结余弥补当年收支差额的金额。</w:t>
      </w:r>
    </w:p>
    <w:p w14:paraId="7692A30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6.年初结转和结余：指以前年度尚未完成、结转到本年按有关规定继续使用的资金。</w:t>
      </w:r>
    </w:p>
    <w:p w14:paraId="6EAE4C3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7.结余分配：指事业单位按照会计制度规定缴纳的所得税、提取的专用结余以及转入非财政拨款结余的金额等。</w:t>
      </w:r>
    </w:p>
    <w:p w14:paraId="3121127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8、年末结转和结余：指单位按有关规定结转到下年或以后年度继续使用的资金。</w:t>
      </w:r>
    </w:p>
    <w:p w14:paraId="2F20BD8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9.一般公共服务（类）…（款）…（项）：指……。</w:t>
      </w:r>
    </w:p>
    <w:p w14:paraId="19663A3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10.外交（类）…（款）…（项）：指……。</w:t>
      </w:r>
    </w:p>
    <w:p w14:paraId="4F7FAA7C">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11.公共安全（类）…（款）…（项）：指……。</w:t>
      </w:r>
    </w:p>
    <w:p w14:paraId="1D2BBED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12.教育（类）…（款）…（项）：指……。</w:t>
      </w:r>
    </w:p>
    <w:p w14:paraId="1796690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13.科学技术（类）…（款）…（项）：指……。</w:t>
      </w:r>
    </w:p>
    <w:p w14:paraId="38D3672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14.文化体育与传媒（类）…（款）…（项）：指……。</w:t>
      </w:r>
    </w:p>
    <w:p w14:paraId="04D6219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15.社会保障和就业（类）…（款）…（项）：指……。</w:t>
      </w:r>
    </w:p>
    <w:p w14:paraId="2C5A4A6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16.医疗卫生与计划生育（类）…（款）…（项）：指……。</w:t>
      </w:r>
    </w:p>
    <w:p w14:paraId="553277C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17.节能环保（类）…（款）…（项）：指……。</w:t>
      </w:r>
    </w:p>
    <w:p w14:paraId="4D927C3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18.城乡社区（类）…（款）…（项）：指……。</w:t>
      </w:r>
    </w:p>
    <w:p w14:paraId="0B56605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19.农林水（类）…（款）…（项）：指……。</w:t>
      </w:r>
    </w:p>
    <w:p w14:paraId="06ED68C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20.交通运输（类）…（款）…（项）：指……。</w:t>
      </w:r>
    </w:p>
    <w:p w14:paraId="724AE80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21.资源勘探信息等（类）…（款）…（项）：指……。</w:t>
      </w:r>
    </w:p>
    <w:p w14:paraId="2D7D805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22.商业服务业（类）…（款）…（项）：指……。</w:t>
      </w:r>
    </w:p>
    <w:p w14:paraId="087AF06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23.金融（类）…（款）…（项）：指……。</w:t>
      </w:r>
    </w:p>
    <w:p w14:paraId="4942470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24.国土海洋气象等（类）…（款）…（项）：指……。</w:t>
      </w:r>
    </w:p>
    <w:p w14:paraId="0FA8EC3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25.住房保障（类）…（款）…（项）：指……。</w:t>
      </w:r>
    </w:p>
    <w:p w14:paraId="4321EFF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26.粮油物资储备（类）…（款）…（项）：指……。</w:t>
      </w:r>
    </w:p>
    <w:p w14:paraId="67F79D7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（解释本部门决算报表中涉及的全部功能分类科目至项级，不涉及的科目请自行删除。请参照《2022年政府收支分类科目》增减内容。）</w:t>
      </w:r>
    </w:p>
    <w:p w14:paraId="5EE6329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27.基本支出：指为保障机构正常运转、完成日常工作任务而发生的人员支出和公用支出。</w:t>
      </w:r>
    </w:p>
    <w:p w14:paraId="41724AE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28.项目支出：指在基本支出之外为完成特定行政任务和事业发展目标所发生的支出。</w:t>
      </w:r>
    </w:p>
    <w:p w14:paraId="02985EC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29.经营支出：指事业单位在专业业务活动及其辅助活动之外开展非独立核算经营活动发生的支出。</w:t>
      </w:r>
    </w:p>
    <w:p w14:paraId="4D1706F6">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DE0C69">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13CE3ED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（名词解释部分请根据各部门实际列支情况罗列，并根据本部门职责职能增减名词解释内容。）</w:t>
      </w:r>
    </w:p>
    <w:p w14:paraId="446E2F3E">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3AC8067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bidi="ar"/>
        </w:rPr>
        <w:t>第四部分 附件</w:t>
      </w:r>
    </w:p>
    <w:p w14:paraId="1CB20DA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lang w:val="en-US"/>
        </w:rPr>
      </w:pPr>
      <w:r>
        <w:rPr>
          <w:rFonts w:hint="eastAsia" w:ascii="仿宋_GB2312" w:hAnsi="宋体" w:eastAsia="仿宋_GB2312" w:cs="仿宋_GB2312"/>
          <w:kern w:val="0"/>
          <w:sz w:val="32"/>
          <w:szCs w:val="32"/>
          <w:lang w:val="en-US" w:eastAsia="zh-CN" w:bidi="ar"/>
        </w:rPr>
        <w:t>附件1</w:t>
      </w:r>
    </w:p>
    <w:p w14:paraId="594C8259">
      <w:pPr>
        <w:keepNext w:val="0"/>
        <w:keepLines w:val="0"/>
        <w:pageBreakBefore w:val="0"/>
        <w:kinsoku/>
        <w:wordWrap/>
        <w:overflowPunct/>
        <w:topLinePunct w:val="0"/>
        <w:autoSpaceDN/>
        <w:bidi w:val="0"/>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松潘县政协办公室</w:t>
      </w:r>
    </w:p>
    <w:p w14:paraId="21606CBA">
      <w:pPr>
        <w:keepNext w:val="0"/>
        <w:keepLines w:val="0"/>
        <w:pageBreakBefore w:val="0"/>
        <w:kinsoku/>
        <w:wordWrap/>
        <w:overflowPunct/>
        <w:topLinePunct w:val="0"/>
        <w:autoSpaceDN/>
        <w:bidi w:val="0"/>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2022年部门整体支出绩效报告</w:t>
      </w:r>
    </w:p>
    <w:p w14:paraId="1DAA784C">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p>
    <w:p w14:paraId="3B995455">
      <w:pPr>
        <w:keepNext w:val="0"/>
        <w:keepLines w:val="0"/>
        <w:pageBreakBefore w:val="0"/>
        <w:kinsoku/>
        <w:wordWrap/>
        <w:overflowPunct/>
        <w:topLinePunct w:val="0"/>
        <w:autoSpaceDN/>
        <w:bidi w:val="0"/>
        <w:spacing w:line="576"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一、部门概况</w:t>
      </w:r>
    </w:p>
    <w:p w14:paraId="350D7A2E">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（一）机构组成</w:t>
      </w:r>
    </w:p>
    <w:p w14:paraId="5CA6E10F">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松潘县政协机关办公室是中国人民政治协商会议四川省松潘县委员会的下设机构。政协办下属一个事业股级机构为松潘县政协委员信息服务中心。</w:t>
      </w:r>
    </w:p>
    <w:p w14:paraId="40FD1A81">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（二）机构职能</w:t>
      </w:r>
    </w:p>
    <w:p w14:paraId="74F7D3B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1.负责县政协及综合办公室的全面工作，搞好各方面工作协调，下情上报，上情下达。</w:t>
      </w:r>
    </w:p>
    <w:p w14:paraId="7C0E0901">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2、承担主席会议、常委会会议、全体会议及其他有关会议的筹备和会务工作。</w:t>
      </w:r>
    </w:p>
    <w:p w14:paraId="555FE4B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3、起草有关通知、计划、总结、决议、决定、报告等文件，收集整理信息，编辑《年报</w:t>
      </w:r>
      <w:r>
        <w:rPr>
          <w:rFonts w:hint="eastAsia" w:ascii="仿宋_GB2312" w:eastAsia="仿宋_GB2312"/>
          <w:sz w:val="32"/>
          <w:szCs w:val="32"/>
          <w:lang w:eastAsia="zh-CN"/>
        </w:rPr>
        <w:t>》《</w:t>
      </w:r>
      <w:r>
        <w:rPr>
          <w:rFonts w:hint="eastAsia" w:ascii="仿宋_GB2312" w:eastAsia="仿宋_GB2312"/>
          <w:sz w:val="32"/>
          <w:szCs w:val="32"/>
        </w:rPr>
        <w:t>工作简讯》等刊物和资料，搞好政协的内外宣传工作。</w:t>
      </w:r>
    </w:p>
    <w:p w14:paraId="6862EA62">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4、负责文书档案、工资福利、机关行政事务和财务管理、做好机关财产管理、小车管理、国有资产管理、后勤服务和安全工作。</w:t>
      </w:r>
    </w:p>
    <w:p w14:paraId="58B7BF0B">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5、负责机关职工的学习、文体活动、精神文明建设，承担有关接待任务工作。</w:t>
      </w:r>
    </w:p>
    <w:p w14:paraId="48CF5912">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6、负责联络服务政协委员，收集反映社情民意、信息收集及数据统计工作。</w:t>
      </w:r>
    </w:p>
    <w:p w14:paraId="6467C312">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（三）人员概况</w:t>
      </w:r>
    </w:p>
    <w:p w14:paraId="52FF31D7">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松潘县政协机关办公室属一级预算单位，独立编制机构数1个，独立核算机构数1个，财政供养人员编制17名，其中：行政编制14名；行政工勤编制3名。实有人数32人。下属事业股级机构</w:t>
      </w:r>
      <w:r>
        <w:rPr>
          <w:rFonts w:hint="eastAsia" w:ascii="仿宋_GB2312" w:eastAsia="仿宋_GB2312"/>
          <w:sz w:val="32"/>
          <w:szCs w:val="32"/>
          <w:lang w:eastAsia="zh-CN"/>
        </w:rPr>
        <w:t>－－</w:t>
      </w:r>
      <w:r>
        <w:rPr>
          <w:rFonts w:hint="eastAsia" w:ascii="仿宋_GB2312" w:eastAsia="仿宋_GB2312"/>
          <w:sz w:val="32"/>
          <w:szCs w:val="32"/>
        </w:rPr>
        <w:t>松潘县政协委员信息服务中心有事业编制2人，实有人数</w:t>
      </w:r>
      <w:r>
        <w:rPr>
          <w:rFonts w:hint="eastAsia" w:ascii="仿宋_GB2312" w:eastAsia="仿宋_GB2312"/>
          <w:sz w:val="32"/>
          <w:szCs w:val="32"/>
          <w:lang w:val="en-US" w:eastAsia="zh-CN"/>
        </w:rPr>
        <w:t>1</w:t>
      </w:r>
      <w:r>
        <w:rPr>
          <w:rFonts w:hint="eastAsia" w:ascii="仿宋_GB2312" w:eastAsia="仿宋_GB2312"/>
          <w:sz w:val="32"/>
          <w:szCs w:val="32"/>
        </w:rPr>
        <w:t>人。</w:t>
      </w:r>
    </w:p>
    <w:p w14:paraId="135695DB">
      <w:pPr>
        <w:keepNext w:val="0"/>
        <w:keepLines w:val="0"/>
        <w:pageBreakBefore w:val="0"/>
        <w:kinsoku/>
        <w:wordWrap/>
        <w:overflowPunct/>
        <w:topLinePunct w:val="0"/>
        <w:autoSpaceDN/>
        <w:bidi w:val="0"/>
        <w:spacing w:line="576"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二、部门财政资金收支情况</w:t>
      </w:r>
    </w:p>
    <w:p w14:paraId="2669F6D5">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eastAsia="楷体_GB2312"/>
          <w:b/>
          <w:sz w:val="32"/>
          <w:szCs w:val="32"/>
        </w:rPr>
      </w:pPr>
      <w:r>
        <w:rPr>
          <w:rFonts w:hint="eastAsia" w:ascii="楷体_GB2312" w:eastAsia="楷体_GB2312"/>
          <w:b/>
          <w:sz w:val="32"/>
          <w:szCs w:val="32"/>
        </w:rPr>
        <w:t>（一）部门财政资金收入情况</w:t>
      </w:r>
    </w:p>
    <w:p w14:paraId="2A6D620D">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2021年至2022年6月部门财政资金收入情况。</w:t>
      </w:r>
    </w:p>
    <w:p w14:paraId="44E31F09">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松潘县政协办2021年至2022年6月财政拨款总收入1717.41万元，其中2021年827.61万元，2020年内资金结转58.82万元，2022年830.98万元。</w:t>
      </w:r>
    </w:p>
    <w:p w14:paraId="3EC2FE31">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eastAsia="楷体_GB2312"/>
          <w:b/>
          <w:sz w:val="32"/>
          <w:szCs w:val="32"/>
        </w:rPr>
      </w:pPr>
      <w:r>
        <w:rPr>
          <w:rFonts w:hint="eastAsia" w:ascii="楷体_GB2312" w:eastAsia="楷体_GB2312"/>
          <w:b/>
          <w:sz w:val="32"/>
          <w:szCs w:val="32"/>
        </w:rPr>
        <w:t>（二）部门财政资金支出情况</w:t>
      </w:r>
    </w:p>
    <w:p w14:paraId="30936A1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1.2021年1-12月部门财政资金支出情况</w:t>
      </w:r>
    </w:p>
    <w:p w14:paraId="64ADF1AC">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2021年总支出886.43万元，其中一般公共服务支出：758.54万元，占（2010201行政运行年决算数为592.97万元，完成预算86%； 2080505机关事业单位基本养老保险缴费支出年决算数为49.02万元，完成预算100%；2080506单位职业年金33.61万元；2101101行政单位医疗支出23.69万元，完成预算100%；2101103公务员补助10.34，完成预算的100%；2210201住房公积金支出48.91万元，完成预算100%。项目支出127.89万元，占14%</w:t>
      </w:r>
      <w:r>
        <w:rPr>
          <w:rFonts w:hint="eastAsia" w:ascii="仿宋_GB2312" w:eastAsia="仿宋_GB2312"/>
          <w:sz w:val="32"/>
          <w:szCs w:val="32"/>
          <w:lang w:eastAsia="zh-CN"/>
        </w:rPr>
        <w:t>。</w:t>
      </w:r>
      <w:r>
        <w:rPr>
          <w:rFonts w:hint="eastAsia" w:ascii="仿宋_GB2312" w:eastAsia="仿宋_GB2312"/>
          <w:sz w:val="32"/>
          <w:szCs w:val="32"/>
        </w:rPr>
        <w:t>其中2010202一般行政管理15万元，完成预算的100%；2010204政协会议年决算数为94.15万元，完成预算100%；2010205委员视察年决算数为18.74万元，完成预算100%）。</w:t>
      </w:r>
    </w:p>
    <w:p w14:paraId="445636BE">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eastAsia="楷体_GB2312"/>
          <w:b/>
          <w:sz w:val="32"/>
          <w:szCs w:val="32"/>
        </w:rPr>
      </w:pPr>
      <w:r>
        <w:rPr>
          <w:rFonts w:hint="eastAsia" w:ascii="楷体_GB2312" w:eastAsia="楷体_GB2312"/>
          <w:b/>
          <w:sz w:val="32"/>
          <w:szCs w:val="32"/>
        </w:rPr>
        <w:t>2.2021年1-6月部门财政资金支出情况</w:t>
      </w:r>
    </w:p>
    <w:p w14:paraId="1CB06D76">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共计支出830.98万元，其中一般公共服务支出756.08万元，占91%；项目支出74.9万元，占9%。 </w:t>
      </w:r>
    </w:p>
    <w:p w14:paraId="647470B5">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松潘县政协办2021年1-6月：其中2010201行政运行人员经费预算数为615.95万元，已支出383.59万元，完成预算62%； 2010201行政运行日常公用经费预算数为139万元，已支出49.49万元；完成预算37%；2010204政协会议预算数为53.2万元，已支出0万元，完成预算0%；2010205委员视察预算数为5万元，已支出2.24万元，完成预算45%；2010202文史资料经费预算数5万元，已支出0.16万元，完成3%；2010202委员培训费11.7万元，已支付11.4万元，完成97%。2010299委员基金1.13万元，已支付0.4万元，完成35%。</w:t>
      </w:r>
    </w:p>
    <w:p w14:paraId="2FF3266F">
      <w:pPr>
        <w:keepNext w:val="0"/>
        <w:keepLines w:val="0"/>
        <w:pageBreakBefore w:val="0"/>
        <w:kinsoku/>
        <w:wordWrap/>
        <w:overflowPunct/>
        <w:topLinePunct w:val="0"/>
        <w:autoSpaceDN/>
        <w:bidi w:val="0"/>
        <w:spacing w:line="576"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三、部门整体预算绩效管理情况</w:t>
      </w:r>
    </w:p>
    <w:p w14:paraId="55D783B2">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eastAsia="楷体_GB2312"/>
          <w:b/>
          <w:sz w:val="32"/>
          <w:szCs w:val="32"/>
        </w:rPr>
      </w:pPr>
      <w:r>
        <w:rPr>
          <w:rFonts w:hint="eastAsia" w:ascii="楷体_GB2312" w:eastAsia="楷体_GB2312"/>
          <w:b/>
          <w:sz w:val="32"/>
          <w:szCs w:val="32"/>
        </w:rPr>
        <w:t>（一）部门预算管理</w:t>
      </w:r>
    </w:p>
    <w:p w14:paraId="3142DA87">
      <w:pPr>
        <w:keepNext w:val="0"/>
        <w:keepLines w:val="0"/>
        <w:pageBreakBefore w:val="0"/>
        <w:kinsoku/>
        <w:wordWrap/>
        <w:overflowPunct/>
        <w:topLinePunct w:val="0"/>
        <w:autoSpaceDN/>
        <w:bidi w:val="0"/>
        <w:spacing w:line="576" w:lineRule="exact"/>
        <w:ind w:firstLine="643" w:firstLineChars="200"/>
        <w:textAlignment w:val="auto"/>
        <w:rPr>
          <w:rFonts w:hint="eastAsia" w:ascii="仿宋_GB2312" w:eastAsia="仿宋_GB2312"/>
          <w:sz w:val="32"/>
          <w:szCs w:val="32"/>
        </w:rPr>
      </w:pPr>
      <w:r>
        <w:rPr>
          <w:rFonts w:hint="eastAsia" w:ascii="仿宋_GB2312" w:eastAsia="仿宋_GB2312"/>
          <w:b/>
          <w:sz w:val="32"/>
          <w:szCs w:val="32"/>
        </w:rPr>
        <w:t>1.预决算编制情况。</w:t>
      </w:r>
      <w:r>
        <w:rPr>
          <w:rFonts w:hint="eastAsia" w:ascii="仿宋_GB2312" w:eastAsia="仿宋_GB2312"/>
          <w:sz w:val="32"/>
          <w:szCs w:val="32"/>
        </w:rPr>
        <w:t>我单位按照增收节支、保障重点、优化结构、厉行节约的原则，严控“三公”经费管理，从严从紧编制预算。在编制过程中，认真核实单位实际财政供养人数和单位实有编制情况，正确编制人员经费和公用经费等，做到尽量细化项目资金支出预算范围和科目，及时上报相关股室进行审核，对所编制的预算予以调整通过。认真编制2021年部门年度决算报表。为真实、准确反应单位年度财务收、支情况，根据县财政局要求，认真开展部门年度决算报表编制工作。按照政府收支分类科目和财务报表支出情况编制部门决算，决算收入、支出口径与财政局国库股、预算股和行财股以及财政大平台核对无误，报表编制无差错，全面、真实、准确</w:t>
      </w:r>
      <w:r>
        <w:rPr>
          <w:rFonts w:hint="eastAsia" w:ascii="仿宋_GB2312" w:eastAsia="仿宋_GB2312"/>
          <w:sz w:val="32"/>
          <w:szCs w:val="32"/>
          <w:lang w:eastAsia="zh-CN"/>
        </w:rPr>
        <w:t>地</w:t>
      </w:r>
      <w:r>
        <w:rPr>
          <w:rFonts w:hint="eastAsia" w:ascii="仿宋_GB2312" w:eastAsia="仿宋_GB2312"/>
          <w:sz w:val="32"/>
          <w:szCs w:val="32"/>
        </w:rPr>
        <w:t>反映了我单位2021年度财政资金的使用情况。在规定时间内及时将部门预算、决算、“三公”经费预算在松潘县政府门户网站上予以公开。2021年收入预算总额886.43万元，当年财政拨款收入827.61万元，上年结转资金58.82万元。相应安排支出预算886.43万元，其中：基本支出758.54万元，项目支出127.89万元。</w:t>
      </w:r>
    </w:p>
    <w:p w14:paraId="231A4567">
      <w:pPr>
        <w:keepNext w:val="0"/>
        <w:keepLines w:val="0"/>
        <w:pageBreakBefore w:val="0"/>
        <w:kinsoku/>
        <w:wordWrap/>
        <w:overflowPunct/>
        <w:topLinePunct w:val="0"/>
        <w:autoSpaceDN/>
        <w:bidi w:val="0"/>
        <w:spacing w:line="576" w:lineRule="exact"/>
        <w:ind w:firstLine="643" w:firstLineChars="200"/>
        <w:textAlignment w:val="auto"/>
        <w:rPr>
          <w:rFonts w:hint="eastAsia" w:ascii="仿宋_GB2312" w:eastAsia="仿宋_GB2312"/>
          <w:sz w:val="32"/>
          <w:szCs w:val="32"/>
        </w:rPr>
      </w:pPr>
      <w:r>
        <w:rPr>
          <w:rFonts w:hint="eastAsia" w:ascii="仿宋_GB2312" w:eastAsia="仿宋_GB2312"/>
          <w:b/>
          <w:sz w:val="32"/>
          <w:szCs w:val="32"/>
        </w:rPr>
        <w:t>2.部门预算执行进度情况。</w:t>
      </w:r>
      <w:r>
        <w:rPr>
          <w:rFonts w:hint="eastAsia" w:ascii="仿宋_GB2312" w:eastAsia="仿宋_GB2312"/>
          <w:sz w:val="32"/>
          <w:szCs w:val="32"/>
        </w:rPr>
        <w:t>按《</w:t>
      </w:r>
      <w:r>
        <w:rPr>
          <w:rFonts w:hint="eastAsia" w:ascii="仿宋_GB2312" w:eastAsia="仿宋_GB2312"/>
          <w:sz w:val="32"/>
          <w:szCs w:val="32"/>
          <w:lang w:val="en-US" w:eastAsia="zh-CN"/>
        </w:rPr>
        <w:t>中华人民共和国</w:t>
      </w:r>
      <w:r>
        <w:rPr>
          <w:rFonts w:hint="eastAsia" w:ascii="仿宋_GB2312" w:eastAsia="仿宋_GB2312"/>
          <w:sz w:val="32"/>
          <w:szCs w:val="32"/>
        </w:rPr>
        <w:t>预算法》和财政有关规定，职工工资等人员经费按月发放，公用经费报计划经财政相关股室审核后及时支付，项目经费按我单位工作要点开展情况及时支付。在支付方式上，工资实行财政直接支付；项目资金及公用经费申请授权支付并采取转账支付或公务卡支付，尽量减少现金支出。</w:t>
      </w:r>
    </w:p>
    <w:p w14:paraId="372E74FC">
      <w:pPr>
        <w:keepNext w:val="0"/>
        <w:keepLines w:val="0"/>
        <w:pageBreakBefore w:val="0"/>
        <w:kinsoku/>
        <w:wordWrap/>
        <w:overflowPunct/>
        <w:topLinePunct w:val="0"/>
        <w:autoSpaceDN/>
        <w:bidi w:val="0"/>
        <w:spacing w:line="576" w:lineRule="exact"/>
        <w:ind w:firstLine="643" w:firstLineChars="200"/>
        <w:textAlignment w:val="auto"/>
        <w:rPr>
          <w:rFonts w:hint="eastAsia" w:ascii="仿宋_GB2312" w:eastAsia="仿宋_GB2312"/>
          <w:b/>
          <w:sz w:val="32"/>
          <w:szCs w:val="32"/>
        </w:rPr>
      </w:pPr>
      <w:r>
        <w:rPr>
          <w:rFonts w:hint="eastAsia" w:ascii="仿宋_GB2312" w:eastAsia="仿宋_GB2312"/>
          <w:b/>
          <w:sz w:val="32"/>
          <w:szCs w:val="32"/>
        </w:rPr>
        <w:t>3.部门支出绩效</w:t>
      </w:r>
    </w:p>
    <w:p w14:paraId="159FDE4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（1）行政运转保障</w:t>
      </w:r>
    </w:p>
    <w:p w14:paraId="3F5B1977">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项目支出主要用于保障我单位机构正常运转，完成日常工作任务，管理和使用我单位会议经费、委员视察、文史资料等专项资金，保障政协全体会议、政协委员视察活动及文史资料工作的正常开展。</w:t>
      </w:r>
    </w:p>
    <w:p w14:paraId="17349FB3">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基本支出，是用于保障我单位正常运转的日常支出，包括基本工资、津贴补贴、社会保障、机关事业单位基本养老保险、职业年金、住房公积金和日常公用经费等的支出。</w:t>
      </w:r>
    </w:p>
    <w:p w14:paraId="4C3FDCB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（2）机关厉行节约</w:t>
      </w:r>
    </w:p>
    <w:p w14:paraId="7334FB5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严格执行中央</w:t>
      </w:r>
      <w:bookmarkStart w:id="0" w:name="_GoBack"/>
      <w:r>
        <w:rPr>
          <w:rFonts w:hint="eastAsia" w:ascii="仿宋_GB2312" w:eastAsia="仿宋_GB2312"/>
          <w:sz w:val="32"/>
          <w:szCs w:val="32"/>
        </w:rPr>
        <w:t>八项规定</w:t>
      </w:r>
      <w:bookmarkEnd w:id="0"/>
      <w:r>
        <w:rPr>
          <w:rFonts w:hint="eastAsia" w:ascii="仿宋_GB2312" w:eastAsia="仿宋_GB2312"/>
          <w:sz w:val="32"/>
          <w:szCs w:val="32"/>
        </w:rPr>
        <w:t>，从严控制“三公”经费预算支出。2021年全年无因公出国（境）费用，车辆运行维护费42.72万元；公务接待费1.29万元。</w:t>
      </w:r>
    </w:p>
    <w:p w14:paraId="56548E93">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（3）机关节能降耗</w:t>
      </w:r>
    </w:p>
    <w:p w14:paraId="04AF131E">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严格执行党政机关厉行节约反对浪费之规定，倡导机关工作人员自觉养成艰苦朴素、勤俭节约的良好风尚，进一步推进节约型机关建设，着力降低单位能耗，从细微处着手，培育良好生活、工作习惯，离开办公室要随手关灯，杜绝“长明灯</w:t>
      </w:r>
      <w:r>
        <w:rPr>
          <w:rFonts w:hint="eastAsia" w:ascii="仿宋_GB2312" w:eastAsia="仿宋_GB2312"/>
          <w:sz w:val="32"/>
          <w:szCs w:val="32"/>
          <w:lang w:eastAsia="zh-CN"/>
        </w:rPr>
        <w:t>”“</w:t>
      </w:r>
      <w:r>
        <w:rPr>
          <w:rFonts w:hint="eastAsia" w:ascii="仿宋_GB2312" w:eastAsia="仿宋_GB2312"/>
          <w:sz w:val="32"/>
          <w:szCs w:val="32"/>
        </w:rPr>
        <w:t>白昼灯”，下班后自觉关闭各类电器设备电源，做到节约用水，增强勤俭节约意识。</w:t>
      </w:r>
    </w:p>
    <w:p w14:paraId="00559DF0">
      <w:pPr>
        <w:keepNext w:val="0"/>
        <w:keepLines w:val="0"/>
        <w:pageBreakBefore w:val="0"/>
        <w:kinsoku/>
        <w:wordWrap/>
        <w:overflowPunct/>
        <w:topLinePunct w:val="0"/>
        <w:autoSpaceDN/>
        <w:bidi w:val="0"/>
        <w:spacing w:line="576" w:lineRule="exact"/>
        <w:ind w:firstLine="643" w:firstLineChars="200"/>
        <w:textAlignment w:val="auto"/>
        <w:rPr>
          <w:rFonts w:hint="eastAsia" w:ascii="楷体_GB2312" w:eastAsia="楷体_GB2312"/>
          <w:b/>
          <w:sz w:val="32"/>
          <w:szCs w:val="32"/>
        </w:rPr>
      </w:pPr>
      <w:r>
        <w:rPr>
          <w:rFonts w:hint="eastAsia" w:ascii="楷体_GB2312" w:eastAsia="楷体_GB2312"/>
          <w:b/>
          <w:sz w:val="32"/>
          <w:szCs w:val="32"/>
        </w:rPr>
        <w:t>（二）结果运用情况</w:t>
      </w:r>
    </w:p>
    <w:p w14:paraId="7DF50B9C">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中期评估。在执行各项资金预算中，严格按照中央、省、州、县各级财经政策规定，管好、用好每笔资金。同时，按照单位内部控制建设要求也制定了相应的“财务管理规定”等相关制度，在专项项目资金使用过程中，严格按照项目资金管理办法的规定做好项目实施和监管，切实做到专款专用，从而发挥好项目资金对项目实施的促进作用；资金支付遵照相关要求及时支付，杜绝违规违纪事件的发生。</w:t>
      </w:r>
      <w:r>
        <w:rPr>
          <w:rFonts w:ascii="仿宋_GB2312" w:eastAsia="仿宋_GB2312"/>
          <w:sz w:val="32"/>
          <w:szCs w:val="32"/>
        </w:rPr>
        <w:br w:type="textWrapping"/>
      </w:r>
      <w:r>
        <w:rPr>
          <w:rFonts w:hint="eastAsia" w:ascii="仿宋_GB2312" w:eastAsia="仿宋_GB2312"/>
          <w:sz w:val="32"/>
          <w:szCs w:val="32"/>
        </w:rPr>
        <w:t xml:space="preserve">    2.财务管理情况。在财务管理方面，严格执行各项财务管理制度，强化资金管理和使用。通过加强预算收支管理，不断健全《松潘县政协办公室内部控制制度》，梳理内部管理流程，管好用好每笔资金，杜绝违规违法事件的发生。财务活动接受审计、财政监督、纪检监察等部门的监督检查。</w:t>
      </w:r>
    </w:p>
    <w:p w14:paraId="783786BB">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3.综合管理情况</w:t>
      </w:r>
    </w:p>
    <w:p w14:paraId="09C7CEA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我单位无政府性债务及非税收收入。</w:t>
      </w:r>
    </w:p>
    <w:p w14:paraId="50560565">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政府采购严格按照相关采购规定执行。</w:t>
      </w:r>
    </w:p>
    <w:p w14:paraId="278C0ADC">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资产管理严格按照资产管理制度执行，严格执行</w:t>
      </w:r>
      <w:r>
        <w:rPr>
          <w:rFonts w:hint="eastAsia" w:ascii="仿宋_GB2312" w:eastAsia="仿宋_GB2312"/>
          <w:sz w:val="32"/>
          <w:szCs w:val="32"/>
          <w:lang w:eastAsia="zh-CN"/>
        </w:rPr>
        <w:t>法律法规</w:t>
      </w:r>
      <w:r>
        <w:rPr>
          <w:rFonts w:hint="eastAsia" w:ascii="仿宋_GB2312" w:eastAsia="仿宋_GB2312"/>
          <w:sz w:val="32"/>
          <w:szCs w:val="32"/>
        </w:rPr>
        <w:t>和有关规章制度</w:t>
      </w:r>
      <w:r>
        <w:rPr>
          <w:rFonts w:hint="eastAsia" w:ascii="仿宋_GB2312" w:eastAsia="仿宋_GB2312"/>
          <w:sz w:val="32"/>
          <w:szCs w:val="32"/>
          <w:lang w:eastAsia="zh-CN"/>
        </w:rPr>
        <w:t>；</w:t>
      </w:r>
      <w:r>
        <w:rPr>
          <w:rFonts w:hint="eastAsia" w:ascii="仿宋_GB2312" w:eastAsia="仿宋_GB2312"/>
          <w:sz w:val="32"/>
          <w:szCs w:val="32"/>
        </w:rPr>
        <w:t>与行政单位履行职能需要相适应</w:t>
      </w:r>
      <w:r>
        <w:rPr>
          <w:rFonts w:hint="eastAsia" w:ascii="仿宋_GB2312" w:eastAsia="仿宋_GB2312"/>
          <w:sz w:val="32"/>
          <w:szCs w:val="32"/>
          <w:lang w:eastAsia="zh-CN"/>
        </w:rPr>
        <w:t>；</w:t>
      </w:r>
      <w:r>
        <w:rPr>
          <w:rFonts w:hint="eastAsia" w:ascii="仿宋_GB2312" w:eastAsia="仿宋_GB2312"/>
          <w:sz w:val="32"/>
          <w:szCs w:val="32"/>
        </w:rPr>
        <w:t>科学合理</w:t>
      </w:r>
      <w:r>
        <w:rPr>
          <w:rFonts w:hint="eastAsia" w:ascii="仿宋_GB2312" w:eastAsia="仿宋_GB2312"/>
          <w:sz w:val="32"/>
          <w:szCs w:val="32"/>
          <w:lang w:eastAsia="zh-CN"/>
        </w:rPr>
        <w:t>，</w:t>
      </w:r>
      <w:r>
        <w:rPr>
          <w:rFonts w:hint="eastAsia" w:ascii="仿宋_GB2312" w:eastAsia="仿宋_GB2312"/>
          <w:sz w:val="32"/>
          <w:szCs w:val="32"/>
        </w:rPr>
        <w:t>充分发挥资产使用效益</w:t>
      </w:r>
      <w:r>
        <w:rPr>
          <w:rFonts w:hint="eastAsia" w:ascii="仿宋_GB2312" w:eastAsia="仿宋_GB2312"/>
          <w:sz w:val="32"/>
          <w:szCs w:val="32"/>
          <w:lang w:eastAsia="zh-CN"/>
        </w:rPr>
        <w:t>；</w:t>
      </w:r>
      <w:r>
        <w:rPr>
          <w:rFonts w:hint="eastAsia" w:ascii="仿宋_GB2312" w:eastAsia="仿宋_GB2312"/>
          <w:sz w:val="32"/>
          <w:szCs w:val="32"/>
        </w:rPr>
        <w:t>勤俭节约</w:t>
      </w:r>
      <w:r>
        <w:rPr>
          <w:rFonts w:hint="eastAsia" w:ascii="仿宋_GB2312" w:eastAsia="仿宋_GB2312"/>
          <w:sz w:val="32"/>
          <w:szCs w:val="32"/>
          <w:lang w:eastAsia="zh-CN"/>
        </w:rPr>
        <w:t>，</w:t>
      </w:r>
      <w:r>
        <w:rPr>
          <w:rFonts w:hint="eastAsia" w:ascii="仿宋_GB2312" w:eastAsia="仿宋_GB2312"/>
          <w:sz w:val="32"/>
          <w:szCs w:val="32"/>
        </w:rPr>
        <w:t>从严控制。</w:t>
      </w:r>
    </w:p>
    <w:p w14:paraId="57C58A5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建立单位内控制度，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612C3E0F">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我单位将同级财政部门批复的本单位预决算报表及相关说明全部在政府门户网站公开，包括单位收支总体情况和财政拨款收支情况，公开公示了我单位“三公”经费财政拨款预决算总额和分项数额。本单位公开预决算的同时，一并公开了本单位的职责、机构设置情况、预决算收支增减变化、机关运行经费安排以及政府采购等情况的说明，并对专业性较强的名词进行解释。</w:t>
      </w:r>
    </w:p>
    <w:p w14:paraId="4849AF4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我单位财务各项工作自觉配合县财政和上级单位的监督检查，对检查中存在的问题，严肃对待，认真开展整改落实。</w:t>
      </w:r>
    </w:p>
    <w:p w14:paraId="0DC2B516">
      <w:pPr>
        <w:keepNext w:val="0"/>
        <w:keepLines w:val="0"/>
        <w:pageBreakBefore w:val="0"/>
        <w:kinsoku/>
        <w:wordWrap/>
        <w:overflowPunct/>
        <w:topLinePunct w:val="0"/>
        <w:autoSpaceDN/>
        <w:bidi w:val="0"/>
        <w:spacing w:line="576"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四、评价结论及建议</w:t>
      </w:r>
    </w:p>
    <w:p w14:paraId="6FB99CD4">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（一）评价结论。按照财政资金使用用途和目的，县政协办公室健全了资金管理制度，款项支付规范，最大限度地发挥了财政资金的使用效率，认真执行年初预算资金计划，</w:t>
      </w:r>
      <w:r>
        <w:rPr>
          <w:rFonts w:hint="eastAsia" w:ascii="仿宋_GB2312" w:eastAsia="仿宋_GB2312"/>
          <w:sz w:val="32"/>
          <w:szCs w:val="32"/>
          <w:lang w:eastAsia="zh-CN"/>
        </w:rPr>
        <w:t>账务核算</w:t>
      </w:r>
      <w:r>
        <w:rPr>
          <w:rFonts w:hint="eastAsia" w:ascii="仿宋_GB2312" w:eastAsia="仿宋_GB2312"/>
          <w:sz w:val="32"/>
          <w:szCs w:val="32"/>
        </w:rPr>
        <w:t>及时规范，保障了机关正常运转和项目的正常开展，较好地完成了年度工作目标任务。2021年</w:t>
      </w:r>
      <w:r>
        <w:rPr>
          <w:rFonts w:hint="eastAsia" w:ascii="仿宋_GB2312" w:eastAsia="仿宋_GB2312"/>
          <w:sz w:val="32"/>
          <w:szCs w:val="32"/>
          <w:lang w:eastAsia="zh-CN"/>
        </w:rPr>
        <w:t>—2022年</w:t>
      </w:r>
      <w:r>
        <w:rPr>
          <w:rFonts w:hint="eastAsia" w:ascii="仿宋_GB2312" w:eastAsia="仿宋_GB2312"/>
          <w:sz w:val="32"/>
          <w:szCs w:val="32"/>
        </w:rPr>
        <w:t>6月，我单位预算执行整体情况正常，按照各项工作有序开展的进度，财政资金收支情况同时也按进度执行。</w:t>
      </w:r>
    </w:p>
    <w:p w14:paraId="7C086D83">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存在问题。我单位专项预算会议经费、委员视察、文史资料是按照政协办公室工作要点开展，特别是会议经费和文史资料工作经费特殊，基本是下半年才落实到位、支付款项，因此上半年资金支付进度缓慢。</w:t>
      </w:r>
    </w:p>
    <w:p w14:paraId="2A27369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（三）改进建议。一是加强驾驶员日常公用经费特别是油费、维修费的报账进度。二是加强办公室日常公用经费的报账进度。</w:t>
      </w:r>
    </w:p>
    <w:p w14:paraId="0B646929">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p>
    <w:p w14:paraId="47B71784">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p>
    <w:p w14:paraId="23A3C881">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xml:space="preserve">                              松潘县政协办公室</w:t>
      </w:r>
    </w:p>
    <w:p w14:paraId="54175ADB">
      <w:pPr>
        <w:keepNext w:val="0"/>
        <w:keepLines w:val="0"/>
        <w:pageBreakBefore w:val="0"/>
        <w:kinsoku/>
        <w:wordWrap/>
        <w:overflowPunct/>
        <w:topLinePunct w:val="0"/>
        <w:autoSpaceDN/>
        <w:bidi w:val="0"/>
        <w:spacing w:line="576" w:lineRule="exact"/>
        <w:ind w:firstLine="4800" w:firstLineChars="1500"/>
        <w:textAlignment w:val="auto"/>
        <w:rPr>
          <w:rFonts w:hint="eastAsia" w:ascii="仿宋_GB2312" w:eastAsia="仿宋_GB2312"/>
          <w:sz w:val="32"/>
          <w:szCs w:val="32"/>
        </w:rPr>
      </w:pPr>
      <w:r>
        <w:rPr>
          <w:rFonts w:hint="eastAsia" w:ascii="仿宋_GB2312" w:eastAsia="仿宋_GB2312"/>
          <w:sz w:val="32"/>
          <w:szCs w:val="32"/>
        </w:rPr>
        <w:t>2022年6月27日</w:t>
      </w:r>
    </w:p>
    <w:p w14:paraId="04ED916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hAnsi="宋体" w:eastAsia="仿宋_GB2312" w:cs="仿宋_GB2312"/>
          <w:kern w:val="0"/>
          <w:sz w:val="32"/>
          <w:szCs w:val="32"/>
          <w:lang w:val="en-US" w:eastAsia="zh-CN" w:bidi="ar"/>
        </w:rPr>
      </w:pPr>
    </w:p>
    <w:p w14:paraId="1143DE6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hAnsi="宋体" w:eastAsia="仿宋_GB2312" w:cs="仿宋_GB2312"/>
          <w:kern w:val="0"/>
          <w:sz w:val="32"/>
          <w:szCs w:val="32"/>
          <w:lang w:val="en-US" w:eastAsia="zh-CN" w:bidi="ar"/>
        </w:rPr>
      </w:pPr>
    </w:p>
    <w:p w14:paraId="786F6B7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lang w:val="en-US"/>
        </w:rPr>
      </w:pPr>
      <w:r>
        <w:rPr>
          <w:rFonts w:hint="eastAsia" w:ascii="仿宋_GB2312" w:hAnsi="宋体" w:eastAsia="仿宋_GB2312" w:cs="仿宋_GB2312"/>
          <w:kern w:val="0"/>
          <w:sz w:val="32"/>
          <w:szCs w:val="32"/>
          <w:lang w:val="en-US" w:eastAsia="zh-CN" w:bidi="ar"/>
        </w:rPr>
        <w:t>附件2</w:t>
      </w:r>
    </w:p>
    <w:p w14:paraId="47666D1B">
      <w:pPr>
        <w:keepNext w:val="0"/>
        <w:keepLines w:val="0"/>
        <w:pageBreakBefore w:val="0"/>
        <w:kinsoku/>
        <w:wordWrap/>
        <w:overflowPunct/>
        <w:topLinePunct w:val="0"/>
        <w:autoSpaceDN/>
        <w:bidi w:val="0"/>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松潘县政协办公室</w:t>
      </w:r>
    </w:p>
    <w:p w14:paraId="13DB6B70">
      <w:pPr>
        <w:keepNext w:val="0"/>
        <w:keepLines w:val="0"/>
        <w:pageBreakBefore w:val="0"/>
        <w:kinsoku/>
        <w:wordWrap/>
        <w:overflowPunct/>
        <w:topLinePunct w:val="0"/>
        <w:autoSpaceDN/>
        <w:bidi w:val="0"/>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2022年部门预算项目支出绩效自评报告</w:t>
      </w:r>
    </w:p>
    <w:p w14:paraId="4DB795CA">
      <w:pPr>
        <w:keepNext w:val="0"/>
        <w:keepLines w:val="0"/>
        <w:pageBreakBefore w:val="0"/>
        <w:kinsoku/>
        <w:wordWrap/>
        <w:overflowPunct/>
        <w:topLinePunct w:val="0"/>
        <w:autoSpaceDN/>
        <w:bidi w:val="0"/>
        <w:spacing w:line="576" w:lineRule="exact"/>
        <w:jc w:val="center"/>
        <w:textAlignment w:val="auto"/>
        <w:rPr>
          <w:rFonts w:hint="eastAsia" w:ascii="方正小标宋简体" w:eastAsia="方正小标宋简体"/>
          <w:sz w:val="44"/>
          <w:szCs w:val="44"/>
        </w:rPr>
      </w:pPr>
    </w:p>
    <w:p w14:paraId="012D6085">
      <w:pPr>
        <w:keepNext w:val="0"/>
        <w:keepLines w:val="0"/>
        <w:pageBreakBefore w:val="0"/>
        <w:numPr>
          <w:ilvl w:val="0"/>
          <w:numId w:val="2"/>
        </w:numPr>
        <w:kinsoku/>
        <w:wordWrap/>
        <w:overflowPunct/>
        <w:topLinePunct w:val="0"/>
        <w:autoSpaceDN/>
        <w:bidi w:val="0"/>
        <w:spacing w:line="576" w:lineRule="exact"/>
        <w:jc w:val="left"/>
        <w:textAlignment w:val="auto"/>
        <w:rPr>
          <w:rFonts w:hint="eastAsia" w:ascii="黑体" w:hAnsi="黑体" w:eastAsia="黑体"/>
          <w:sz w:val="32"/>
          <w:szCs w:val="32"/>
        </w:rPr>
      </w:pPr>
      <w:r>
        <w:rPr>
          <w:rFonts w:hint="eastAsia" w:ascii="黑体" w:hAnsi="黑体" w:eastAsia="黑体"/>
          <w:sz w:val="32"/>
          <w:szCs w:val="32"/>
        </w:rPr>
        <w:t>项目概况</w:t>
      </w:r>
    </w:p>
    <w:p w14:paraId="1EEF606B">
      <w:pPr>
        <w:keepNext w:val="0"/>
        <w:keepLines w:val="0"/>
        <w:pageBreakBefore w:val="0"/>
        <w:kinsoku/>
        <w:wordWrap/>
        <w:overflowPunct/>
        <w:topLinePunct w:val="0"/>
        <w:autoSpaceDN/>
        <w:bidi w:val="0"/>
        <w:spacing w:line="576" w:lineRule="exact"/>
        <w:ind w:firstLine="643" w:firstLineChars="200"/>
        <w:jc w:val="left"/>
        <w:textAlignment w:val="auto"/>
        <w:rPr>
          <w:rFonts w:hint="eastAsia" w:ascii="黑体" w:hAnsi="黑体" w:eastAsia="黑体"/>
          <w:sz w:val="32"/>
          <w:szCs w:val="32"/>
        </w:rPr>
      </w:pPr>
      <w:r>
        <w:rPr>
          <w:rFonts w:hint="eastAsia" w:ascii="楷体" w:hAnsi="楷体" w:eastAsia="楷体"/>
          <w:b/>
          <w:sz w:val="32"/>
          <w:szCs w:val="32"/>
        </w:rPr>
        <w:t>（一）项目基本情况</w:t>
      </w:r>
    </w:p>
    <w:p w14:paraId="52878976">
      <w:pPr>
        <w:keepNext w:val="0"/>
        <w:keepLines w:val="0"/>
        <w:pageBreakBefore w:val="0"/>
        <w:kinsoku/>
        <w:wordWrap/>
        <w:overflowPunct/>
        <w:topLinePunct w:val="0"/>
        <w:autoSpaceDN/>
        <w:bidi w:val="0"/>
        <w:adjustRightInd w:val="0"/>
        <w:snapToGrid w:val="0"/>
        <w:spacing w:line="576" w:lineRule="exact"/>
        <w:ind w:firstLine="643" w:firstLineChars="200"/>
        <w:textAlignment w:val="auto"/>
        <w:rPr>
          <w:rFonts w:hint="eastAsia" w:ascii="楷体" w:hAnsi="楷体" w:eastAsia="楷体"/>
          <w:b/>
          <w:sz w:val="32"/>
          <w:szCs w:val="32"/>
        </w:rPr>
      </w:pPr>
      <w:r>
        <w:rPr>
          <w:rFonts w:hint="eastAsia" w:ascii="楷体" w:hAnsi="楷体" w:eastAsia="楷体"/>
          <w:b/>
          <w:sz w:val="32"/>
          <w:szCs w:val="32"/>
        </w:rPr>
        <w:t>1.会议费</w:t>
      </w:r>
    </w:p>
    <w:p w14:paraId="743F62C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会议费每年由县政协根据参会人员人数来预算经费，再由县财政局批复下拨经费。</w:t>
      </w:r>
    </w:p>
    <w:p w14:paraId="76A9D740">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主要内容及实施情况：县政协成立筹备领导小组，设立相应工作组织，在大会临时党委和主席团的领导下完成各项会议议程。印制各项工作报告、大会日程、议程安排等必需的文件材料，安排委员住宿、就餐、交通、务工补贴及接送委员参加大会期间的各次会议。收集政协委员提出的提案、意见建议。</w:t>
      </w:r>
    </w:p>
    <w:p w14:paraId="41C6E10C">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资金投入和使用情况：2021预算安排资金66.5万元2020年</w:t>
      </w:r>
      <w:r>
        <w:rPr>
          <w:rFonts w:hint="eastAsia" w:ascii="仿宋_GB2312" w:eastAsia="仿宋_GB2312"/>
          <w:sz w:val="32"/>
          <w:szCs w:val="32"/>
          <w:lang w:eastAsia="zh-CN"/>
        </w:rPr>
        <w:t>、</w:t>
      </w:r>
      <w:r>
        <w:rPr>
          <w:rFonts w:hint="eastAsia" w:ascii="仿宋_GB2312" w:eastAsia="仿宋_GB2312"/>
          <w:sz w:val="32"/>
          <w:szCs w:val="32"/>
        </w:rPr>
        <w:t>结转资金46.93万元，2022年预算资金53.2万元，共计安排资金166.63万元，94.15万元。</w:t>
      </w:r>
      <w:r>
        <w:rPr>
          <w:rFonts w:hint="eastAsia" w:ascii="仿宋_GB2312" w:eastAsia="仿宋_GB2312"/>
          <w:sz w:val="32"/>
          <w:szCs w:val="32"/>
          <w:lang w:eastAsia="zh-CN"/>
        </w:rPr>
        <w:t>主要原因是</w:t>
      </w:r>
      <w:r>
        <w:rPr>
          <w:rFonts w:hint="eastAsia" w:ascii="仿宋_GB2312" w:eastAsia="仿宋_GB2312"/>
          <w:sz w:val="32"/>
          <w:szCs w:val="32"/>
        </w:rPr>
        <w:t>县政协全体会议</w:t>
      </w:r>
      <w:r>
        <w:rPr>
          <w:rFonts w:hint="eastAsia" w:ascii="仿宋_GB2312" w:eastAsia="仿宋_GB2312"/>
          <w:sz w:val="32"/>
          <w:szCs w:val="32"/>
          <w:lang w:eastAsia="zh-CN"/>
        </w:rPr>
        <w:t>基本</w:t>
      </w:r>
      <w:r>
        <w:rPr>
          <w:rFonts w:hint="eastAsia" w:ascii="仿宋_GB2312" w:eastAsia="仿宋_GB2312"/>
          <w:sz w:val="32"/>
          <w:szCs w:val="32"/>
        </w:rPr>
        <w:t>是每年12月中下旬召开，因此资金支付进度一般都在年底或年初。</w:t>
      </w:r>
    </w:p>
    <w:p w14:paraId="4F6772EC">
      <w:pPr>
        <w:keepNext w:val="0"/>
        <w:keepLines w:val="0"/>
        <w:pageBreakBefore w:val="0"/>
        <w:kinsoku/>
        <w:wordWrap/>
        <w:overflowPunct/>
        <w:topLinePunct w:val="0"/>
        <w:autoSpaceDN/>
        <w:bidi w:val="0"/>
        <w:adjustRightInd w:val="0"/>
        <w:snapToGrid w:val="0"/>
        <w:spacing w:line="576" w:lineRule="exact"/>
        <w:ind w:firstLine="643" w:firstLineChars="200"/>
        <w:textAlignment w:val="auto"/>
        <w:rPr>
          <w:rFonts w:hint="eastAsia" w:ascii="楷体" w:hAnsi="楷体" w:eastAsia="楷体"/>
          <w:b/>
          <w:sz w:val="32"/>
          <w:szCs w:val="32"/>
        </w:rPr>
      </w:pPr>
      <w:r>
        <w:rPr>
          <w:rFonts w:hint="eastAsia" w:ascii="楷体" w:hAnsi="楷体" w:eastAsia="楷体"/>
          <w:b/>
          <w:sz w:val="32"/>
          <w:szCs w:val="32"/>
        </w:rPr>
        <w:t>（二）项目绩效目标</w:t>
      </w:r>
    </w:p>
    <w:p w14:paraId="48E19C93">
      <w:pPr>
        <w:keepNext w:val="0"/>
        <w:keepLines w:val="0"/>
        <w:pageBreakBefore w:val="0"/>
        <w:kinsoku/>
        <w:wordWrap/>
        <w:overflowPunct/>
        <w:topLinePunct w:val="0"/>
        <w:autoSpaceDN/>
        <w:bidi w:val="0"/>
        <w:adjustRightInd w:val="0"/>
        <w:snapToGrid w:val="0"/>
        <w:spacing w:line="576" w:lineRule="exact"/>
        <w:ind w:firstLine="643" w:firstLineChars="200"/>
        <w:textAlignment w:val="auto"/>
        <w:rPr>
          <w:rFonts w:hint="eastAsia" w:ascii="仿宋_GB2312" w:hAnsi="楷体" w:eastAsia="仿宋_GB2312"/>
          <w:b/>
          <w:sz w:val="32"/>
          <w:szCs w:val="32"/>
        </w:rPr>
      </w:pPr>
      <w:r>
        <w:rPr>
          <w:rFonts w:hint="eastAsia" w:ascii="仿宋_GB2312" w:hAnsi="楷体" w:eastAsia="仿宋_GB2312"/>
          <w:b/>
          <w:sz w:val="32"/>
          <w:szCs w:val="32"/>
        </w:rPr>
        <w:t xml:space="preserve"> 会议费</w:t>
      </w:r>
    </w:p>
    <w:p w14:paraId="14C05251">
      <w:pPr>
        <w:keepNext w:val="0"/>
        <w:keepLines w:val="0"/>
        <w:pageBreakBefore w:val="0"/>
        <w:kinsoku/>
        <w:wordWrap/>
        <w:overflowPunct/>
        <w:topLinePunct w:val="0"/>
        <w:autoSpaceDN/>
        <w:bidi w:val="0"/>
        <w:adjustRightInd w:val="0"/>
        <w:snapToGrid w:val="0"/>
        <w:spacing w:line="576" w:lineRule="exact"/>
        <w:ind w:firstLine="640" w:firstLineChars="200"/>
        <w:textAlignment w:val="auto"/>
        <w:rPr>
          <w:rFonts w:hint="eastAsia" w:ascii="仿宋_GB2312" w:hAnsi="楷体" w:eastAsia="仿宋_GB2312"/>
          <w:sz w:val="32"/>
          <w:szCs w:val="32"/>
        </w:rPr>
      </w:pPr>
      <w:r>
        <w:rPr>
          <w:rFonts w:hint="eastAsia" w:ascii="仿宋_GB2312" w:hAnsi="楷体" w:eastAsia="仿宋_GB2312"/>
          <w:sz w:val="32"/>
          <w:szCs w:val="32"/>
        </w:rPr>
        <w:t>总体目标：做好州、县政协委员及列席人员顺利参加政协全体会议的服务、保障等工作，确保政协全体会议顺利开展，圆满闭幕。</w:t>
      </w:r>
    </w:p>
    <w:p w14:paraId="1D3F52F3">
      <w:pPr>
        <w:keepNext w:val="0"/>
        <w:keepLines w:val="0"/>
        <w:pageBreakBefore w:val="0"/>
        <w:kinsoku/>
        <w:wordWrap/>
        <w:overflowPunct/>
        <w:topLinePunct w:val="0"/>
        <w:autoSpaceDN/>
        <w:bidi w:val="0"/>
        <w:spacing w:line="576" w:lineRule="exact"/>
        <w:ind w:firstLine="630"/>
        <w:jc w:val="left"/>
        <w:textAlignment w:val="auto"/>
        <w:rPr>
          <w:rFonts w:hint="eastAsia" w:ascii="楷体" w:hAnsi="楷体" w:eastAsia="楷体"/>
          <w:b/>
          <w:sz w:val="32"/>
          <w:szCs w:val="32"/>
        </w:rPr>
      </w:pPr>
      <w:r>
        <w:rPr>
          <w:rFonts w:hint="eastAsia" w:ascii="楷体" w:hAnsi="楷体" w:eastAsia="楷体"/>
          <w:b/>
          <w:sz w:val="32"/>
          <w:szCs w:val="32"/>
        </w:rPr>
        <w:t>（三）项目自评步骤及方法</w:t>
      </w:r>
    </w:p>
    <w:p w14:paraId="612EAB08">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通过召开座谈会听取介绍、核对财务账目、检查档案资料、实地抽查等方式，主要采用目标评价法、询问查证法、公众评议法等方法，现场评价与资料评价相结合，重点查看账目，账实对照，对资金使用进行综合分析，作出总体性评价。</w:t>
      </w:r>
    </w:p>
    <w:p w14:paraId="765BF86A">
      <w:pPr>
        <w:keepNext w:val="0"/>
        <w:keepLines w:val="0"/>
        <w:pageBreakBefore w:val="0"/>
        <w:widowControl/>
        <w:shd w:val="clear" w:color="auto" w:fill="FFFFFF"/>
        <w:kinsoku/>
        <w:wordWrap/>
        <w:overflowPunct/>
        <w:topLinePunct w:val="0"/>
        <w:autoSpaceDN/>
        <w:bidi w:val="0"/>
        <w:spacing w:before="75" w:after="75" w:line="576" w:lineRule="exact"/>
        <w:ind w:firstLine="640" w:firstLineChars="200"/>
        <w:jc w:val="left"/>
        <w:textAlignment w:val="auto"/>
        <w:rPr>
          <w:rFonts w:hint="eastAsia" w:ascii="黑体" w:hAnsi="黑体" w:eastAsia="黑体" w:cs="宋体"/>
          <w:color w:val="4A4A4A"/>
          <w:kern w:val="0"/>
          <w:sz w:val="32"/>
          <w:szCs w:val="32"/>
        </w:rPr>
      </w:pPr>
      <w:r>
        <w:rPr>
          <w:rFonts w:hint="eastAsia" w:ascii="黑体" w:hAnsi="黑体" w:eastAsia="黑体" w:cs="宋体"/>
          <w:color w:val="4A4A4A"/>
          <w:kern w:val="0"/>
          <w:sz w:val="32"/>
          <w:szCs w:val="32"/>
        </w:rPr>
        <w:t>　二、绩效评价工作开展情况</w:t>
      </w:r>
    </w:p>
    <w:p w14:paraId="5EAB96C3">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（一）绩效评价目的、对象和范围</w:t>
      </w:r>
    </w:p>
    <w:p w14:paraId="2C04FD62">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kern w:val="0"/>
        </w:rPr>
        <w:t>　</w:t>
      </w:r>
      <w:r>
        <w:rPr>
          <w:rFonts w:hint="eastAsia" w:ascii="仿宋_GB2312" w:eastAsia="仿宋_GB2312"/>
          <w:sz w:val="32"/>
          <w:szCs w:val="32"/>
        </w:rPr>
        <w:t>　 目的：运用一定的量化指标及评价标准，通过单位履行职能所确定的绩效目标的实现程度，及为实现这一目标所安排预算的执行结果进行综合性评价，以此来了解资金使用是否达到预期目标、资金管理是否规范、资金使用是否有效，检验资金支出效率和效果，分析存在问题及原因，及时总结经验，改进管理措施，不断增强和落实绩效管理责任，完善工作机制，有效提高资金管理水平和使用效益，牢固树立“讲绩效、重绩效、用绩效”的绩效管理理念。</w:t>
      </w:r>
    </w:p>
    <w:p w14:paraId="61ECA1E1">
      <w:pPr>
        <w:keepNext w:val="0"/>
        <w:keepLines w:val="0"/>
        <w:pageBreakBefore w:val="0"/>
        <w:kinsoku/>
        <w:wordWrap/>
        <w:overflowPunct/>
        <w:topLinePunct w:val="0"/>
        <w:autoSpaceDN/>
        <w:bidi w:val="0"/>
        <w:spacing w:line="576" w:lineRule="exact"/>
        <w:ind w:firstLine="645"/>
        <w:textAlignment w:val="auto"/>
        <w:rPr>
          <w:rFonts w:hint="eastAsia" w:ascii="仿宋_GB2312" w:hAnsi="宋体" w:eastAsia="仿宋_GB2312" w:cs="宋体"/>
          <w:color w:val="4A4A4A"/>
          <w:kern w:val="0"/>
          <w:sz w:val="32"/>
          <w:szCs w:val="32"/>
        </w:rPr>
      </w:pPr>
      <w:r>
        <w:rPr>
          <w:rFonts w:hint="eastAsia" w:ascii="仿宋_GB2312" w:eastAsia="仿宋_GB2312"/>
          <w:sz w:val="32"/>
          <w:szCs w:val="32"/>
        </w:rPr>
        <w:t>对象和范围：松潘县政协2021年1-12月、2022年1-6月部门项目资金收支安排、资金使用和绩效管理情况。</w:t>
      </w:r>
      <w:r>
        <w:rPr>
          <w:rFonts w:hint="eastAsia" w:ascii="仿宋_GB2312" w:hAnsi="宋体" w:eastAsia="仿宋_GB2312" w:cs="宋体"/>
          <w:color w:val="4A4A4A"/>
          <w:kern w:val="0"/>
          <w:sz w:val="32"/>
          <w:szCs w:val="32"/>
        </w:rPr>
        <w:t xml:space="preserve">　   </w:t>
      </w:r>
    </w:p>
    <w:p w14:paraId="3ACBBAC1">
      <w:pPr>
        <w:keepNext w:val="0"/>
        <w:keepLines w:val="0"/>
        <w:pageBreakBefore w:val="0"/>
        <w:kinsoku/>
        <w:wordWrap/>
        <w:overflowPunct/>
        <w:topLinePunct w:val="0"/>
        <w:autoSpaceDN/>
        <w:bidi w:val="0"/>
        <w:spacing w:line="576" w:lineRule="exact"/>
        <w:ind w:firstLine="645"/>
        <w:textAlignment w:val="auto"/>
        <w:rPr>
          <w:rFonts w:hint="eastAsia" w:ascii="楷体_GB2312" w:eastAsia="楷体_GB2312"/>
          <w:b/>
          <w:sz w:val="32"/>
          <w:szCs w:val="32"/>
        </w:rPr>
      </w:pPr>
      <w:r>
        <w:rPr>
          <w:rFonts w:hint="eastAsia" w:ascii="楷体_GB2312" w:hAnsi="宋体" w:eastAsia="楷体_GB2312" w:cs="宋体"/>
          <w:b/>
          <w:color w:val="4A4A4A"/>
          <w:kern w:val="0"/>
          <w:sz w:val="32"/>
          <w:szCs w:val="32"/>
        </w:rPr>
        <w:t>（二）绩效评价原则、依据、评价指标体系、评价方法、评价标准、评价抽样</w:t>
      </w:r>
    </w:p>
    <w:p w14:paraId="50543221">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仿宋_GB2312" w:hAnsi="宋体" w:eastAsia="仿宋_GB2312" w:cs="宋体"/>
          <w:b/>
          <w:color w:val="4A4A4A"/>
          <w:kern w:val="0"/>
          <w:sz w:val="32"/>
          <w:szCs w:val="32"/>
        </w:rPr>
        <w:t>　1.评价原则</w:t>
      </w:r>
    </w:p>
    <w:p w14:paraId="5F45EB1D">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本次评价指标体系制定遵循相关性原则、重要性原则、可比性原则、经济性原则和系统性原则。</w:t>
      </w:r>
    </w:p>
    <w:p w14:paraId="270087D0">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b/>
          <w:color w:val="4A4A4A"/>
          <w:kern w:val="0"/>
          <w:sz w:val="32"/>
          <w:szCs w:val="32"/>
        </w:rPr>
        <w:t>　　2.评价指标体系</w:t>
      </w:r>
    </w:p>
    <w:p w14:paraId="18D8249A">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本次项目支出绩效评价，按照《松潘县财政局关于开展2022年度部门、政策和项目支出绩效评价工作的通知》（松财〔2022〕95号）文件要求，本次项目支出绩效指标体系主要分为4个一级指标，分别为：项目预算执行情况10分，产出指标50分，效益指标30分，满意度指标10分。一级指标下各设定了若干个二级指标和三级指标及其分值，共计100分。</w:t>
      </w:r>
    </w:p>
    <w:p w14:paraId="5ED80237">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具体详见附件：《2022年度项目支出绩效自评表》。</w:t>
      </w:r>
    </w:p>
    <w:p w14:paraId="554FEA6F">
      <w:pPr>
        <w:keepNext w:val="0"/>
        <w:keepLines w:val="0"/>
        <w:pageBreakBefore w:val="0"/>
        <w:widowControl/>
        <w:shd w:val="clear" w:color="auto" w:fill="FFFFFF"/>
        <w:kinsoku/>
        <w:wordWrap/>
        <w:overflowPunct/>
        <w:topLinePunct w:val="0"/>
        <w:autoSpaceDN/>
        <w:bidi w:val="0"/>
        <w:spacing w:before="75" w:after="75" w:line="576" w:lineRule="exact"/>
        <w:ind w:firstLine="482" w:firstLineChars="150"/>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b/>
          <w:color w:val="4A4A4A"/>
          <w:kern w:val="0"/>
          <w:sz w:val="32"/>
          <w:szCs w:val="32"/>
        </w:rPr>
        <w:t>　3.绩效评价标准</w:t>
      </w:r>
    </w:p>
    <w:p w14:paraId="4DF2D40D">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本次绩效评价采用百分制，各级指标依据其指标权重确定分值，最终得分由各级评价指标得分加总形成。根据最终得分将评价标准分为四个等级：优（得分≥90分）；良（80分≤得分＜90分）；中（60≤得分＜80分）；差（得分＜60分）。</w:t>
      </w:r>
    </w:p>
    <w:p w14:paraId="4A99204E">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仿宋_GB2312" w:hAnsi="宋体" w:eastAsia="仿宋_GB2312" w:cs="宋体"/>
          <w:b/>
          <w:color w:val="4A4A4A"/>
          <w:kern w:val="0"/>
          <w:sz w:val="32"/>
          <w:szCs w:val="32"/>
        </w:rPr>
        <w:t>4.评价抽样</w:t>
      </w:r>
    </w:p>
    <w:p w14:paraId="34C25C21">
      <w:pPr>
        <w:keepNext w:val="0"/>
        <w:keepLines w:val="0"/>
        <w:pageBreakBefore w:val="0"/>
        <w:widowControl/>
        <w:shd w:val="clear" w:color="auto" w:fill="FFFFFF"/>
        <w:kinsoku/>
        <w:wordWrap/>
        <w:overflowPunct/>
        <w:topLinePunct w:val="0"/>
        <w:autoSpaceDN/>
        <w:bidi w:val="0"/>
        <w:spacing w:before="75" w:after="75" w:line="576" w:lineRule="exact"/>
        <w:ind w:firstLine="645"/>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本次绩效评价对6个年初预算项目进行评价，评价抽样情况详见下表：</w:t>
      </w:r>
    </w:p>
    <w:tbl>
      <w:tblPr>
        <w:tblStyle w:val="8"/>
        <w:tblW w:w="9060" w:type="dxa"/>
        <w:tblInd w:w="93" w:type="dxa"/>
        <w:tblLayout w:type="fixed"/>
        <w:tblCellMar>
          <w:top w:w="0" w:type="dxa"/>
          <w:left w:w="108" w:type="dxa"/>
          <w:bottom w:w="0" w:type="dxa"/>
          <w:right w:w="108" w:type="dxa"/>
        </w:tblCellMar>
      </w:tblPr>
      <w:tblGrid>
        <w:gridCol w:w="1080"/>
        <w:gridCol w:w="3160"/>
        <w:gridCol w:w="1260"/>
        <w:gridCol w:w="1120"/>
        <w:gridCol w:w="1180"/>
        <w:gridCol w:w="1260"/>
      </w:tblGrid>
      <w:tr w14:paraId="47C1AF44">
        <w:tblPrEx>
          <w:tblCellMar>
            <w:top w:w="0" w:type="dxa"/>
            <w:left w:w="108" w:type="dxa"/>
            <w:bottom w:w="0" w:type="dxa"/>
            <w:right w:w="108" w:type="dxa"/>
          </w:tblCellMar>
        </w:tblPrEx>
        <w:trPr>
          <w:trHeight w:val="1395" w:hRule="atLeast"/>
        </w:trPr>
        <w:tc>
          <w:tcPr>
            <w:tcW w:w="9060" w:type="dxa"/>
            <w:gridSpan w:val="6"/>
            <w:tcBorders>
              <w:top w:val="nil"/>
              <w:left w:val="nil"/>
              <w:bottom w:val="single" w:color="000000" w:sz="8" w:space="0"/>
              <w:right w:val="nil"/>
            </w:tcBorders>
            <w:shd w:val="clear" w:color="auto" w:fill="auto"/>
            <w:vAlign w:val="center"/>
          </w:tcPr>
          <w:p w14:paraId="751787DA">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firstLine="2880" w:firstLineChars="900"/>
              <w:textAlignment w:val="auto"/>
              <w:rPr>
                <w:rFonts w:hint="default" w:ascii="黑体" w:hAnsi="黑体" w:eastAsia="黑体" w:cs="Tahoma"/>
                <w:color w:val="000000"/>
                <w:kern w:val="0"/>
                <w:sz w:val="32"/>
                <w:szCs w:val="32"/>
              </w:rPr>
            </w:pPr>
            <w:r>
              <w:rPr>
                <w:rFonts w:hint="eastAsia" w:ascii="黑体" w:hAnsi="黑体" w:eastAsia="黑体" w:cs="Tahoma"/>
                <w:color w:val="000000"/>
                <w:kern w:val="0"/>
                <w:sz w:val="32"/>
                <w:szCs w:val="32"/>
              </w:rPr>
              <w:t>项目资金安排表（万元）</w:t>
            </w:r>
          </w:p>
        </w:tc>
      </w:tr>
      <w:tr w14:paraId="5849CD3E">
        <w:tblPrEx>
          <w:tblCellMar>
            <w:top w:w="0" w:type="dxa"/>
            <w:left w:w="108" w:type="dxa"/>
            <w:bottom w:w="0" w:type="dxa"/>
            <w:right w:w="108" w:type="dxa"/>
          </w:tblCellMar>
        </w:tblPrEx>
        <w:trPr>
          <w:trHeight w:val="855" w:hRule="atLeast"/>
        </w:trPr>
        <w:tc>
          <w:tcPr>
            <w:tcW w:w="1080" w:type="dxa"/>
            <w:tcBorders>
              <w:top w:val="nil"/>
              <w:left w:val="single" w:color="000000" w:sz="8" w:space="0"/>
              <w:bottom w:val="single" w:color="000000" w:sz="8" w:space="0"/>
              <w:right w:val="single" w:color="000000" w:sz="8" w:space="0"/>
            </w:tcBorders>
            <w:shd w:val="clear" w:color="000000" w:fill="FFFFFF"/>
            <w:vAlign w:val="center"/>
          </w:tcPr>
          <w:p w14:paraId="6597B1A3">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序号</w:t>
            </w:r>
          </w:p>
        </w:tc>
        <w:tc>
          <w:tcPr>
            <w:tcW w:w="3160" w:type="dxa"/>
            <w:tcBorders>
              <w:top w:val="nil"/>
              <w:left w:val="nil"/>
              <w:bottom w:val="single" w:color="000000" w:sz="8" w:space="0"/>
              <w:right w:val="single" w:color="000000" w:sz="8" w:space="0"/>
            </w:tcBorders>
            <w:shd w:val="clear" w:color="000000" w:fill="FFFFFF"/>
            <w:vAlign w:val="center"/>
          </w:tcPr>
          <w:p w14:paraId="645A5B2C">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项目名称</w:t>
            </w:r>
          </w:p>
        </w:tc>
        <w:tc>
          <w:tcPr>
            <w:tcW w:w="1260" w:type="dxa"/>
            <w:tcBorders>
              <w:top w:val="nil"/>
              <w:left w:val="nil"/>
              <w:bottom w:val="single" w:color="000000" w:sz="8" w:space="0"/>
              <w:right w:val="single" w:color="000000" w:sz="8" w:space="0"/>
            </w:tcBorders>
            <w:shd w:val="clear" w:color="000000" w:fill="FFFFFF"/>
            <w:vAlign w:val="center"/>
          </w:tcPr>
          <w:p w14:paraId="20D503F2">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预算批     复金额</w:t>
            </w:r>
          </w:p>
        </w:tc>
        <w:tc>
          <w:tcPr>
            <w:tcW w:w="1120" w:type="dxa"/>
            <w:tcBorders>
              <w:top w:val="nil"/>
              <w:left w:val="nil"/>
              <w:bottom w:val="single" w:color="000000" w:sz="8" w:space="0"/>
              <w:right w:val="single" w:color="000000" w:sz="8" w:space="0"/>
            </w:tcBorders>
            <w:shd w:val="clear" w:color="000000" w:fill="FFFFFF"/>
            <w:vAlign w:val="center"/>
          </w:tcPr>
          <w:p w14:paraId="4D5E64DD">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预算到   位金额</w:t>
            </w:r>
          </w:p>
        </w:tc>
        <w:tc>
          <w:tcPr>
            <w:tcW w:w="1180" w:type="dxa"/>
            <w:tcBorders>
              <w:top w:val="nil"/>
              <w:left w:val="nil"/>
              <w:bottom w:val="single" w:color="000000" w:sz="8" w:space="0"/>
              <w:right w:val="single" w:color="000000" w:sz="8" w:space="0"/>
            </w:tcBorders>
            <w:shd w:val="clear" w:color="000000" w:fill="FFFFFF"/>
            <w:vAlign w:val="center"/>
          </w:tcPr>
          <w:p w14:paraId="414ECCE9">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项目资金使用金额</w:t>
            </w:r>
          </w:p>
        </w:tc>
        <w:tc>
          <w:tcPr>
            <w:tcW w:w="1260" w:type="dxa"/>
            <w:tcBorders>
              <w:top w:val="nil"/>
              <w:left w:val="nil"/>
              <w:bottom w:val="nil"/>
              <w:right w:val="single" w:color="000000" w:sz="8" w:space="0"/>
            </w:tcBorders>
            <w:shd w:val="clear" w:color="000000" w:fill="FFFFFF"/>
            <w:vAlign w:val="center"/>
          </w:tcPr>
          <w:p w14:paraId="2AD86DD3">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方正小标宋简体" w:hAnsi="Tahoma" w:eastAsia="方正小标宋简体" w:cs="Tahoma"/>
                <w:color w:val="4A4A4A"/>
                <w:kern w:val="0"/>
                <w:sz w:val="24"/>
                <w:szCs w:val="24"/>
              </w:rPr>
            </w:pPr>
            <w:r>
              <w:rPr>
                <w:rFonts w:hint="eastAsia" w:ascii="方正小标宋简体" w:hAnsi="Tahoma" w:eastAsia="方正小标宋简体" w:cs="Tahoma"/>
                <w:color w:val="4A4A4A"/>
                <w:kern w:val="0"/>
                <w:sz w:val="24"/>
                <w:szCs w:val="24"/>
              </w:rPr>
              <w:t>评价抽      样资金</w:t>
            </w:r>
          </w:p>
        </w:tc>
      </w:tr>
      <w:tr w14:paraId="033AF119">
        <w:tblPrEx>
          <w:tblCellMar>
            <w:top w:w="0" w:type="dxa"/>
            <w:left w:w="108" w:type="dxa"/>
            <w:bottom w:w="0" w:type="dxa"/>
            <w:right w:w="108" w:type="dxa"/>
          </w:tblCellMar>
        </w:tblPrEx>
        <w:trPr>
          <w:trHeight w:val="60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DFCC814">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1</w:t>
            </w:r>
          </w:p>
        </w:tc>
        <w:tc>
          <w:tcPr>
            <w:tcW w:w="3160" w:type="dxa"/>
            <w:tcBorders>
              <w:top w:val="single" w:color="auto" w:sz="4" w:space="0"/>
              <w:left w:val="nil"/>
              <w:bottom w:val="single" w:color="auto" w:sz="4" w:space="0"/>
              <w:right w:val="single" w:color="auto" w:sz="4" w:space="0"/>
            </w:tcBorders>
            <w:shd w:val="clear" w:color="auto" w:fill="auto"/>
            <w:vAlign w:val="center"/>
          </w:tcPr>
          <w:p w14:paraId="31024718">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宋体" w:hAnsi="宋体" w:cs="Tahoma"/>
                <w:color w:val="000000"/>
                <w:kern w:val="0"/>
                <w:sz w:val="22"/>
              </w:rPr>
            </w:pPr>
            <w:r>
              <w:rPr>
                <w:rFonts w:hint="eastAsia" w:ascii="宋体" w:hAnsi="宋体" w:cs="Tahoma"/>
                <w:color w:val="000000"/>
                <w:kern w:val="0"/>
                <w:sz w:val="22"/>
              </w:rPr>
              <w:t>会议费</w:t>
            </w:r>
          </w:p>
        </w:tc>
        <w:tc>
          <w:tcPr>
            <w:tcW w:w="1260" w:type="dxa"/>
            <w:tcBorders>
              <w:top w:val="single" w:color="auto" w:sz="4" w:space="0"/>
              <w:left w:val="nil"/>
              <w:bottom w:val="single" w:color="auto" w:sz="4" w:space="0"/>
              <w:right w:val="single" w:color="auto" w:sz="4" w:space="0"/>
            </w:tcBorders>
            <w:shd w:val="clear" w:color="auto" w:fill="auto"/>
            <w:vAlign w:val="center"/>
          </w:tcPr>
          <w:p w14:paraId="239C65AF">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166.63</w:t>
            </w:r>
          </w:p>
        </w:tc>
        <w:tc>
          <w:tcPr>
            <w:tcW w:w="1120" w:type="dxa"/>
            <w:tcBorders>
              <w:top w:val="single" w:color="auto" w:sz="4" w:space="0"/>
              <w:left w:val="nil"/>
              <w:bottom w:val="single" w:color="auto" w:sz="4" w:space="0"/>
              <w:right w:val="single" w:color="auto" w:sz="4" w:space="0"/>
            </w:tcBorders>
            <w:shd w:val="clear" w:color="auto" w:fill="auto"/>
            <w:vAlign w:val="center"/>
          </w:tcPr>
          <w:p w14:paraId="232A4DC9">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166.63</w:t>
            </w:r>
          </w:p>
        </w:tc>
        <w:tc>
          <w:tcPr>
            <w:tcW w:w="1180" w:type="dxa"/>
            <w:tcBorders>
              <w:top w:val="single" w:color="auto" w:sz="4" w:space="0"/>
              <w:left w:val="nil"/>
              <w:bottom w:val="single" w:color="auto" w:sz="4" w:space="0"/>
              <w:right w:val="single" w:color="auto" w:sz="4" w:space="0"/>
            </w:tcBorders>
            <w:shd w:val="clear" w:color="auto" w:fill="auto"/>
            <w:vAlign w:val="center"/>
          </w:tcPr>
          <w:p w14:paraId="7F4F5D33">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94.15</w:t>
            </w:r>
          </w:p>
        </w:tc>
        <w:tc>
          <w:tcPr>
            <w:tcW w:w="1260" w:type="dxa"/>
            <w:tcBorders>
              <w:top w:val="single" w:color="auto" w:sz="4" w:space="0"/>
              <w:left w:val="nil"/>
              <w:bottom w:val="single" w:color="auto" w:sz="4" w:space="0"/>
              <w:right w:val="single" w:color="auto" w:sz="4" w:space="0"/>
            </w:tcBorders>
            <w:shd w:val="clear" w:color="auto" w:fill="auto"/>
            <w:vAlign w:val="center"/>
          </w:tcPr>
          <w:p w14:paraId="28EFFE90">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60</w:t>
            </w:r>
          </w:p>
        </w:tc>
      </w:tr>
      <w:tr w14:paraId="603B044D">
        <w:tblPrEx>
          <w:tblCellMar>
            <w:top w:w="0" w:type="dxa"/>
            <w:left w:w="108" w:type="dxa"/>
            <w:bottom w:w="0" w:type="dxa"/>
            <w:right w:w="108" w:type="dxa"/>
          </w:tblCellMar>
        </w:tblPrEx>
        <w:trPr>
          <w:trHeight w:val="60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FF1A03C">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c>
          <w:tcPr>
            <w:tcW w:w="3160" w:type="dxa"/>
            <w:tcBorders>
              <w:top w:val="nil"/>
              <w:left w:val="nil"/>
              <w:bottom w:val="single" w:color="auto" w:sz="4" w:space="0"/>
              <w:right w:val="single" w:color="auto" w:sz="4" w:space="0"/>
            </w:tcBorders>
            <w:shd w:val="clear" w:color="auto" w:fill="auto"/>
            <w:vAlign w:val="center"/>
          </w:tcPr>
          <w:p w14:paraId="765F1B58">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c>
          <w:tcPr>
            <w:tcW w:w="1260" w:type="dxa"/>
            <w:tcBorders>
              <w:top w:val="nil"/>
              <w:left w:val="nil"/>
              <w:bottom w:val="single" w:color="auto" w:sz="4" w:space="0"/>
              <w:right w:val="single" w:color="auto" w:sz="4" w:space="0"/>
            </w:tcBorders>
            <w:shd w:val="clear" w:color="auto" w:fill="auto"/>
            <w:vAlign w:val="center"/>
          </w:tcPr>
          <w:p w14:paraId="19B02203">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c>
          <w:tcPr>
            <w:tcW w:w="1120" w:type="dxa"/>
            <w:tcBorders>
              <w:top w:val="nil"/>
              <w:left w:val="nil"/>
              <w:bottom w:val="single" w:color="auto" w:sz="4" w:space="0"/>
              <w:right w:val="single" w:color="auto" w:sz="4" w:space="0"/>
            </w:tcBorders>
            <w:shd w:val="clear" w:color="auto" w:fill="auto"/>
            <w:vAlign w:val="center"/>
          </w:tcPr>
          <w:p w14:paraId="00697D9C">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c>
          <w:tcPr>
            <w:tcW w:w="1180" w:type="dxa"/>
            <w:tcBorders>
              <w:top w:val="nil"/>
              <w:left w:val="nil"/>
              <w:bottom w:val="single" w:color="auto" w:sz="4" w:space="0"/>
              <w:right w:val="single" w:color="auto" w:sz="4" w:space="0"/>
            </w:tcBorders>
            <w:shd w:val="clear" w:color="auto" w:fill="auto"/>
            <w:vAlign w:val="center"/>
          </w:tcPr>
          <w:p w14:paraId="4F82F758">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c>
          <w:tcPr>
            <w:tcW w:w="1260" w:type="dxa"/>
            <w:tcBorders>
              <w:top w:val="nil"/>
              <w:left w:val="nil"/>
              <w:bottom w:val="single" w:color="auto" w:sz="4" w:space="0"/>
              <w:right w:val="single" w:color="auto" w:sz="4" w:space="0"/>
            </w:tcBorders>
            <w:shd w:val="clear" w:color="auto" w:fill="auto"/>
            <w:vAlign w:val="center"/>
          </w:tcPr>
          <w:p w14:paraId="77BA6976">
            <w:pPr>
              <w:keepNext w:val="0"/>
              <w:keepLines w:val="0"/>
              <w:pageBreakBefore w:val="0"/>
              <w:widowControl/>
              <w:suppressLineNumbers w:val="0"/>
              <w:kinsoku/>
              <w:wordWrap/>
              <w:overflowPunct/>
              <w:topLinePunct w:val="0"/>
              <w:autoSpaceDN/>
              <w:bidi w:val="0"/>
              <w:spacing w:before="0" w:beforeAutospacing="0" w:after="0" w:afterAutospacing="0" w:line="576" w:lineRule="exact"/>
              <w:ind w:left="0" w:right="0"/>
              <w:jc w:val="center"/>
              <w:textAlignment w:val="auto"/>
              <w:rPr>
                <w:rFonts w:hint="default" w:ascii="Tahoma" w:hAnsi="Tahoma" w:cs="Tahoma"/>
                <w:color w:val="000000"/>
                <w:kern w:val="0"/>
                <w:sz w:val="22"/>
              </w:rPr>
            </w:pPr>
            <w:r>
              <w:rPr>
                <w:rFonts w:hint="default" w:ascii="Tahoma" w:hAnsi="Tahoma" w:cs="Tahoma"/>
                <w:color w:val="000000"/>
                <w:kern w:val="0"/>
                <w:sz w:val="22"/>
              </w:rPr>
              <w:t>　</w:t>
            </w:r>
          </w:p>
        </w:tc>
      </w:tr>
    </w:tbl>
    <w:p w14:paraId="434685C9">
      <w:pPr>
        <w:keepNext w:val="0"/>
        <w:keepLines w:val="0"/>
        <w:pageBreakBefore w:val="0"/>
        <w:widowControl/>
        <w:shd w:val="clear" w:color="auto" w:fill="FFFFFF"/>
        <w:kinsoku/>
        <w:wordWrap/>
        <w:overflowPunct/>
        <w:topLinePunct w:val="0"/>
        <w:autoSpaceDN/>
        <w:bidi w:val="0"/>
        <w:spacing w:before="75" w:after="75" w:line="576" w:lineRule="exact"/>
        <w:ind w:firstLine="321" w:firstLineChars="100"/>
        <w:jc w:val="left"/>
        <w:textAlignment w:val="auto"/>
        <w:rPr>
          <w:rFonts w:hint="eastAsia" w:ascii="楷体_GB2312" w:hAnsi="宋体" w:eastAsia="楷体_GB2312" w:cs="宋体"/>
          <w:b/>
          <w:color w:val="4A4A4A"/>
          <w:kern w:val="0"/>
          <w:sz w:val="32"/>
          <w:szCs w:val="32"/>
        </w:rPr>
      </w:pPr>
      <w:r>
        <w:rPr>
          <w:rFonts w:hint="eastAsia" w:ascii="楷体_GB2312" w:hAnsi="宋体" w:eastAsia="楷体_GB2312" w:cs="宋体"/>
          <w:b/>
          <w:color w:val="4A4A4A"/>
          <w:kern w:val="0"/>
          <w:sz w:val="32"/>
          <w:szCs w:val="32"/>
        </w:rPr>
        <w:t>（三）自评组织过程</w:t>
      </w:r>
    </w:p>
    <w:p w14:paraId="29F75153">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1.前期准备。一是加强组织领导。成立由主要领导任组长、分管领导任副组长，各业务科室负责人为成员的绩效评价领导小组办公室，统一安排部署2021</w:t>
      </w:r>
      <w:r>
        <w:rPr>
          <w:rFonts w:hint="eastAsia" w:ascii="仿宋_GB2312" w:hAnsi="宋体" w:eastAsia="仿宋_GB2312" w:cs="宋体"/>
          <w:color w:val="4A4A4A"/>
          <w:kern w:val="0"/>
          <w:sz w:val="32"/>
          <w:szCs w:val="32"/>
          <w:lang w:eastAsia="zh-CN"/>
        </w:rPr>
        <w:t>—2022年</w:t>
      </w:r>
      <w:r>
        <w:rPr>
          <w:rFonts w:hint="eastAsia" w:ascii="仿宋_GB2312" w:hAnsi="宋体" w:eastAsia="仿宋_GB2312" w:cs="宋体"/>
          <w:color w:val="4A4A4A"/>
          <w:kern w:val="0"/>
          <w:sz w:val="32"/>
          <w:szCs w:val="32"/>
        </w:rPr>
        <w:t>1-6月绩效评价工作；二是确定评价范围。项目支出绩效评价包括州财政局2020年部门项目支出；三是制定评价指标表。单位围绕2021年、2022年的工作要点，梳理了各项工作的完成情况，制定了项目支出绩效评价指标；四是汇总分析单位项目支出绩效情况。查找单位在项目预算执行过程中存在的问题，有针对性</w:t>
      </w:r>
      <w:r>
        <w:rPr>
          <w:rFonts w:hint="eastAsia" w:ascii="仿宋_GB2312" w:hAnsi="宋体" w:eastAsia="仿宋_GB2312" w:cs="宋体"/>
          <w:color w:val="4A4A4A"/>
          <w:kern w:val="0"/>
          <w:sz w:val="32"/>
          <w:szCs w:val="32"/>
          <w:lang w:eastAsia="zh-CN"/>
        </w:rPr>
        <w:t>地</w:t>
      </w:r>
      <w:r>
        <w:rPr>
          <w:rFonts w:hint="eastAsia" w:ascii="仿宋_GB2312" w:hAnsi="宋体" w:eastAsia="仿宋_GB2312" w:cs="宋体"/>
          <w:color w:val="4A4A4A"/>
          <w:kern w:val="0"/>
          <w:sz w:val="32"/>
          <w:szCs w:val="32"/>
        </w:rPr>
        <w:t>制定整改措施并组织抓好落实。</w:t>
      </w:r>
    </w:p>
    <w:p w14:paraId="34E6DB75">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2.组织实施。在年度预算执行过程中，由绩效评价领导小组办公室牵头对等项目进行了督促检查工作，要求办公室、财务室对各项目2021年度、2022年1-6月所有财政支出项目开展自评。</w:t>
      </w:r>
    </w:p>
    <w:p w14:paraId="0E3765E2">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黑体" w:hAnsi="黑体" w:eastAsia="黑体" w:cs="宋体"/>
          <w:color w:val="4A4A4A"/>
          <w:kern w:val="0"/>
          <w:sz w:val="32"/>
          <w:szCs w:val="32"/>
        </w:rPr>
      </w:pPr>
      <w:r>
        <w:rPr>
          <w:rFonts w:hint="eastAsia" w:ascii="黑体" w:hAnsi="黑体" w:eastAsia="黑体" w:cs="宋体"/>
          <w:color w:val="4A4A4A"/>
          <w:kern w:val="0"/>
          <w:sz w:val="32"/>
          <w:szCs w:val="32"/>
        </w:rPr>
        <w:t>　　三、综合评价情况及评价结论</w:t>
      </w:r>
    </w:p>
    <w:p w14:paraId="7ED03D1C">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kern w:val="0"/>
        </w:rPr>
        <w:t>　　</w:t>
      </w:r>
      <w:r>
        <w:rPr>
          <w:rFonts w:hint="eastAsia" w:ascii="仿宋_GB2312" w:eastAsia="仿宋_GB2312"/>
          <w:sz w:val="32"/>
          <w:szCs w:val="32"/>
        </w:rPr>
        <w:t>（一）绩效评价综合结论</w:t>
      </w:r>
    </w:p>
    <w:p w14:paraId="680B90A0">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lang w:eastAsia="zh-CN"/>
        </w:rPr>
      </w:pPr>
      <w:r>
        <w:rPr>
          <w:rFonts w:hint="eastAsia" w:ascii="仿宋_GB2312" w:eastAsia="仿宋_GB2312"/>
          <w:sz w:val="32"/>
          <w:szCs w:val="32"/>
        </w:rPr>
        <w:t>　　　会议费：项目支出绩效自评分为96分，评定等级为“优”</w:t>
      </w:r>
      <w:r>
        <w:rPr>
          <w:rFonts w:hint="eastAsia" w:ascii="仿宋_GB2312" w:eastAsia="仿宋_GB2312"/>
          <w:sz w:val="32"/>
          <w:szCs w:val="32"/>
          <w:lang w:eastAsia="zh-CN"/>
        </w:rPr>
        <w:t>。</w:t>
      </w:r>
    </w:p>
    <w:p w14:paraId="3A2B7D16">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黑体" w:hAnsi="黑体" w:eastAsia="黑体" w:cs="宋体"/>
          <w:color w:val="4A4A4A"/>
          <w:kern w:val="0"/>
          <w:sz w:val="32"/>
          <w:szCs w:val="32"/>
        </w:rPr>
      </w:pPr>
      <w:r>
        <w:rPr>
          <w:rFonts w:hint="eastAsia" w:ascii="仿宋_GB2312" w:hAnsi="宋体" w:eastAsia="仿宋_GB2312" w:cs="宋体"/>
          <w:color w:val="4A4A4A"/>
          <w:kern w:val="0"/>
          <w:sz w:val="32"/>
          <w:szCs w:val="32"/>
        </w:rPr>
        <w:t>　　</w:t>
      </w:r>
      <w:r>
        <w:rPr>
          <w:rFonts w:hint="eastAsia" w:ascii="黑体" w:hAnsi="黑体" w:eastAsia="黑体" w:cs="宋体"/>
          <w:color w:val="4A4A4A"/>
          <w:kern w:val="0"/>
          <w:sz w:val="32"/>
          <w:szCs w:val="32"/>
        </w:rPr>
        <w:t>四、绩效评价指标分析</w:t>
      </w:r>
    </w:p>
    <w:p w14:paraId="0AB551A9">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（一）项目决策情况分析</w:t>
      </w:r>
    </w:p>
    <w:p w14:paraId="67EB37E7">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从综合评价来看</w:t>
      </w:r>
      <w:r>
        <w:rPr>
          <w:rFonts w:hint="eastAsia" w:ascii="仿宋_GB2312" w:hAnsi="宋体" w:eastAsia="仿宋_GB2312" w:cs="宋体"/>
          <w:color w:val="4A4A4A"/>
          <w:kern w:val="0"/>
          <w:sz w:val="32"/>
          <w:szCs w:val="32"/>
          <w:lang w:eastAsia="zh-CN"/>
        </w:rPr>
        <w:t>，</w:t>
      </w:r>
      <w:r>
        <w:rPr>
          <w:rFonts w:hint="eastAsia" w:ascii="仿宋_GB2312" w:hAnsi="宋体" w:eastAsia="仿宋_GB2312" w:cs="宋体"/>
          <w:color w:val="4A4A4A"/>
          <w:kern w:val="0"/>
          <w:sz w:val="32"/>
          <w:szCs w:val="32"/>
        </w:rPr>
        <w:t>松潘县政协办各预算项目立项依据基本充分，均设定了各项目绩效目标，对资金配置方面均有明确的测算依据，整体情况良好。</w:t>
      </w:r>
    </w:p>
    <w:p w14:paraId="738954FA">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（二）项目管理情况分析</w:t>
      </w:r>
    </w:p>
    <w:p w14:paraId="3CB8F202">
      <w:pPr>
        <w:keepNext w:val="0"/>
        <w:keepLines w:val="0"/>
        <w:pageBreakBefore w:val="0"/>
        <w:kinsoku/>
        <w:wordWrap/>
        <w:overflowPunct/>
        <w:topLinePunct w:val="0"/>
        <w:autoSpaceDN/>
        <w:bidi w:val="0"/>
        <w:adjustRightInd w:val="0"/>
        <w:snapToGrid w:val="0"/>
        <w:spacing w:line="576" w:lineRule="exact"/>
        <w:ind w:firstLine="640" w:firstLineChars="200"/>
        <w:textAlignment w:val="auto"/>
        <w:rPr>
          <w:rFonts w:ascii="仿宋_GB2312" w:eastAsia="仿宋_GB2312"/>
          <w:sz w:val="32"/>
          <w:szCs w:val="32"/>
        </w:rPr>
      </w:pPr>
      <w:r>
        <w:rPr>
          <w:rFonts w:hint="eastAsia" w:ascii="仿宋_GB2312" w:hAnsi="宋体" w:eastAsia="仿宋_GB2312" w:cs="宋体"/>
          <w:kern w:val="0"/>
          <w:sz w:val="32"/>
          <w:szCs w:val="32"/>
        </w:rPr>
        <w:t>从整体评价来看，松潘县政协办公室</w:t>
      </w:r>
      <w:r>
        <w:rPr>
          <w:rFonts w:hint="eastAsia" w:ascii="仿宋_GB2312" w:eastAsia="仿宋_GB2312"/>
          <w:sz w:val="32"/>
          <w:szCs w:val="32"/>
        </w:rPr>
        <w:t>组织相关人员对项目实施过程全程管理，有效保证了管理制度健全性、制度执行有效性和项目质量可控性。</w:t>
      </w:r>
    </w:p>
    <w:p w14:paraId="05389C79">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　（三）项目产出情况分析</w:t>
      </w:r>
    </w:p>
    <w:p w14:paraId="626AE13B">
      <w:pPr>
        <w:keepNext w:val="0"/>
        <w:keepLines w:val="0"/>
        <w:pageBreakBefore w:val="0"/>
        <w:kinsoku/>
        <w:wordWrap/>
        <w:overflowPunct/>
        <w:topLinePunct w:val="0"/>
        <w:autoSpaceDN/>
        <w:bidi w:val="0"/>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从项目产出评价情况来看，基本完成各项产出目标，较好完成了松潘县政协办工作职能。5个项目都按工作要点完成了工作任务，只有县政协委员履职能力培训费这个项目因时间原因还没有落实。</w:t>
      </w:r>
    </w:p>
    <w:p w14:paraId="27C829F9">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（四）项目效益情况分析。</w:t>
      </w:r>
    </w:p>
    <w:p w14:paraId="6FEACAEF">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仿宋_GB2312" w:hAnsi="宋体" w:eastAsia="仿宋_GB2312" w:cs="宋体"/>
          <w:b/>
          <w:color w:val="4A4A4A"/>
          <w:kern w:val="0"/>
          <w:sz w:val="32"/>
          <w:szCs w:val="32"/>
        </w:rPr>
        <w:t>　1.项目成本（预算）控制情况</w:t>
      </w:r>
    </w:p>
    <w:p w14:paraId="34539A26">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kern w:val="0"/>
        </w:rPr>
        <w:t xml:space="preserve">　　  </w:t>
      </w:r>
      <w:r>
        <w:rPr>
          <w:rFonts w:hint="eastAsia" w:ascii="仿宋_GB2312" w:eastAsia="仿宋_GB2312"/>
          <w:sz w:val="32"/>
          <w:szCs w:val="32"/>
        </w:rPr>
        <w:t>各项目根据年度工作计划做好项目推进工作。年初预算批复后，根据项目推进情况申请资金下达，截至2022年6月30日，项目资金到位资金</w:t>
      </w:r>
      <w:r>
        <w:rPr>
          <w:rFonts w:hint="eastAsia" w:ascii="仿宋_GB2312" w:eastAsia="仿宋_GB2312"/>
          <w:sz w:val="32"/>
          <w:szCs w:val="32"/>
          <w:lang w:val="en-US" w:eastAsia="zh-CN"/>
        </w:rPr>
        <w:t>166.63</w:t>
      </w:r>
      <w:r>
        <w:rPr>
          <w:rFonts w:hint="eastAsia" w:ascii="仿宋_GB2312" w:eastAsia="仿宋_GB2312"/>
          <w:sz w:val="32"/>
          <w:szCs w:val="32"/>
        </w:rPr>
        <w:t>万元，已支出</w:t>
      </w:r>
      <w:r>
        <w:rPr>
          <w:rFonts w:hint="eastAsia" w:ascii="仿宋_GB2312" w:eastAsia="仿宋_GB2312"/>
          <w:sz w:val="32"/>
          <w:szCs w:val="32"/>
          <w:lang w:val="en-US" w:eastAsia="zh-CN"/>
        </w:rPr>
        <w:t>94.15</w:t>
      </w:r>
      <w:r>
        <w:rPr>
          <w:rFonts w:hint="eastAsia" w:ascii="仿宋_GB2312" w:eastAsia="仿宋_GB2312"/>
          <w:sz w:val="32"/>
          <w:szCs w:val="32"/>
        </w:rPr>
        <w:t>万元，项目资金执行率为5</w:t>
      </w:r>
      <w:r>
        <w:rPr>
          <w:rFonts w:hint="eastAsia" w:ascii="仿宋_GB2312" w:eastAsia="仿宋_GB2312"/>
          <w:sz w:val="32"/>
          <w:szCs w:val="32"/>
          <w:lang w:val="en-US" w:eastAsia="zh-CN"/>
        </w:rPr>
        <w:t>7</w:t>
      </w:r>
      <w:r>
        <w:rPr>
          <w:rFonts w:hint="eastAsia" w:ascii="仿宋_GB2312" w:eastAsia="仿宋_GB2312"/>
          <w:sz w:val="32"/>
          <w:szCs w:val="32"/>
        </w:rPr>
        <w:t>%。项目运行成本均在可控制范围内。</w:t>
      </w:r>
    </w:p>
    <w:p w14:paraId="091BBB6D">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2.项目完成质量</w:t>
      </w:r>
    </w:p>
    <w:p w14:paraId="00FF0D0C">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通过实地论证和比较分析，5个项目均不同程度地完成了相应的项目绩效目标。但因为政协全体会议一般在年底召开，因此预算绩效指标执行率离项目绩效目标还有一定差距，但总体完成质量还是较高。</w:t>
      </w:r>
    </w:p>
    <w:p w14:paraId="59A93124">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仿宋_GB2312" w:hAnsi="宋体" w:eastAsia="仿宋_GB2312" w:cs="宋体"/>
          <w:b/>
          <w:color w:val="4A4A4A"/>
          <w:kern w:val="0"/>
          <w:sz w:val="32"/>
          <w:szCs w:val="32"/>
        </w:rPr>
        <w:t>　3.项目的效益性分析</w:t>
      </w:r>
    </w:p>
    <w:p w14:paraId="5A3D2505">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kern w:val="0"/>
        </w:rPr>
        <w:t>　　</w:t>
      </w:r>
      <w:r>
        <w:rPr>
          <w:rFonts w:hint="eastAsia" w:ascii="仿宋_GB2312" w:eastAsia="仿宋_GB2312"/>
          <w:sz w:val="32"/>
          <w:szCs w:val="32"/>
        </w:rPr>
        <w:t>（1）项目预期目标完成程度。</w:t>
      </w:r>
    </w:p>
    <w:p w14:paraId="0D4B97B5">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松潘县政协办</w:t>
      </w:r>
      <w:r>
        <w:rPr>
          <w:rFonts w:hint="eastAsia" w:ascii="仿宋_GB2312" w:eastAsia="仿宋_GB2312"/>
          <w:sz w:val="32"/>
          <w:szCs w:val="32"/>
          <w:lang w:eastAsia="zh-CN"/>
        </w:rPr>
        <w:t>会议经费根据政协全体委员会议的召开实施，主要在年末落实</w:t>
      </w:r>
      <w:r>
        <w:rPr>
          <w:rFonts w:hint="eastAsia" w:ascii="仿宋_GB2312" w:eastAsia="仿宋_GB2312"/>
          <w:sz w:val="32"/>
          <w:szCs w:val="32"/>
        </w:rPr>
        <w:t>。</w:t>
      </w:r>
    </w:p>
    <w:p w14:paraId="766F6758">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（2）项目实施对经济和社会的影响。</w:t>
      </w:r>
    </w:p>
    <w:p w14:paraId="5FA14485">
      <w:pPr>
        <w:keepNext w:val="0"/>
        <w:keepLines w:val="0"/>
        <w:pageBreakBefore w:val="0"/>
        <w:kinsoku/>
        <w:wordWrap/>
        <w:overflowPunct/>
        <w:topLinePunct w:val="0"/>
        <w:autoSpaceDN/>
        <w:bidi w:val="0"/>
        <w:spacing w:line="576" w:lineRule="exact"/>
        <w:textAlignment w:val="auto"/>
        <w:rPr>
          <w:rFonts w:hint="eastAsia" w:ascii="仿宋_GB2312" w:eastAsia="仿宋_GB2312"/>
          <w:sz w:val="32"/>
          <w:szCs w:val="32"/>
        </w:rPr>
      </w:pPr>
      <w:r>
        <w:rPr>
          <w:rFonts w:hint="eastAsia" w:ascii="仿宋_GB2312" w:eastAsia="仿宋_GB2312"/>
          <w:sz w:val="32"/>
          <w:szCs w:val="32"/>
        </w:rPr>
        <w:t>　　通过各个项目的实施，确保了松潘县政协机关工作的稳步推进，因县级财政提供了强有力的财力保障，达到了预期目标。</w:t>
      </w:r>
    </w:p>
    <w:p w14:paraId="37D7A2E0">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黑体" w:hAnsi="黑体" w:eastAsia="黑体" w:cs="宋体"/>
          <w:color w:val="4A4A4A"/>
          <w:kern w:val="0"/>
          <w:sz w:val="32"/>
          <w:szCs w:val="32"/>
        </w:rPr>
      </w:pPr>
      <w:r>
        <w:rPr>
          <w:rFonts w:hint="eastAsia" w:ascii="仿宋_GB2312" w:hAnsi="宋体" w:eastAsia="仿宋_GB2312" w:cs="宋体"/>
          <w:color w:val="4A4A4A"/>
          <w:kern w:val="0"/>
          <w:sz w:val="32"/>
          <w:szCs w:val="32"/>
        </w:rPr>
        <w:t>　　</w:t>
      </w:r>
      <w:r>
        <w:rPr>
          <w:rFonts w:hint="eastAsia" w:ascii="黑体" w:hAnsi="黑体" w:eastAsia="黑体" w:cs="宋体"/>
          <w:color w:val="4A4A4A"/>
          <w:kern w:val="0"/>
          <w:sz w:val="32"/>
          <w:szCs w:val="32"/>
        </w:rPr>
        <w:t>五、存在的问题及原因分析</w:t>
      </w:r>
    </w:p>
    <w:p w14:paraId="4450E6D6">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（一）部门预算绩效管理主体意识不强</w:t>
      </w:r>
    </w:p>
    <w:p w14:paraId="287455CB">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仿宋_GB2312" w:hAnsi="宋体" w:eastAsia="仿宋_GB2312" w:cs="宋体"/>
          <w:color w:val="4A4A4A"/>
          <w:kern w:val="0"/>
          <w:sz w:val="32"/>
          <w:szCs w:val="32"/>
        </w:rPr>
      </w:pPr>
      <w:r>
        <w:rPr>
          <w:rFonts w:hint="eastAsia" w:ascii="仿宋_GB2312" w:hAnsi="宋体" w:eastAsia="仿宋_GB2312" w:cs="宋体"/>
          <w:color w:val="4A4A4A"/>
          <w:kern w:val="0"/>
          <w:sz w:val="32"/>
          <w:szCs w:val="32"/>
        </w:rPr>
        <w:t>　　部门绩效管理理念还未深入，预算绩效管理主体意识不强，未将预算绩效管理作为加强预算管理，提升资金使用绩效的有效管理模式，绩效管理工作大都为被动应付，存在被财政推着走的情况。部门内部协调机制不完善，绩效自评工作主要由财务人员牵头并完成。</w:t>
      </w:r>
    </w:p>
    <w:p w14:paraId="1C9D2C0A">
      <w:pPr>
        <w:keepNext w:val="0"/>
        <w:keepLines w:val="0"/>
        <w:pageBreakBefore w:val="0"/>
        <w:widowControl/>
        <w:shd w:val="clear" w:color="auto" w:fill="FFFFFF"/>
        <w:kinsoku/>
        <w:wordWrap/>
        <w:overflowPunct/>
        <w:topLinePunct w:val="0"/>
        <w:autoSpaceDN/>
        <w:bidi w:val="0"/>
        <w:spacing w:before="75" w:after="75" w:line="576" w:lineRule="exact"/>
        <w:jc w:val="left"/>
        <w:textAlignment w:val="auto"/>
        <w:rPr>
          <w:rFonts w:hint="eastAsia" w:ascii="楷体_GB2312" w:hAnsi="宋体" w:eastAsia="楷体_GB2312" w:cs="宋体"/>
          <w:b/>
          <w:color w:val="4A4A4A"/>
          <w:kern w:val="0"/>
          <w:sz w:val="32"/>
          <w:szCs w:val="32"/>
        </w:rPr>
      </w:pPr>
      <w:r>
        <w:rPr>
          <w:rFonts w:hint="eastAsia" w:ascii="仿宋_GB2312" w:hAnsi="宋体" w:eastAsia="仿宋_GB2312" w:cs="宋体"/>
          <w:color w:val="4A4A4A"/>
          <w:kern w:val="0"/>
          <w:sz w:val="32"/>
          <w:szCs w:val="32"/>
        </w:rPr>
        <w:t>　　</w:t>
      </w:r>
      <w:r>
        <w:rPr>
          <w:rFonts w:hint="eastAsia" w:ascii="楷体_GB2312" w:hAnsi="宋体" w:eastAsia="楷体_GB2312" w:cs="宋体"/>
          <w:b/>
          <w:color w:val="4A4A4A"/>
          <w:kern w:val="0"/>
          <w:sz w:val="32"/>
          <w:szCs w:val="32"/>
        </w:rPr>
        <w:t>（二）部门预算绩效管理机构不健全</w:t>
      </w:r>
    </w:p>
    <w:p w14:paraId="199A7C83">
      <w:pPr>
        <w:keepNext w:val="0"/>
        <w:keepLines w:val="0"/>
        <w:pageBreakBefore w:val="0"/>
        <w:kinsoku/>
        <w:wordWrap/>
        <w:overflowPunct/>
        <w:topLinePunct w:val="0"/>
        <w:autoSpaceDN/>
        <w:bidi w:val="0"/>
        <w:spacing w:line="576" w:lineRule="exact"/>
        <w:textAlignment w:val="auto"/>
        <w:rPr>
          <w:rFonts w:hint="eastAsia" w:ascii="仿宋_GB2312" w:hAnsi="宋体" w:eastAsia="仿宋_GB2312"/>
          <w:sz w:val="32"/>
          <w:szCs w:val="32"/>
        </w:rPr>
      </w:pPr>
      <w:r>
        <w:rPr>
          <w:rFonts w:hint="eastAsia"/>
          <w:kern w:val="0"/>
        </w:rPr>
        <w:t>　  　</w:t>
      </w:r>
      <w:r>
        <w:rPr>
          <w:rFonts w:hint="eastAsia" w:ascii="仿宋_GB2312" w:hAnsi="宋体" w:eastAsia="仿宋_GB2312"/>
          <w:sz w:val="32"/>
          <w:szCs w:val="32"/>
        </w:rPr>
        <w:t>预算绩效管理工作政策性强、专业性强、涉及面广、操作难度大，对于基层从事此项工作的财务人员具有许多新的挑战。在这方面缺乏系统的培训，无论是部门领导还是负责预算绩效管理人员，对预算绩效管理业务不专业。</w:t>
      </w:r>
    </w:p>
    <w:p w14:paraId="365B400C">
      <w:pPr>
        <w:keepNext w:val="0"/>
        <w:keepLines w:val="0"/>
        <w:pageBreakBefore w:val="0"/>
        <w:kinsoku/>
        <w:wordWrap/>
        <w:overflowPunct/>
        <w:topLinePunct w:val="0"/>
        <w:autoSpaceDN/>
        <w:bidi w:val="0"/>
        <w:spacing w:line="576" w:lineRule="exact"/>
        <w:textAlignment w:val="auto"/>
        <w:rPr>
          <w:rFonts w:hint="eastAsia" w:ascii="黑体" w:hAnsi="黑体" w:eastAsia="黑体"/>
          <w:sz w:val="32"/>
          <w:szCs w:val="32"/>
        </w:rPr>
      </w:pPr>
      <w:r>
        <w:rPr>
          <w:rFonts w:hint="eastAsia" w:ascii="仿宋_GB2312" w:hAnsi="宋体" w:eastAsia="仿宋_GB2312"/>
          <w:sz w:val="32"/>
          <w:szCs w:val="32"/>
        </w:rPr>
        <w:t>　</w:t>
      </w:r>
      <w:r>
        <w:rPr>
          <w:rFonts w:hint="eastAsia" w:ascii="黑体" w:hAnsi="黑体" w:eastAsia="黑体"/>
          <w:sz w:val="32"/>
          <w:szCs w:val="32"/>
        </w:rPr>
        <w:t>　六、工作建议</w:t>
      </w:r>
    </w:p>
    <w:p w14:paraId="6AB2E710">
      <w:pPr>
        <w:keepNext w:val="0"/>
        <w:keepLines w:val="0"/>
        <w:pageBreakBefore w:val="0"/>
        <w:kinsoku/>
        <w:wordWrap/>
        <w:overflowPunct/>
        <w:topLinePunct w:val="0"/>
        <w:autoSpaceDN/>
        <w:bidi w:val="0"/>
        <w:spacing w:line="576" w:lineRule="exact"/>
        <w:ind w:firstLine="630"/>
        <w:jc w:val="left"/>
        <w:textAlignment w:val="auto"/>
        <w:rPr>
          <w:rFonts w:hint="eastAsia" w:ascii="仿宋_GB2312" w:hAnsi="楷体" w:eastAsia="仿宋_GB2312"/>
          <w:sz w:val="32"/>
          <w:szCs w:val="32"/>
        </w:rPr>
      </w:pPr>
      <w:r>
        <w:rPr>
          <w:rFonts w:hint="eastAsia" w:ascii="仿宋_GB2312" w:hAnsi="楷体" w:eastAsia="仿宋_GB2312"/>
          <w:sz w:val="32"/>
          <w:szCs w:val="32"/>
        </w:rPr>
        <w:t>加强预算绩效管理工作的学习和培训力度。由于绩效管理工作涉及面多而广，单位部门领导和财务人员对此项工作不专业、不完全了解，导致此项工作开展被动，建议财政部门加强对绩效目标管理的培训工作。</w:t>
      </w:r>
    </w:p>
    <w:p w14:paraId="0CE7A737">
      <w:pPr>
        <w:keepNext w:val="0"/>
        <w:keepLines w:val="0"/>
        <w:pageBreakBefore w:val="0"/>
        <w:kinsoku/>
        <w:wordWrap/>
        <w:overflowPunct/>
        <w:topLinePunct w:val="0"/>
        <w:autoSpaceDN/>
        <w:bidi w:val="0"/>
        <w:spacing w:line="576" w:lineRule="exact"/>
        <w:ind w:firstLine="630"/>
        <w:jc w:val="left"/>
        <w:textAlignment w:val="auto"/>
        <w:rPr>
          <w:rFonts w:hint="eastAsia" w:ascii="仿宋_GB2312" w:hAnsi="楷体" w:eastAsia="仿宋_GB2312"/>
          <w:sz w:val="32"/>
          <w:szCs w:val="32"/>
        </w:rPr>
      </w:pPr>
    </w:p>
    <w:p w14:paraId="2A65DB23">
      <w:pPr>
        <w:keepNext w:val="0"/>
        <w:keepLines w:val="0"/>
        <w:pageBreakBefore w:val="0"/>
        <w:kinsoku/>
        <w:wordWrap/>
        <w:overflowPunct/>
        <w:topLinePunct w:val="0"/>
        <w:autoSpaceDN/>
        <w:bidi w:val="0"/>
        <w:spacing w:line="576" w:lineRule="exact"/>
        <w:ind w:firstLine="630"/>
        <w:jc w:val="left"/>
        <w:textAlignment w:val="auto"/>
        <w:rPr>
          <w:rFonts w:hint="eastAsia" w:ascii="仿宋_GB2312" w:hAnsi="楷体" w:eastAsia="仿宋_GB2312"/>
          <w:sz w:val="32"/>
          <w:szCs w:val="32"/>
        </w:rPr>
      </w:pPr>
    </w:p>
    <w:p w14:paraId="3ABAFBCE">
      <w:pPr>
        <w:keepNext w:val="0"/>
        <w:keepLines w:val="0"/>
        <w:pageBreakBefore w:val="0"/>
        <w:kinsoku/>
        <w:wordWrap/>
        <w:overflowPunct/>
        <w:topLinePunct w:val="0"/>
        <w:autoSpaceDN/>
        <w:bidi w:val="0"/>
        <w:spacing w:line="576" w:lineRule="exact"/>
        <w:ind w:firstLine="630"/>
        <w:jc w:val="left"/>
        <w:textAlignment w:val="auto"/>
        <w:rPr>
          <w:rFonts w:hint="eastAsia" w:ascii="仿宋_GB2312" w:hAnsi="楷体" w:eastAsia="仿宋_GB2312"/>
          <w:sz w:val="32"/>
          <w:szCs w:val="32"/>
        </w:rPr>
      </w:pPr>
      <w:r>
        <w:rPr>
          <w:rFonts w:hint="eastAsia" w:ascii="仿宋_GB2312" w:hAnsi="楷体" w:eastAsia="仿宋_GB2312"/>
          <w:sz w:val="32"/>
          <w:szCs w:val="32"/>
        </w:rPr>
        <w:t xml:space="preserve">                          松潘县政协办公室</w:t>
      </w:r>
    </w:p>
    <w:p w14:paraId="5760B750">
      <w:pPr>
        <w:keepNext w:val="0"/>
        <w:keepLines w:val="0"/>
        <w:pageBreakBefore w:val="0"/>
        <w:kinsoku/>
        <w:wordWrap/>
        <w:overflowPunct/>
        <w:topLinePunct w:val="0"/>
        <w:autoSpaceDN/>
        <w:bidi w:val="0"/>
        <w:spacing w:line="576" w:lineRule="exact"/>
        <w:ind w:firstLine="630"/>
        <w:jc w:val="left"/>
        <w:textAlignment w:val="auto"/>
        <w:rPr>
          <w:rFonts w:hint="eastAsia" w:ascii="仿宋_GB2312" w:hAnsi="楷体" w:eastAsia="仿宋_GB2312"/>
          <w:sz w:val="32"/>
          <w:szCs w:val="32"/>
        </w:rPr>
      </w:pPr>
      <w:r>
        <w:rPr>
          <w:rFonts w:hint="eastAsia" w:ascii="仿宋_GB2312" w:hAnsi="楷体" w:eastAsia="仿宋_GB2312"/>
          <w:sz w:val="32"/>
          <w:szCs w:val="32"/>
        </w:rPr>
        <w:t xml:space="preserve">                           2022年6月28日</w:t>
      </w:r>
    </w:p>
    <w:p w14:paraId="34D302F7">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 xml:space="preserve"> </w:t>
      </w:r>
    </w:p>
    <w:p w14:paraId="30B3C6A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center"/>
        <w:textAlignment w:val="auto"/>
        <w:rPr>
          <w:rFonts w:hint="eastAsia" w:ascii="黑体" w:hAnsi="宋体" w:eastAsia="黑体" w:cs="黑体"/>
          <w:kern w:val="0"/>
          <w:sz w:val="32"/>
          <w:szCs w:val="32"/>
        </w:rPr>
      </w:pPr>
      <w:r>
        <w:rPr>
          <w:rFonts w:hint="eastAsia" w:ascii="黑体" w:hAnsi="宋体" w:eastAsia="黑体" w:cs="黑体"/>
          <w:kern w:val="0"/>
          <w:sz w:val="32"/>
          <w:szCs w:val="32"/>
          <w:lang w:val="en-US" w:eastAsia="zh-CN" w:bidi="ar"/>
        </w:rPr>
        <w:t>第五部分 附表</w:t>
      </w:r>
    </w:p>
    <w:p w14:paraId="4480DB1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一、收入支出决算总表</w:t>
      </w:r>
    </w:p>
    <w:p w14:paraId="20A0D06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二、收入决算表</w:t>
      </w:r>
    </w:p>
    <w:p w14:paraId="5C2D0FC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三、支出决算表</w:t>
      </w:r>
    </w:p>
    <w:p w14:paraId="352D170D">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四、财政拨款收入支出决算总表</w:t>
      </w:r>
    </w:p>
    <w:p w14:paraId="0776E77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五、财政拨款支出决算明细表</w:t>
      </w:r>
    </w:p>
    <w:p w14:paraId="46BEDB28">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六、一般公共预算财政拨款支出决算表</w:t>
      </w:r>
    </w:p>
    <w:p w14:paraId="510DA15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七、一般公共预算财政拨款支出决算明细表</w:t>
      </w:r>
    </w:p>
    <w:p w14:paraId="4F2C18E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八、一般公共预算财政拨款基本支出决算表</w:t>
      </w:r>
    </w:p>
    <w:p w14:paraId="4A5F19D2">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九、一般公共预算财政拨款项目支出决算表</w:t>
      </w:r>
    </w:p>
    <w:p w14:paraId="18FBE0EA">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十三、财政拨款“三公”经费支出决算表</w:t>
      </w:r>
    </w:p>
    <w:p w14:paraId="2CA2E310">
      <w:pPr>
        <w:keepNext w:val="0"/>
        <w:keepLines w:val="0"/>
        <w:pageBreakBefore w:val="0"/>
        <w:kinsoku/>
        <w:wordWrap/>
        <w:overflowPunct/>
        <w:topLinePunct w:val="0"/>
        <w:autoSpaceDN/>
        <w:bidi w:val="0"/>
        <w:spacing w:line="576" w:lineRule="exact"/>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0E7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990E6">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A990E6">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3018AA"/>
    <w:multiLevelType w:val="multilevel"/>
    <w:tmpl w:val="393018AA"/>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AE3AC9C"/>
    <w:multiLevelType w:val="singleLevel"/>
    <w:tmpl w:val="4AE3AC9C"/>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1MWNhN2ZmY2ZhZmY3ODhlYTg0MWU5OGMyY2QwZmUifQ=="/>
  </w:docVars>
  <w:rsids>
    <w:rsidRoot w:val="00000000"/>
    <w:rsid w:val="01D4722B"/>
    <w:rsid w:val="02250EE0"/>
    <w:rsid w:val="0A720D92"/>
    <w:rsid w:val="0AEF48BD"/>
    <w:rsid w:val="0B55573F"/>
    <w:rsid w:val="123568A9"/>
    <w:rsid w:val="131D58FD"/>
    <w:rsid w:val="17BB4365"/>
    <w:rsid w:val="18D41EDE"/>
    <w:rsid w:val="19DA4C09"/>
    <w:rsid w:val="1B953200"/>
    <w:rsid w:val="1FB77BAB"/>
    <w:rsid w:val="21A635E1"/>
    <w:rsid w:val="221C3809"/>
    <w:rsid w:val="25F5038B"/>
    <w:rsid w:val="27B8791F"/>
    <w:rsid w:val="28AC3A43"/>
    <w:rsid w:val="29200A79"/>
    <w:rsid w:val="2DB51518"/>
    <w:rsid w:val="2E130DF9"/>
    <w:rsid w:val="2EAB7833"/>
    <w:rsid w:val="30DD1935"/>
    <w:rsid w:val="31D627E9"/>
    <w:rsid w:val="335A4F16"/>
    <w:rsid w:val="349C651B"/>
    <w:rsid w:val="362756B7"/>
    <w:rsid w:val="37F31E0C"/>
    <w:rsid w:val="388F7548"/>
    <w:rsid w:val="39353730"/>
    <w:rsid w:val="3C6F50E4"/>
    <w:rsid w:val="3CF11848"/>
    <w:rsid w:val="3E911522"/>
    <w:rsid w:val="417D3E38"/>
    <w:rsid w:val="434D20A0"/>
    <w:rsid w:val="4358249B"/>
    <w:rsid w:val="439F3F87"/>
    <w:rsid w:val="49563F8B"/>
    <w:rsid w:val="49AD198E"/>
    <w:rsid w:val="4A8E119D"/>
    <w:rsid w:val="4CCD64F4"/>
    <w:rsid w:val="4D403CC5"/>
    <w:rsid w:val="4ED815EA"/>
    <w:rsid w:val="54432833"/>
    <w:rsid w:val="54BB3D09"/>
    <w:rsid w:val="594115A7"/>
    <w:rsid w:val="59A977AE"/>
    <w:rsid w:val="5F4E053E"/>
    <w:rsid w:val="6B9D02DA"/>
    <w:rsid w:val="6BA65FB5"/>
    <w:rsid w:val="71971EF8"/>
    <w:rsid w:val="78A6067A"/>
    <w:rsid w:val="7ADD69C2"/>
    <w:rsid w:val="7B67072B"/>
    <w:rsid w:val="7ECA5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9">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toc 3"/>
    <w:basedOn w:val="1"/>
    <w:next w:val="1"/>
    <w:unhideWhenUsed/>
    <w:qFormat/>
    <w:uiPriority w:val="39"/>
    <w:pPr>
      <w:ind w:left="420"/>
      <w:jc w:val="left"/>
    </w:pPr>
    <w:rPr>
      <w:rFonts w:asciiTheme="minorHAnsi" w:eastAsiaTheme="minorHAnsi"/>
      <w:i/>
      <w:iCs/>
      <w:sz w:val="20"/>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7">
    <w:name w:val="toc 2"/>
    <w:basedOn w:val="1"/>
    <w:next w:val="1"/>
    <w:unhideWhenUsed/>
    <w:qFormat/>
    <w:uiPriority w:val="39"/>
    <w:pPr>
      <w:ind w:left="210"/>
      <w:jc w:val="left"/>
    </w:pPr>
    <w:rPr>
      <w:rFonts w:asciiTheme="minorHAnsi" w:eastAsiaTheme="minorHAnsi"/>
      <w:smallCaps/>
      <w:sz w:val="20"/>
      <w:szCs w:val="20"/>
    </w:rPr>
  </w:style>
  <w:style w:type="character" w:styleId="10">
    <w:name w:val="Strong"/>
    <w:basedOn w:val="9"/>
    <w:qFormat/>
    <w:uiPriority w:val="99"/>
    <w:rPr>
      <w:rFonts w:cs="Times New Roman"/>
      <w:b/>
    </w:rPr>
  </w:style>
  <w:style w:type="character" w:customStyle="1" w:styleId="11">
    <w:name w:val="15"/>
    <w:basedOn w:val="9"/>
    <w:qFormat/>
    <w:uiPriority w:val="0"/>
    <w:rPr>
      <w:rFonts w:hint="default" w:ascii="Times New Roman" w:hAnsi="Times New Roman" w:cs="Times New Roman"/>
      <w:b/>
    </w:rPr>
  </w:style>
  <w:style w:type="character" w:customStyle="1" w:styleId="12">
    <w:name w:val="10"/>
    <w:basedOn w:val="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15774</Words>
  <Characters>16999</Characters>
  <Lines>0</Lines>
  <Paragraphs>0</Paragraphs>
  <TotalTime>20</TotalTime>
  <ScaleCrop>false</ScaleCrop>
  <LinksUpToDate>false</LinksUpToDate>
  <CharactersWithSpaces>17288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Administrator.WINMICR-08UCSRQ</dc:creator>
  <cp:lastModifiedBy>对影成三人</cp:lastModifiedBy>
  <dcterms:modified xsi:type="dcterms:W3CDTF">2026-09-01T08:16:59Z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AF98F09A509748CAB8CBCA04220F311E_12</vt:lpwstr>
  </property>
  <property fmtid="{D5CDD505-2E9C-101B-9397-08002B2CF9AE}" pid="4" name="KSOTemplateDocerSaveRecord">
    <vt:lpwstr>eyJoZGlkIjoiYjA1ZDg3Y2Y1MzJlNDVjZjA5NTk4YjViYTliYmM3NTYiLCJ1c2VySWQiOiIyNDIyNDYwNDUifQ==</vt:lpwstr>
  </property>
</Properties>
</file>