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B43D9F">
      <w:pPr>
        <w:spacing w:line="600" w:lineRule="exact"/>
        <w:jc w:val="center"/>
        <w:outlineLvl w:val="0"/>
        <w:rPr>
          <w:rFonts w:ascii="方正小标宋简体" w:hAnsi="宋体" w:eastAsia="方正小标宋简体"/>
          <w:sz w:val="72"/>
          <w:szCs w:val="72"/>
        </w:rPr>
      </w:pPr>
      <w:bookmarkStart w:id="0" w:name="_Toc15306267"/>
    </w:p>
    <w:p w14:paraId="31ACBE8D">
      <w:pPr>
        <w:spacing w:line="600" w:lineRule="exact"/>
        <w:jc w:val="center"/>
        <w:outlineLvl w:val="0"/>
        <w:rPr>
          <w:rFonts w:ascii="方正小标宋简体" w:hAnsi="宋体" w:eastAsia="方正小标宋简体"/>
          <w:sz w:val="72"/>
          <w:szCs w:val="72"/>
        </w:rPr>
      </w:pPr>
    </w:p>
    <w:p w14:paraId="4B16ED21">
      <w:pPr>
        <w:spacing w:line="600" w:lineRule="exact"/>
        <w:jc w:val="center"/>
        <w:outlineLvl w:val="0"/>
        <w:rPr>
          <w:rFonts w:ascii="方正小标宋简体" w:hAnsi="宋体" w:eastAsia="方正小标宋简体"/>
          <w:sz w:val="72"/>
          <w:szCs w:val="72"/>
        </w:rPr>
      </w:pPr>
    </w:p>
    <w:p w14:paraId="4993F6E2">
      <w:pPr>
        <w:jc w:val="center"/>
        <w:rPr>
          <w:rFonts w:ascii="黑体" w:hAnsi="黑体" w:eastAsia="黑体"/>
          <w:sz w:val="72"/>
          <w:szCs w:val="72"/>
        </w:rPr>
      </w:pPr>
      <w:bookmarkStart w:id="1" w:name="_Toc15378441"/>
      <w:bookmarkStart w:id="2" w:name="_Toc15377425"/>
      <w:bookmarkStart w:id="3" w:name="_Toc15396597"/>
      <w:bookmarkStart w:id="4" w:name="_Toc15377193"/>
      <w:bookmarkStart w:id="5" w:name="_Toc15396475"/>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bookmarkEnd w:id="0"/>
    <w:p w14:paraId="4C732B85">
      <w:pPr>
        <w:adjustRightInd w:val="0"/>
        <w:snapToGrid w:val="0"/>
        <w:spacing w:line="360" w:lineRule="auto"/>
        <w:jc w:val="center"/>
        <w:outlineLvl w:val="0"/>
        <w:rPr>
          <w:rFonts w:ascii="方正小标宋简体" w:hAnsi="宋体" w:eastAsia="方正小标宋简体"/>
          <w:sz w:val="72"/>
          <w:szCs w:val="72"/>
        </w:rPr>
      </w:pPr>
      <w:bookmarkStart w:id="6" w:name="_Toc15396476"/>
      <w:bookmarkStart w:id="7" w:name="_Toc15378442"/>
      <w:bookmarkStart w:id="8" w:name="_Toc6776"/>
      <w:bookmarkStart w:id="9" w:name="_Toc15377194"/>
      <w:bookmarkStart w:id="10" w:name="_Toc15377426"/>
      <w:bookmarkStart w:id="11" w:name="_Toc15396598"/>
      <w:r>
        <w:rPr>
          <w:rFonts w:hint="eastAsia" w:ascii="方正小标宋简体" w:hAnsi="宋体" w:eastAsia="方正小标宋简体"/>
          <w:sz w:val="72"/>
          <w:szCs w:val="72"/>
        </w:rPr>
        <w:t>四川省阿坝州</w:t>
      </w:r>
      <w:bookmarkStart w:id="12" w:name="_Toc15306268"/>
      <w:r>
        <w:rPr>
          <w:rFonts w:hint="eastAsia" w:ascii="方正小标宋简体" w:hAnsi="宋体" w:eastAsia="方正小标宋简体"/>
          <w:sz w:val="72"/>
          <w:szCs w:val="72"/>
        </w:rPr>
        <w:t>松潘县    毛尔盖寺庙管理委员会      部门决算</w:t>
      </w:r>
      <w:bookmarkEnd w:id="6"/>
      <w:bookmarkEnd w:id="7"/>
      <w:bookmarkEnd w:id="8"/>
      <w:bookmarkEnd w:id="9"/>
      <w:bookmarkEnd w:id="10"/>
      <w:bookmarkEnd w:id="11"/>
      <w:bookmarkEnd w:id="12"/>
    </w:p>
    <w:p w14:paraId="79596AF9">
      <w:pPr>
        <w:widowControl/>
        <w:jc w:val="center"/>
        <w:rPr>
          <w:rFonts w:ascii="方正小标宋简体" w:hAnsi="宋体" w:eastAsia="方正小标宋简体"/>
          <w:sz w:val="36"/>
          <w:szCs w:val="36"/>
        </w:rPr>
      </w:pPr>
    </w:p>
    <w:p w14:paraId="7669D49B">
      <w:pPr>
        <w:rPr>
          <w:rFonts w:ascii="方正小标宋简体" w:hAnsi="宋体" w:eastAsia="方正小标宋简体"/>
          <w:sz w:val="36"/>
          <w:szCs w:val="36"/>
        </w:rPr>
      </w:pPr>
    </w:p>
    <w:p w14:paraId="550E2BC7">
      <w:pPr>
        <w:rPr>
          <w:rFonts w:ascii="方正小标宋简体" w:hAnsi="宋体" w:eastAsia="方正小标宋简体"/>
          <w:sz w:val="36"/>
          <w:szCs w:val="36"/>
        </w:rPr>
      </w:pPr>
    </w:p>
    <w:p w14:paraId="1BB259AC">
      <w:pPr>
        <w:rPr>
          <w:rFonts w:ascii="方正小标宋简体" w:hAnsi="宋体" w:eastAsia="方正小标宋简体"/>
          <w:sz w:val="36"/>
          <w:szCs w:val="36"/>
        </w:rPr>
      </w:pPr>
    </w:p>
    <w:p w14:paraId="2426CFF0">
      <w:pPr>
        <w:rPr>
          <w:rFonts w:ascii="方正小标宋简体" w:hAnsi="宋体" w:eastAsia="方正小标宋简体"/>
          <w:sz w:val="36"/>
          <w:szCs w:val="36"/>
        </w:rPr>
      </w:pPr>
    </w:p>
    <w:p w14:paraId="0003E35D">
      <w:pPr>
        <w:rPr>
          <w:rFonts w:ascii="方正小标宋简体" w:hAnsi="宋体" w:eastAsia="方正小标宋简体"/>
          <w:sz w:val="36"/>
          <w:szCs w:val="36"/>
        </w:rPr>
      </w:pPr>
    </w:p>
    <w:p w14:paraId="30360A9A">
      <w:pPr>
        <w:rPr>
          <w:rFonts w:ascii="方正小标宋简体" w:hAnsi="宋体" w:eastAsia="方正小标宋简体"/>
          <w:sz w:val="36"/>
          <w:szCs w:val="36"/>
        </w:rPr>
      </w:pPr>
    </w:p>
    <w:p w14:paraId="2441890B">
      <w:pPr>
        <w:rPr>
          <w:rFonts w:ascii="方正小标宋简体" w:hAnsi="宋体" w:eastAsia="方正小标宋简体"/>
          <w:sz w:val="36"/>
          <w:szCs w:val="36"/>
        </w:rPr>
      </w:pPr>
    </w:p>
    <w:p w14:paraId="01333D29">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14:paraId="25BDF4AC">
      <w:pPr>
        <w:autoSpaceDE w:val="0"/>
        <w:autoSpaceDN w:val="0"/>
        <w:adjustRightInd w:val="0"/>
        <w:ind w:left="420" w:leftChars="200"/>
        <w:rPr>
          <w:rFonts w:ascii="宋体" w:hAnsi="宋体" w:cs="仿宋_GB2312"/>
          <w:sz w:val="32"/>
          <w:szCs w:val="32"/>
        </w:rPr>
      </w:pPr>
      <w:r>
        <w:rPr>
          <w:rFonts w:hint="eastAsia" w:ascii="宋体" w:hAnsi="宋体" w:cs="仿宋_GB2312"/>
          <w:sz w:val="32"/>
          <w:szCs w:val="32"/>
        </w:rPr>
        <w:t>部门主要负责人审签情况：已审签，同意对外公开</w:t>
      </w:r>
    </w:p>
    <w:p w14:paraId="0360311C">
      <w:pPr>
        <w:autoSpaceDE w:val="0"/>
        <w:autoSpaceDN w:val="0"/>
        <w:adjustRightInd w:val="0"/>
        <w:ind w:left="420" w:leftChars="200"/>
        <w:jc w:val="center"/>
        <w:rPr>
          <w:rFonts w:ascii="宋体" w:hAnsi="宋体" w:cs="仿宋_GB2312"/>
          <w:sz w:val="32"/>
          <w:szCs w:val="32"/>
        </w:rPr>
      </w:pPr>
    </w:p>
    <w:p w14:paraId="1C48B280">
      <w:pPr>
        <w:autoSpaceDE w:val="0"/>
        <w:autoSpaceDN w:val="0"/>
        <w:adjustRightInd w:val="0"/>
        <w:ind w:left="420" w:leftChars="200"/>
        <w:jc w:val="center"/>
        <w:rPr>
          <w:rFonts w:ascii="黑体" w:hAnsi="黑体" w:eastAsia="黑体"/>
          <w:sz w:val="48"/>
          <w:szCs w:val="48"/>
        </w:rPr>
      </w:pPr>
      <w:r>
        <w:rPr>
          <w:rFonts w:hint="eastAsia" w:ascii="黑体" w:hAnsi="黑体" w:eastAsia="黑体"/>
          <w:sz w:val="48"/>
          <w:szCs w:val="48"/>
        </w:rPr>
        <w:t>目录</w:t>
      </w:r>
    </w:p>
    <w:p w14:paraId="2BF49C3D">
      <w:pPr>
        <w:pStyle w:val="13"/>
        <w:spacing w:before="0" w:after="0" w:line="280" w:lineRule="exact"/>
        <w:jc w:val="center"/>
        <w:rPr>
          <w:rFonts w:hAnsiTheme="minorHAnsi"/>
          <w:b w:val="0"/>
          <w:bCs w:val="0"/>
          <w:sz w:val="24"/>
          <w:szCs w:val="24"/>
        </w:rPr>
      </w:pPr>
      <w:r>
        <w:rPr>
          <w:rFonts w:hint="eastAsia" w:hAnsiTheme="minorHAnsi"/>
          <w:b w:val="0"/>
          <w:bCs w:val="0"/>
          <w:sz w:val="24"/>
          <w:szCs w:val="24"/>
        </w:rPr>
        <w:t xml:space="preserve">公开时间：2021年 </w:t>
      </w:r>
      <w:r>
        <w:rPr>
          <w:rFonts w:hAnsiTheme="minorHAnsi"/>
          <w:b w:val="0"/>
          <w:bCs w:val="0"/>
          <w:sz w:val="24"/>
          <w:szCs w:val="24"/>
        </w:rPr>
        <w:t>9</w:t>
      </w:r>
      <w:r>
        <w:rPr>
          <w:rFonts w:hint="eastAsia" w:hAnsiTheme="minorHAnsi"/>
          <w:b w:val="0"/>
          <w:bCs w:val="0"/>
          <w:sz w:val="24"/>
          <w:szCs w:val="24"/>
        </w:rPr>
        <w:t>月</w:t>
      </w:r>
      <w:r>
        <w:rPr>
          <w:rFonts w:hint="eastAsia" w:eastAsia="宋体" w:hAnsiTheme="minorHAnsi"/>
          <w:b w:val="0"/>
          <w:bCs w:val="0"/>
          <w:sz w:val="24"/>
          <w:szCs w:val="24"/>
        </w:rPr>
        <w:t>24</w:t>
      </w:r>
      <w:r>
        <w:rPr>
          <w:rFonts w:hint="eastAsia" w:hAnsiTheme="minorHAnsi"/>
          <w:b w:val="0"/>
          <w:bCs w:val="0"/>
          <w:sz w:val="24"/>
          <w:szCs w:val="24"/>
        </w:rPr>
        <w:t>日</w:t>
      </w:r>
    </w:p>
    <w:p w14:paraId="621A8B6D">
      <w:pPr>
        <w:pStyle w:val="13"/>
        <w:tabs>
          <w:tab w:val="right" w:leader="dot" w:pos="8296"/>
        </w:tabs>
        <w:spacing w:before="0" w:after="0" w:line="280" w:lineRule="exact"/>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14:paraId="2F63C870">
      <w:pPr>
        <w:pStyle w:val="16"/>
        <w:tabs>
          <w:tab w:val="right" w:leader="dot" w:pos="8296"/>
        </w:tabs>
        <w:spacing w:line="280" w:lineRule="exact"/>
        <w:rPr>
          <w:rFonts w:hAnsiTheme="minorHAnsi" w:eastAsiaTheme="minorEastAsia" w:cstheme="minorBidi"/>
          <w:smallCaps w:val="0"/>
          <w:sz w:val="21"/>
          <w:szCs w:val="22"/>
        </w:rPr>
      </w:pPr>
      <w:r>
        <w:rPr>
          <w:rFonts w:ascii="黑体" w:hAnsi="黑体" w:eastAsia="黑体"/>
        </w:rPr>
        <w:t>一、基本职能及主要工作</w:t>
      </w:r>
      <w:r>
        <w:tab/>
      </w:r>
      <w:r>
        <w:fldChar w:fldCharType="begin"/>
      </w:r>
      <w:r>
        <w:instrText xml:space="preserve"> PAGEREF _Toc79163852 \h </w:instrText>
      </w:r>
      <w:r>
        <w:fldChar w:fldCharType="separate"/>
      </w:r>
      <w:r>
        <w:t>4</w:t>
      </w:r>
      <w:r>
        <w:fldChar w:fldCharType="end"/>
      </w:r>
    </w:p>
    <w:p w14:paraId="220D437C">
      <w:pPr>
        <w:pStyle w:val="8"/>
        <w:tabs>
          <w:tab w:val="right" w:leader="dot" w:pos="8296"/>
        </w:tabs>
        <w:spacing w:line="280" w:lineRule="exact"/>
        <w:rPr>
          <w:rFonts w:hAnsiTheme="minorHAnsi" w:eastAsiaTheme="minorEastAsia" w:cstheme="minorBidi"/>
          <w:i w:val="0"/>
          <w:iCs w:val="0"/>
          <w:sz w:val="21"/>
          <w:szCs w:val="22"/>
        </w:rPr>
      </w:pPr>
      <w:r>
        <w:rPr>
          <w:rFonts w:ascii="仿宋" w:hAnsi="仿宋" w:eastAsia="仿宋"/>
          <w:bCs/>
        </w:rPr>
        <w:t>（一）主要职能。</w:t>
      </w:r>
      <w:r>
        <w:tab/>
      </w:r>
      <w:r>
        <w:fldChar w:fldCharType="begin"/>
      </w:r>
      <w:r>
        <w:instrText xml:space="preserve"> PAGEREF _Toc79163853 \h </w:instrText>
      </w:r>
      <w:r>
        <w:fldChar w:fldCharType="separate"/>
      </w:r>
      <w:r>
        <w:t>4</w:t>
      </w:r>
      <w:r>
        <w:fldChar w:fldCharType="end"/>
      </w:r>
    </w:p>
    <w:p w14:paraId="71E2BADE">
      <w:pPr>
        <w:pStyle w:val="16"/>
        <w:tabs>
          <w:tab w:val="right" w:leader="dot" w:pos="8296"/>
        </w:tabs>
        <w:spacing w:line="280" w:lineRule="exact"/>
        <w:rPr>
          <w:rFonts w:hAnsiTheme="minorHAnsi" w:eastAsiaTheme="minorEastAsia" w:cstheme="minorBidi"/>
          <w:smallCaps w:val="0"/>
          <w:sz w:val="21"/>
          <w:szCs w:val="22"/>
        </w:rPr>
      </w:pPr>
      <w:r>
        <w:rPr>
          <w:rFonts w:ascii="黑体" w:eastAsia="黑体"/>
        </w:rPr>
        <w:t>二、</w:t>
      </w:r>
      <w:r>
        <w:rPr>
          <w:rFonts w:ascii="黑体" w:hAnsi="黑体" w:eastAsia="黑体"/>
        </w:rPr>
        <w:t>机构设置</w:t>
      </w:r>
      <w:r>
        <w:tab/>
      </w:r>
      <w:r>
        <w:fldChar w:fldCharType="begin"/>
      </w:r>
      <w:r>
        <w:instrText xml:space="preserve"> PAGEREF _Toc79163855 \h </w:instrText>
      </w:r>
      <w:r>
        <w:fldChar w:fldCharType="separate"/>
      </w:r>
      <w:r>
        <w:t>4</w:t>
      </w:r>
      <w:r>
        <w:fldChar w:fldCharType="end"/>
      </w:r>
    </w:p>
    <w:p w14:paraId="2227DA26">
      <w:pPr>
        <w:pStyle w:val="13"/>
        <w:tabs>
          <w:tab w:val="right" w:leader="dot" w:pos="8296"/>
        </w:tabs>
        <w:spacing w:before="0" w:after="0" w:line="280" w:lineRule="exact"/>
        <w:rPr>
          <w:rFonts w:hAnsiTheme="minorHAnsi" w:eastAsiaTheme="minorEastAsia" w:cstheme="minorBidi"/>
          <w:b w:val="0"/>
          <w:bCs w:val="0"/>
          <w:caps w:val="0"/>
          <w:sz w:val="21"/>
          <w:szCs w:val="22"/>
        </w:rPr>
      </w:pPr>
      <w:r>
        <w:rPr>
          <w:rFonts w:ascii="黑体" w:hAnsi="黑体" w:eastAsia="黑体"/>
          <w:b w:val="0"/>
        </w:rPr>
        <w:t>第二部分</w:t>
      </w:r>
      <w:r>
        <w:rPr>
          <w:rFonts w:ascii="黑体" w:hAnsi="黑体" w:eastAsia="黑体"/>
        </w:rPr>
        <w:t xml:space="preserve"> </w:t>
      </w:r>
      <w:r>
        <w:rPr>
          <w:rFonts w:ascii="黑体" w:hAnsi="黑体" w:eastAsia="黑体"/>
          <w:b w:val="0"/>
          <w:bCs w:val="0"/>
        </w:rPr>
        <w:t>2020年度部门决算情况说明</w:t>
      </w:r>
      <w:r>
        <w:tab/>
      </w:r>
      <w:r>
        <w:fldChar w:fldCharType="begin"/>
      </w:r>
      <w:r>
        <w:instrText xml:space="preserve"> PAGEREF _Toc79163859 \h </w:instrText>
      </w:r>
      <w:r>
        <w:fldChar w:fldCharType="separate"/>
      </w:r>
      <w:r>
        <w:t>5</w:t>
      </w:r>
      <w:r>
        <w:fldChar w:fldCharType="end"/>
      </w:r>
    </w:p>
    <w:p w14:paraId="6DE8B540">
      <w:pPr>
        <w:pStyle w:val="16"/>
        <w:tabs>
          <w:tab w:val="left" w:pos="840"/>
          <w:tab w:val="right" w:leader="dot" w:pos="8296"/>
        </w:tabs>
        <w:spacing w:line="280" w:lineRule="exact"/>
        <w:rPr>
          <w:rFonts w:hAnsiTheme="minorHAnsi" w:eastAsiaTheme="minorEastAsia"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rPr>
        <w:t>收</w:t>
      </w:r>
      <w:r>
        <w:rPr>
          <w:rFonts w:ascii="黑体" w:hAnsi="黑体" w:eastAsia="黑体"/>
          <w:bCs/>
        </w:rPr>
        <w:t>入支出决算总体情况说明</w:t>
      </w:r>
      <w:r>
        <w:tab/>
      </w:r>
      <w:r>
        <w:fldChar w:fldCharType="begin"/>
      </w:r>
      <w:r>
        <w:instrText xml:space="preserve"> PAGEREF _Toc79163860 \h </w:instrText>
      </w:r>
      <w:r>
        <w:fldChar w:fldCharType="separate"/>
      </w:r>
      <w:r>
        <w:t>5</w:t>
      </w:r>
      <w:r>
        <w:fldChar w:fldCharType="end"/>
      </w:r>
    </w:p>
    <w:p w14:paraId="137E431A">
      <w:pPr>
        <w:pStyle w:val="16"/>
        <w:tabs>
          <w:tab w:val="left" w:pos="840"/>
          <w:tab w:val="right" w:leader="dot" w:pos="8296"/>
        </w:tabs>
        <w:spacing w:line="280" w:lineRule="exact"/>
        <w:rPr>
          <w:rFonts w:hAnsiTheme="minorHAnsi" w:eastAsiaTheme="minorEastAsia"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rPr>
        <w:t>收</w:t>
      </w:r>
      <w:r>
        <w:rPr>
          <w:rFonts w:ascii="黑体" w:hAnsi="黑体" w:eastAsia="黑体"/>
          <w:bCs/>
        </w:rPr>
        <w:t>入决算情况说明</w:t>
      </w:r>
      <w:r>
        <w:tab/>
      </w:r>
      <w:r>
        <w:fldChar w:fldCharType="begin"/>
      </w:r>
      <w:r>
        <w:instrText xml:space="preserve"> PAGEREF _Toc79163861 \h </w:instrText>
      </w:r>
      <w:r>
        <w:fldChar w:fldCharType="separate"/>
      </w:r>
      <w:r>
        <w:t>5</w:t>
      </w:r>
      <w:r>
        <w:fldChar w:fldCharType="end"/>
      </w:r>
    </w:p>
    <w:p w14:paraId="6DE0F0D1">
      <w:pPr>
        <w:pStyle w:val="16"/>
        <w:tabs>
          <w:tab w:val="left" w:pos="840"/>
          <w:tab w:val="right" w:leader="dot" w:pos="8296"/>
        </w:tabs>
        <w:spacing w:line="280" w:lineRule="exact"/>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rPr>
        <w:t>支</w:t>
      </w:r>
      <w:r>
        <w:rPr>
          <w:rFonts w:ascii="黑体" w:hAnsi="黑体" w:eastAsia="黑体"/>
          <w:bCs/>
        </w:rPr>
        <w:t>出决算情况说明</w:t>
      </w:r>
      <w:r>
        <w:tab/>
      </w:r>
      <w:r>
        <w:fldChar w:fldCharType="begin"/>
      </w:r>
      <w:r>
        <w:instrText xml:space="preserve"> PAGEREF _Toc79163862 \h </w:instrText>
      </w:r>
      <w:r>
        <w:fldChar w:fldCharType="separate"/>
      </w:r>
      <w:r>
        <w:t>5</w:t>
      </w:r>
      <w:r>
        <w:fldChar w:fldCharType="end"/>
      </w:r>
    </w:p>
    <w:p w14:paraId="698380DA">
      <w:pPr>
        <w:pStyle w:val="16"/>
        <w:tabs>
          <w:tab w:val="right" w:leader="dot" w:pos="8296"/>
        </w:tabs>
        <w:spacing w:line="280" w:lineRule="exact"/>
        <w:rPr>
          <w:rFonts w:hAnsiTheme="minorHAnsi" w:eastAsiaTheme="minorEastAsia" w:cstheme="minorBidi"/>
          <w:smallCaps w:val="0"/>
          <w:sz w:val="21"/>
          <w:szCs w:val="22"/>
        </w:rPr>
      </w:pPr>
      <w:r>
        <w:rPr>
          <w:rFonts w:ascii="黑体" w:hAnsi="黑体" w:eastAsia="黑体"/>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5</w:t>
      </w:r>
      <w:r>
        <w:fldChar w:fldCharType="end"/>
      </w:r>
    </w:p>
    <w:p w14:paraId="74F32001">
      <w:pPr>
        <w:pStyle w:val="16"/>
        <w:tabs>
          <w:tab w:val="right" w:leader="dot" w:pos="8296"/>
        </w:tabs>
        <w:spacing w:line="280" w:lineRule="exact"/>
        <w:rPr>
          <w:rFonts w:hAnsiTheme="minorHAnsi" w:eastAsiaTheme="minorEastAsia" w:cstheme="minorBidi"/>
          <w:smallCaps w:val="0"/>
          <w:sz w:val="21"/>
          <w:szCs w:val="22"/>
        </w:rPr>
      </w:pPr>
      <w:r>
        <w:rPr>
          <w:rFonts w:ascii="黑体" w:hAnsi="黑体" w:eastAsia="黑体"/>
        </w:rPr>
        <w:t>五、</w:t>
      </w:r>
      <w:r>
        <w:rPr>
          <w:rFonts w:ascii="黑体" w:hAnsi="黑体" w:eastAsia="黑体"/>
          <w:b/>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5</w:t>
      </w:r>
      <w:r>
        <w:fldChar w:fldCharType="end"/>
      </w:r>
    </w:p>
    <w:p w14:paraId="2E1FCD63">
      <w:pPr>
        <w:pStyle w:val="8"/>
        <w:tabs>
          <w:tab w:val="right" w:leader="dot" w:pos="8296"/>
        </w:tabs>
        <w:spacing w:line="280" w:lineRule="exact"/>
        <w:rPr>
          <w:rFonts w:hAnsiTheme="minorHAnsi" w:eastAsiaTheme="minorEastAsia" w:cstheme="minorBidi"/>
          <w:i w:val="0"/>
          <w:iCs w:val="0"/>
          <w:sz w:val="21"/>
          <w:szCs w:val="22"/>
        </w:rPr>
      </w:pPr>
      <w:r>
        <w:rPr>
          <w:rFonts w:ascii="仿宋" w:hAnsi="仿宋" w:eastAsia="仿宋"/>
          <w:b/>
        </w:rPr>
        <w:t>（一）一般公共预算财政拨款支出决算总体情况</w:t>
      </w:r>
      <w:r>
        <w:tab/>
      </w:r>
      <w:r>
        <w:fldChar w:fldCharType="begin"/>
      </w:r>
      <w:r>
        <w:instrText xml:space="preserve"> PAGEREF _Toc79163865 \h </w:instrText>
      </w:r>
      <w:r>
        <w:fldChar w:fldCharType="separate"/>
      </w:r>
      <w:r>
        <w:t>6</w:t>
      </w:r>
      <w:r>
        <w:fldChar w:fldCharType="end"/>
      </w:r>
    </w:p>
    <w:p w14:paraId="15170EBB">
      <w:pPr>
        <w:pStyle w:val="8"/>
        <w:tabs>
          <w:tab w:val="right" w:leader="dot" w:pos="8296"/>
        </w:tabs>
        <w:spacing w:line="280" w:lineRule="exact"/>
        <w:rPr>
          <w:rFonts w:hAnsiTheme="minorHAnsi" w:eastAsiaTheme="minorEastAsia" w:cstheme="minorBidi"/>
          <w:i w:val="0"/>
          <w:iCs w:val="0"/>
          <w:sz w:val="21"/>
          <w:szCs w:val="22"/>
        </w:rPr>
      </w:pPr>
      <w:r>
        <w:rPr>
          <w:rFonts w:ascii="仿宋" w:hAnsi="仿宋" w:eastAsia="仿宋"/>
          <w:b/>
        </w:rPr>
        <w:t>（二）一般公共预算财政拨款支出决算结构情况</w:t>
      </w:r>
      <w:r>
        <w:tab/>
      </w:r>
      <w:r>
        <w:fldChar w:fldCharType="begin"/>
      </w:r>
      <w:r>
        <w:instrText xml:space="preserve"> PAGEREF _Toc79163866 \h </w:instrText>
      </w:r>
      <w:r>
        <w:fldChar w:fldCharType="separate"/>
      </w:r>
      <w:r>
        <w:t>6</w:t>
      </w:r>
      <w:r>
        <w:fldChar w:fldCharType="end"/>
      </w:r>
    </w:p>
    <w:p w14:paraId="309CE584">
      <w:pPr>
        <w:pStyle w:val="8"/>
        <w:tabs>
          <w:tab w:val="right" w:leader="dot" w:pos="8296"/>
        </w:tabs>
        <w:spacing w:line="280" w:lineRule="exact"/>
        <w:rPr>
          <w:rFonts w:hAnsiTheme="minorHAnsi" w:eastAsiaTheme="minorEastAsia" w:cstheme="minorBidi"/>
          <w:i w:val="0"/>
          <w:iCs w:val="0"/>
          <w:sz w:val="21"/>
          <w:szCs w:val="22"/>
        </w:rPr>
      </w:pPr>
      <w:r>
        <w:rPr>
          <w:rFonts w:ascii="仿宋" w:hAnsi="仿宋" w:eastAsia="仿宋"/>
          <w:b/>
        </w:rPr>
        <w:t>（三）一般公共预算财政拨款支出决算具体情况</w:t>
      </w:r>
      <w:r>
        <w:tab/>
      </w:r>
      <w:r>
        <w:fldChar w:fldCharType="begin"/>
      </w:r>
      <w:r>
        <w:instrText xml:space="preserve"> PAGEREF _Toc79163867 \h </w:instrText>
      </w:r>
      <w:r>
        <w:fldChar w:fldCharType="separate"/>
      </w:r>
      <w:r>
        <w:t>6</w:t>
      </w:r>
      <w:r>
        <w:fldChar w:fldCharType="end"/>
      </w:r>
    </w:p>
    <w:p w14:paraId="0E1DBAAB">
      <w:pPr>
        <w:pStyle w:val="16"/>
        <w:tabs>
          <w:tab w:val="right" w:leader="dot" w:pos="8296"/>
        </w:tabs>
        <w:spacing w:line="280" w:lineRule="exact"/>
        <w:rPr>
          <w:rFonts w:hAnsiTheme="minorHAnsi" w:eastAsiaTheme="minorEastAsia" w:cstheme="minorBidi"/>
          <w:smallCaps w:val="0"/>
          <w:sz w:val="21"/>
          <w:szCs w:val="22"/>
        </w:rPr>
      </w:pPr>
      <w:r>
        <w:rPr>
          <w:rFonts w:ascii="黑体" w:eastAsia="黑体"/>
        </w:rPr>
        <w:t>六</w:t>
      </w:r>
      <w:r>
        <w:rPr>
          <w:rFonts w:ascii="黑体" w:eastAsia="黑体"/>
          <w:b/>
        </w:rPr>
        <w:t>、</w:t>
      </w:r>
      <w:r>
        <w:rPr>
          <w:rFonts w:ascii="黑体" w:hAnsi="黑体" w:eastAsia="黑体"/>
          <w:b/>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6</w:t>
      </w:r>
      <w:r>
        <w:fldChar w:fldCharType="end"/>
      </w:r>
    </w:p>
    <w:p w14:paraId="258EF110">
      <w:pPr>
        <w:pStyle w:val="16"/>
        <w:tabs>
          <w:tab w:val="right" w:leader="dot" w:pos="8296"/>
        </w:tabs>
        <w:spacing w:line="280" w:lineRule="exact"/>
        <w:rPr>
          <w:rFonts w:hAnsiTheme="minorHAnsi" w:eastAsiaTheme="minorEastAsia" w:cstheme="minorBidi"/>
          <w:smallCaps w:val="0"/>
          <w:sz w:val="21"/>
          <w:szCs w:val="22"/>
        </w:rPr>
      </w:pPr>
      <w:r>
        <w:rPr>
          <w:rFonts w:ascii="黑体" w:eastAsia="黑体"/>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7</w:t>
      </w:r>
      <w:r>
        <w:fldChar w:fldCharType="end"/>
      </w:r>
    </w:p>
    <w:p w14:paraId="77C2BC77">
      <w:pPr>
        <w:pStyle w:val="8"/>
        <w:tabs>
          <w:tab w:val="right" w:leader="dot" w:pos="8296"/>
        </w:tabs>
        <w:spacing w:line="280" w:lineRule="exact"/>
        <w:rPr>
          <w:rFonts w:hAnsiTheme="minorHAnsi" w:eastAsiaTheme="minorEastAsia" w:cstheme="minorBidi"/>
          <w:i w:val="0"/>
          <w:iCs w:val="0"/>
          <w:sz w:val="21"/>
          <w:szCs w:val="22"/>
        </w:rPr>
      </w:pPr>
      <w:r>
        <w:rPr>
          <w:rFonts w:ascii="仿宋" w:hAnsi="仿宋" w:eastAsia="仿宋"/>
          <w:b/>
        </w:rPr>
        <w:t>（一）“三公”经费财政拨款支出决算总体情况说明</w:t>
      </w:r>
      <w:r>
        <w:tab/>
      </w:r>
      <w:r>
        <w:fldChar w:fldCharType="begin"/>
      </w:r>
      <w:r>
        <w:instrText xml:space="preserve"> PAGEREF _Toc79163870 \h </w:instrText>
      </w:r>
      <w:r>
        <w:fldChar w:fldCharType="separate"/>
      </w:r>
      <w:r>
        <w:t>7</w:t>
      </w:r>
      <w:r>
        <w:fldChar w:fldCharType="end"/>
      </w:r>
    </w:p>
    <w:p w14:paraId="04C51047">
      <w:pPr>
        <w:pStyle w:val="8"/>
        <w:tabs>
          <w:tab w:val="right" w:leader="dot" w:pos="8296"/>
        </w:tabs>
        <w:spacing w:line="280" w:lineRule="exact"/>
        <w:rPr>
          <w:rFonts w:hAnsiTheme="minorHAnsi" w:eastAsiaTheme="minorEastAsia" w:cstheme="minorBidi"/>
          <w:i w:val="0"/>
          <w:iCs w:val="0"/>
          <w:sz w:val="21"/>
          <w:szCs w:val="22"/>
        </w:rPr>
      </w:pPr>
      <w:r>
        <w:rPr>
          <w:rFonts w:ascii="仿宋" w:hAnsi="仿宋" w:eastAsia="仿宋"/>
          <w:b/>
        </w:rPr>
        <w:t>（二）“三公”经费财政拨款支出决算具体情况说明</w:t>
      </w:r>
      <w:r>
        <w:tab/>
      </w:r>
      <w:r>
        <w:fldChar w:fldCharType="begin"/>
      </w:r>
      <w:r>
        <w:instrText xml:space="preserve"> PAGEREF _Toc79163871 \h </w:instrText>
      </w:r>
      <w:r>
        <w:fldChar w:fldCharType="separate"/>
      </w:r>
      <w:r>
        <w:t>7</w:t>
      </w:r>
      <w:r>
        <w:fldChar w:fldCharType="end"/>
      </w:r>
    </w:p>
    <w:p w14:paraId="170E2EC4">
      <w:pPr>
        <w:pStyle w:val="16"/>
        <w:tabs>
          <w:tab w:val="right" w:leader="dot" w:pos="8296"/>
        </w:tabs>
        <w:spacing w:line="280" w:lineRule="exact"/>
        <w:rPr>
          <w:rFonts w:hAnsiTheme="minorHAnsi" w:eastAsiaTheme="minorEastAsia" w:cstheme="minorBidi"/>
          <w:smallCaps w:val="0"/>
          <w:sz w:val="21"/>
          <w:szCs w:val="22"/>
        </w:rPr>
      </w:pPr>
      <w:r>
        <w:rPr>
          <w:rFonts w:ascii="黑体" w:eastAsia="黑体"/>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8</w:t>
      </w:r>
      <w:r>
        <w:fldChar w:fldCharType="end"/>
      </w:r>
    </w:p>
    <w:p w14:paraId="1624C6CF">
      <w:pPr>
        <w:pStyle w:val="16"/>
        <w:tabs>
          <w:tab w:val="right" w:leader="dot" w:pos="8296"/>
        </w:tabs>
        <w:spacing w:line="280" w:lineRule="exact"/>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8</w:t>
      </w:r>
      <w:r>
        <w:fldChar w:fldCharType="end"/>
      </w:r>
    </w:p>
    <w:p w14:paraId="1BEBB01E">
      <w:pPr>
        <w:pStyle w:val="16"/>
        <w:tabs>
          <w:tab w:val="right" w:leader="dot" w:pos="8296"/>
        </w:tabs>
        <w:spacing w:line="280" w:lineRule="exact"/>
        <w:rPr>
          <w:rFonts w:hAnsiTheme="minorHAnsi" w:eastAsiaTheme="minorEastAsia" w:cstheme="minorBidi"/>
          <w:smallCaps w:val="0"/>
          <w:sz w:val="21"/>
          <w:szCs w:val="22"/>
        </w:rPr>
      </w:pPr>
      <w:r>
        <w:rPr>
          <w:rFonts w:ascii="黑体" w:hAnsi="黑体" w:eastAsia="黑体"/>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8</w:t>
      </w:r>
      <w:r>
        <w:fldChar w:fldCharType="end"/>
      </w:r>
    </w:p>
    <w:p w14:paraId="3BD03C3A">
      <w:pPr>
        <w:pStyle w:val="8"/>
        <w:tabs>
          <w:tab w:val="right" w:leader="dot" w:pos="8296"/>
        </w:tabs>
        <w:spacing w:line="280" w:lineRule="exact"/>
        <w:rPr>
          <w:rFonts w:hAnsiTheme="minorHAnsi" w:eastAsiaTheme="minorEastAsia" w:cstheme="minorBidi"/>
          <w:i w:val="0"/>
          <w:iCs w:val="0"/>
          <w:sz w:val="21"/>
          <w:szCs w:val="22"/>
        </w:rPr>
      </w:pPr>
      <w:r>
        <w:rPr>
          <w:rFonts w:ascii="仿宋" w:hAnsi="仿宋" w:eastAsia="仿宋"/>
          <w:b/>
        </w:rPr>
        <w:t>（一）机关运行经费支出情况</w:t>
      </w:r>
      <w:r>
        <w:tab/>
      </w:r>
      <w:r>
        <w:fldChar w:fldCharType="begin"/>
      </w:r>
      <w:r>
        <w:instrText xml:space="preserve"> PAGEREF _Toc79163875 \h </w:instrText>
      </w:r>
      <w:r>
        <w:fldChar w:fldCharType="separate"/>
      </w:r>
      <w:r>
        <w:t>8</w:t>
      </w:r>
      <w:r>
        <w:fldChar w:fldCharType="end"/>
      </w:r>
    </w:p>
    <w:p w14:paraId="3EA341EE">
      <w:pPr>
        <w:pStyle w:val="8"/>
        <w:tabs>
          <w:tab w:val="right" w:leader="dot" w:pos="8296"/>
        </w:tabs>
        <w:spacing w:line="280" w:lineRule="exact"/>
        <w:rPr>
          <w:rFonts w:hAnsiTheme="minorHAnsi" w:eastAsiaTheme="minorEastAsia" w:cstheme="minorBidi"/>
          <w:i w:val="0"/>
          <w:iCs w:val="0"/>
          <w:sz w:val="21"/>
          <w:szCs w:val="22"/>
        </w:rPr>
      </w:pPr>
      <w:r>
        <w:rPr>
          <w:rFonts w:ascii="仿宋" w:hAnsi="仿宋" w:eastAsia="仿宋"/>
          <w:b/>
        </w:rPr>
        <w:t>（二）政府采购支出情况</w:t>
      </w:r>
      <w:r>
        <w:tab/>
      </w:r>
      <w:r>
        <w:fldChar w:fldCharType="begin"/>
      </w:r>
      <w:r>
        <w:instrText xml:space="preserve"> PAGEREF _Toc79163876 \h </w:instrText>
      </w:r>
      <w:r>
        <w:fldChar w:fldCharType="separate"/>
      </w:r>
      <w:r>
        <w:t>9</w:t>
      </w:r>
      <w:r>
        <w:fldChar w:fldCharType="end"/>
      </w:r>
    </w:p>
    <w:p w14:paraId="18251E88">
      <w:pPr>
        <w:pStyle w:val="8"/>
        <w:tabs>
          <w:tab w:val="right" w:leader="dot" w:pos="8296"/>
        </w:tabs>
        <w:spacing w:line="280" w:lineRule="exact"/>
        <w:rPr>
          <w:rFonts w:hAnsiTheme="minorHAnsi" w:eastAsiaTheme="minorEastAsia" w:cstheme="minorBidi"/>
          <w:i w:val="0"/>
          <w:iCs w:val="0"/>
          <w:sz w:val="21"/>
          <w:szCs w:val="22"/>
        </w:rPr>
      </w:pPr>
      <w:r>
        <w:rPr>
          <w:rFonts w:ascii="仿宋" w:hAnsi="仿宋" w:eastAsia="仿宋"/>
          <w:b/>
        </w:rPr>
        <w:t>（三）国有资产占有使用情况</w:t>
      </w:r>
      <w:r>
        <w:tab/>
      </w:r>
      <w:r>
        <w:fldChar w:fldCharType="begin"/>
      </w:r>
      <w:r>
        <w:instrText xml:space="preserve"> PAGEREF _Toc79163877 \h </w:instrText>
      </w:r>
      <w:r>
        <w:fldChar w:fldCharType="separate"/>
      </w:r>
      <w:r>
        <w:t>9</w:t>
      </w:r>
      <w:r>
        <w:fldChar w:fldCharType="end"/>
      </w:r>
    </w:p>
    <w:p w14:paraId="6310FD6E">
      <w:pPr>
        <w:pStyle w:val="8"/>
        <w:tabs>
          <w:tab w:val="right" w:leader="dot" w:pos="8296"/>
        </w:tabs>
        <w:spacing w:line="280" w:lineRule="exact"/>
        <w:rPr>
          <w:rFonts w:hAnsiTheme="minorHAnsi" w:eastAsiaTheme="minorEastAsia" w:cstheme="minorBidi"/>
          <w:i w:val="0"/>
          <w:iCs w:val="0"/>
          <w:sz w:val="21"/>
          <w:szCs w:val="22"/>
        </w:rPr>
      </w:pPr>
      <w:r>
        <w:rPr>
          <w:rFonts w:ascii="仿宋" w:hAnsi="仿宋" w:eastAsia="仿宋"/>
          <w:b/>
        </w:rPr>
        <w:t>（四）预算绩效管理情况。</w:t>
      </w:r>
      <w:r>
        <w:tab/>
      </w:r>
      <w:r>
        <w:fldChar w:fldCharType="begin"/>
      </w:r>
      <w:r>
        <w:instrText xml:space="preserve"> PAGEREF _Toc79163878 \h </w:instrText>
      </w:r>
      <w:r>
        <w:fldChar w:fldCharType="separate"/>
      </w:r>
      <w:r>
        <w:t>9</w:t>
      </w:r>
      <w:r>
        <w:fldChar w:fldCharType="end"/>
      </w:r>
    </w:p>
    <w:p w14:paraId="1DD73D61">
      <w:pPr>
        <w:pStyle w:val="13"/>
        <w:tabs>
          <w:tab w:val="right" w:leader="dot" w:pos="8296"/>
        </w:tabs>
        <w:spacing w:before="0" w:after="0" w:line="280" w:lineRule="exact"/>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10</w:t>
      </w:r>
      <w:r>
        <w:fldChar w:fldCharType="end"/>
      </w:r>
    </w:p>
    <w:p w14:paraId="655A729A">
      <w:pPr>
        <w:pStyle w:val="13"/>
        <w:tabs>
          <w:tab w:val="right" w:leader="dot" w:pos="8296"/>
        </w:tabs>
        <w:spacing w:before="0" w:after="0" w:line="280" w:lineRule="exact"/>
        <w:rPr>
          <w:rFonts w:hAnsiTheme="minorHAnsi" w:eastAsiaTheme="minorEastAsia" w:cstheme="minorBidi"/>
          <w:b w:val="0"/>
          <w:bCs w:val="0"/>
          <w:caps w:val="0"/>
          <w:sz w:val="21"/>
          <w:szCs w:val="22"/>
        </w:rPr>
      </w:pPr>
      <w:r>
        <w:rPr>
          <w:rFonts w:ascii="黑体" w:hAnsi="黑体" w:eastAsia="黑体"/>
        </w:rPr>
        <w:t>第</w:t>
      </w:r>
      <w:r>
        <w:rPr>
          <w:rFonts w:ascii="黑体" w:hAnsi="黑体" w:eastAsia="黑体"/>
          <w:kern w:val="44"/>
        </w:rPr>
        <w:t>四部分 附件</w:t>
      </w:r>
      <w:r>
        <w:tab/>
      </w:r>
      <w:r>
        <w:fldChar w:fldCharType="begin"/>
      </w:r>
      <w:r>
        <w:instrText xml:space="preserve"> PAGEREF _Toc79163880 \h </w:instrText>
      </w:r>
      <w:r>
        <w:fldChar w:fldCharType="separate"/>
      </w:r>
      <w:r>
        <w:t>13</w:t>
      </w:r>
      <w:r>
        <w:fldChar w:fldCharType="end"/>
      </w:r>
    </w:p>
    <w:p w14:paraId="59EB58E8">
      <w:pPr>
        <w:pStyle w:val="13"/>
        <w:tabs>
          <w:tab w:val="right" w:leader="dot" w:pos="8296"/>
        </w:tabs>
        <w:spacing w:before="0" w:after="0" w:line="280" w:lineRule="exact"/>
        <w:rPr>
          <w:rFonts w:hAnsiTheme="minorHAnsi" w:eastAsiaTheme="minorEastAsia" w:cstheme="minorBidi"/>
          <w:b w:val="0"/>
          <w:bCs w:val="0"/>
          <w:caps w:val="0"/>
          <w:sz w:val="21"/>
          <w:szCs w:val="22"/>
        </w:rPr>
      </w:pPr>
      <w:r>
        <w:rPr>
          <w:rFonts w:ascii="黑体" w:hAnsi="黑体" w:eastAsia="黑体" w:cs="黑体"/>
        </w:rPr>
        <w:t>附件1</w:t>
      </w:r>
      <w:r>
        <w:tab/>
      </w:r>
      <w:r>
        <w:fldChar w:fldCharType="begin"/>
      </w:r>
      <w:r>
        <w:instrText xml:space="preserve"> PAGEREF _Toc79163881 \h </w:instrText>
      </w:r>
      <w:r>
        <w:fldChar w:fldCharType="separate"/>
      </w:r>
      <w:r>
        <w:t>13</w:t>
      </w:r>
      <w:r>
        <w:fldChar w:fldCharType="end"/>
      </w:r>
    </w:p>
    <w:p w14:paraId="34BEA9C1">
      <w:pPr>
        <w:pStyle w:val="13"/>
        <w:tabs>
          <w:tab w:val="right" w:leader="dot" w:pos="8296"/>
        </w:tabs>
        <w:spacing w:before="0" w:after="0" w:line="280" w:lineRule="exact"/>
        <w:rPr>
          <w:rFonts w:hAnsiTheme="minorHAnsi" w:eastAsiaTheme="minorEastAsia" w:cstheme="minorBidi"/>
          <w:b w:val="0"/>
          <w:bCs w:val="0"/>
          <w:caps w:val="0"/>
          <w:sz w:val="21"/>
          <w:szCs w:val="22"/>
        </w:rPr>
      </w:pPr>
      <w:r>
        <w:rPr>
          <w:rFonts w:ascii="方正小标宋简体" w:hAnsi="黑体" w:eastAsia="方正小标宋简体" w:cs="黑体"/>
        </w:rPr>
        <w:t>XX部门2020年部门整体支出绩效评价报告</w:t>
      </w:r>
      <w:r>
        <w:tab/>
      </w:r>
      <w:r>
        <w:fldChar w:fldCharType="begin"/>
      </w:r>
      <w:r>
        <w:instrText xml:space="preserve"> PAGEREF _Toc79163882 \h </w:instrText>
      </w:r>
      <w:r>
        <w:fldChar w:fldCharType="separate"/>
      </w:r>
      <w:r>
        <w:t>13</w:t>
      </w:r>
      <w:r>
        <w:fldChar w:fldCharType="end"/>
      </w:r>
    </w:p>
    <w:p w14:paraId="1183130E">
      <w:pPr>
        <w:pStyle w:val="13"/>
        <w:tabs>
          <w:tab w:val="right" w:leader="dot" w:pos="8296"/>
        </w:tabs>
        <w:spacing w:before="0" w:after="0" w:line="280" w:lineRule="exact"/>
        <w:rPr>
          <w:rFonts w:hAnsiTheme="minorHAnsi" w:eastAsiaTheme="minorEastAsia" w:cstheme="minorBidi"/>
          <w:b w:val="0"/>
          <w:bCs w:val="0"/>
          <w:caps w:val="0"/>
          <w:sz w:val="21"/>
          <w:szCs w:val="22"/>
        </w:rPr>
      </w:pPr>
      <w:r>
        <w:rPr>
          <w:rFonts w:ascii="黑体" w:hAnsi="黑体" w:eastAsia="黑体" w:cs="黑体"/>
        </w:rPr>
        <w:t>附件2</w:t>
      </w:r>
      <w:r>
        <w:tab/>
      </w:r>
      <w:r>
        <w:fldChar w:fldCharType="begin"/>
      </w:r>
      <w:r>
        <w:instrText xml:space="preserve"> PAGEREF _Toc79163883 \h </w:instrText>
      </w:r>
      <w:r>
        <w:fldChar w:fldCharType="separate"/>
      </w:r>
      <w:r>
        <w:t>错误！未定义书签。</w:t>
      </w:r>
      <w:r>
        <w:fldChar w:fldCharType="end"/>
      </w:r>
    </w:p>
    <w:p w14:paraId="6C7EAD91">
      <w:pPr>
        <w:pStyle w:val="13"/>
        <w:tabs>
          <w:tab w:val="right" w:leader="dot" w:pos="8296"/>
        </w:tabs>
        <w:spacing w:before="0" w:after="0" w:line="280" w:lineRule="exact"/>
        <w:rPr>
          <w:rFonts w:hAnsiTheme="minorHAnsi" w:eastAsiaTheme="minorEastAsia" w:cstheme="minorBidi"/>
          <w:b w:val="0"/>
          <w:bCs w:val="0"/>
          <w:caps w:val="0"/>
          <w:sz w:val="21"/>
          <w:szCs w:val="22"/>
        </w:rPr>
      </w:pPr>
      <w:r>
        <w:rPr>
          <w:rFonts w:ascii="方正小标宋简体" w:hAnsi="黑体" w:eastAsia="方正小标宋简体" w:cs="黑体"/>
        </w:rPr>
        <w:t>XXX项目2020年绩效评价报告</w:t>
      </w:r>
      <w:r>
        <w:tab/>
      </w:r>
      <w:r>
        <w:fldChar w:fldCharType="begin"/>
      </w:r>
      <w:r>
        <w:instrText xml:space="preserve"> PAGEREF _Toc79163884 \h </w:instrText>
      </w:r>
      <w:r>
        <w:fldChar w:fldCharType="separate"/>
      </w:r>
      <w:r>
        <w:t>错误！未定义书签。</w:t>
      </w:r>
      <w:r>
        <w:fldChar w:fldCharType="end"/>
      </w:r>
    </w:p>
    <w:p w14:paraId="52D57754">
      <w:pPr>
        <w:pStyle w:val="13"/>
        <w:tabs>
          <w:tab w:val="right" w:leader="dot" w:pos="8296"/>
        </w:tabs>
        <w:spacing w:before="0" w:after="0" w:line="280" w:lineRule="exact"/>
        <w:rPr>
          <w:rFonts w:hAnsiTheme="minorHAnsi" w:eastAsiaTheme="minorEastAsia" w:cstheme="minorBidi"/>
          <w:b w:val="0"/>
          <w:bCs w:val="0"/>
          <w:caps w:val="0"/>
          <w:sz w:val="21"/>
          <w:szCs w:val="22"/>
        </w:rPr>
      </w:pPr>
      <w:r>
        <w:rPr>
          <w:rFonts w:ascii="黑体" w:hAnsi="黑体" w:eastAsia="黑体"/>
        </w:rPr>
        <w:t>第</w:t>
      </w:r>
      <w:r>
        <w:rPr>
          <w:rFonts w:ascii="黑体" w:hAnsi="黑体" w:eastAsia="黑体"/>
          <w:kern w:val="44"/>
        </w:rPr>
        <w:t>五部分 附表</w:t>
      </w:r>
      <w:r>
        <w:tab/>
      </w:r>
      <w:r>
        <w:fldChar w:fldCharType="begin"/>
      </w:r>
      <w:r>
        <w:instrText xml:space="preserve"> PAGEREF _Toc79163885 \h </w:instrText>
      </w:r>
      <w:r>
        <w:fldChar w:fldCharType="separate"/>
      </w:r>
      <w:r>
        <w:t>16</w:t>
      </w:r>
      <w:r>
        <w:fldChar w:fldCharType="end"/>
      </w:r>
    </w:p>
    <w:p w14:paraId="624FC1D5">
      <w:pPr>
        <w:pStyle w:val="16"/>
        <w:tabs>
          <w:tab w:val="right" w:leader="dot" w:pos="8296"/>
        </w:tabs>
        <w:spacing w:line="280" w:lineRule="exact"/>
        <w:rPr>
          <w:rFonts w:hAnsiTheme="minorHAnsi" w:eastAsiaTheme="minorEastAsia" w:cstheme="minorBidi"/>
          <w:smallCaps w:val="0"/>
          <w:sz w:val="21"/>
          <w:szCs w:val="22"/>
        </w:rPr>
      </w:pPr>
      <w:r>
        <w:rPr>
          <w:rFonts w:ascii="仿宋" w:hAnsi="仿宋" w:eastAsia="仿宋"/>
        </w:rPr>
        <w:t>一、收入支出决算总表</w:t>
      </w:r>
      <w:r>
        <w:tab/>
      </w:r>
      <w:r>
        <w:fldChar w:fldCharType="begin"/>
      </w:r>
      <w:r>
        <w:instrText xml:space="preserve"> PAGEREF _Toc79163886 \h </w:instrText>
      </w:r>
      <w:r>
        <w:fldChar w:fldCharType="separate"/>
      </w:r>
      <w:r>
        <w:t>16</w:t>
      </w:r>
      <w:r>
        <w:fldChar w:fldCharType="end"/>
      </w:r>
    </w:p>
    <w:p w14:paraId="28CBECEF">
      <w:pPr>
        <w:pStyle w:val="16"/>
        <w:tabs>
          <w:tab w:val="right" w:leader="dot" w:pos="8296"/>
        </w:tabs>
        <w:spacing w:line="280" w:lineRule="exact"/>
        <w:rPr>
          <w:rFonts w:hAnsiTheme="minorHAnsi" w:eastAsiaTheme="minorEastAsia" w:cstheme="minorBidi"/>
          <w:smallCaps w:val="0"/>
          <w:sz w:val="21"/>
          <w:szCs w:val="22"/>
        </w:rPr>
      </w:pPr>
      <w:r>
        <w:rPr>
          <w:rFonts w:ascii="仿宋" w:hAnsi="仿宋" w:eastAsia="仿宋"/>
        </w:rPr>
        <w:t>二、收入决算表</w:t>
      </w:r>
      <w:r>
        <w:tab/>
      </w:r>
      <w:r>
        <w:fldChar w:fldCharType="begin"/>
      </w:r>
      <w:r>
        <w:instrText xml:space="preserve"> PAGEREF _Toc79163887 \h </w:instrText>
      </w:r>
      <w:r>
        <w:fldChar w:fldCharType="separate"/>
      </w:r>
      <w:r>
        <w:t>16</w:t>
      </w:r>
      <w:r>
        <w:fldChar w:fldCharType="end"/>
      </w:r>
    </w:p>
    <w:p w14:paraId="324D5D86">
      <w:pPr>
        <w:pStyle w:val="16"/>
        <w:tabs>
          <w:tab w:val="right" w:leader="dot" w:pos="8296"/>
        </w:tabs>
        <w:spacing w:line="280" w:lineRule="exact"/>
        <w:rPr>
          <w:rFonts w:hAnsiTheme="minorHAnsi" w:eastAsiaTheme="minorEastAsia" w:cstheme="minorBidi"/>
          <w:smallCaps w:val="0"/>
          <w:sz w:val="21"/>
          <w:szCs w:val="22"/>
        </w:rPr>
      </w:pPr>
      <w:r>
        <w:rPr>
          <w:rFonts w:ascii="仿宋" w:hAnsi="仿宋" w:eastAsia="仿宋"/>
        </w:rPr>
        <w:t>三、支出决算表</w:t>
      </w:r>
      <w:r>
        <w:tab/>
      </w:r>
      <w:r>
        <w:fldChar w:fldCharType="begin"/>
      </w:r>
      <w:r>
        <w:instrText xml:space="preserve"> PAGEREF _Toc79163888 \h </w:instrText>
      </w:r>
      <w:r>
        <w:fldChar w:fldCharType="separate"/>
      </w:r>
      <w:r>
        <w:t>16</w:t>
      </w:r>
      <w:r>
        <w:fldChar w:fldCharType="end"/>
      </w:r>
    </w:p>
    <w:p w14:paraId="5D09A935">
      <w:pPr>
        <w:pStyle w:val="16"/>
        <w:tabs>
          <w:tab w:val="right" w:leader="dot" w:pos="8296"/>
        </w:tabs>
        <w:spacing w:line="280" w:lineRule="exact"/>
        <w:rPr>
          <w:rFonts w:hAnsiTheme="minorHAnsi" w:eastAsiaTheme="minorEastAsia" w:cstheme="minorBidi"/>
          <w:smallCaps w:val="0"/>
          <w:sz w:val="21"/>
          <w:szCs w:val="22"/>
        </w:rPr>
      </w:pPr>
      <w:r>
        <w:rPr>
          <w:rFonts w:ascii="仿宋" w:hAnsi="仿宋" w:eastAsia="仿宋"/>
        </w:rPr>
        <w:t>四、财政拨款收入支出决算总表</w:t>
      </w:r>
      <w:r>
        <w:tab/>
      </w:r>
      <w:r>
        <w:fldChar w:fldCharType="begin"/>
      </w:r>
      <w:r>
        <w:instrText xml:space="preserve"> PAGEREF _Toc79163889 \h </w:instrText>
      </w:r>
      <w:r>
        <w:fldChar w:fldCharType="separate"/>
      </w:r>
      <w:r>
        <w:t>16</w:t>
      </w:r>
      <w:r>
        <w:fldChar w:fldCharType="end"/>
      </w:r>
    </w:p>
    <w:p w14:paraId="56AD33B0">
      <w:pPr>
        <w:pStyle w:val="16"/>
        <w:tabs>
          <w:tab w:val="right" w:leader="dot" w:pos="8296"/>
        </w:tabs>
        <w:spacing w:line="280" w:lineRule="exact"/>
        <w:rPr>
          <w:rFonts w:hAnsiTheme="minorHAnsi" w:eastAsiaTheme="minorEastAsia" w:cstheme="minorBidi"/>
          <w:smallCaps w:val="0"/>
          <w:sz w:val="21"/>
          <w:szCs w:val="22"/>
        </w:rPr>
      </w:pPr>
      <w:r>
        <w:rPr>
          <w:rFonts w:ascii="仿宋" w:hAnsi="仿宋" w:eastAsia="仿宋"/>
        </w:rPr>
        <w:t>五、财政拨款支出决算明细表</w:t>
      </w:r>
      <w:r>
        <w:tab/>
      </w:r>
      <w:r>
        <w:fldChar w:fldCharType="begin"/>
      </w:r>
      <w:r>
        <w:instrText xml:space="preserve"> PAGEREF _Toc79163890 \h </w:instrText>
      </w:r>
      <w:r>
        <w:fldChar w:fldCharType="separate"/>
      </w:r>
      <w:r>
        <w:t>16</w:t>
      </w:r>
      <w:r>
        <w:fldChar w:fldCharType="end"/>
      </w:r>
    </w:p>
    <w:p w14:paraId="4DA4D42F">
      <w:pPr>
        <w:pStyle w:val="16"/>
        <w:tabs>
          <w:tab w:val="right" w:leader="dot" w:pos="8296"/>
        </w:tabs>
        <w:spacing w:line="280" w:lineRule="exact"/>
        <w:rPr>
          <w:rFonts w:hAnsiTheme="minorHAnsi" w:eastAsiaTheme="minorEastAsia" w:cstheme="minorBidi"/>
          <w:smallCaps w:val="0"/>
          <w:sz w:val="21"/>
          <w:szCs w:val="22"/>
        </w:rPr>
      </w:pPr>
      <w:r>
        <w:rPr>
          <w:rFonts w:ascii="仿宋" w:hAnsi="仿宋" w:eastAsia="仿宋"/>
        </w:rPr>
        <w:t>六、一般公共预算财政拨款支出决算表</w:t>
      </w:r>
      <w:r>
        <w:tab/>
      </w:r>
      <w:r>
        <w:fldChar w:fldCharType="begin"/>
      </w:r>
      <w:r>
        <w:instrText xml:space="preserve"> PAGEREF _Toc79163891 \h </w:instrText>
      </w:r>
      <w:r>
        <w:fldChar w:fldCharType="separate"/>
      </w:r>
      <w:r>
        <w:t>16</w:t>
      </w:r>
      <w:r>
        <w:fldChar w:fldCharType="end"/>
      </w:r>
    </w:p>
    <w:p w14:paraId="476CE278">
      <w:pPr>
        <w:pStyle w:val="16"/>
        <w:tabs>
          <w:tab w:val="right" w:leader="dot" w:pos="8296"/>
        </w:tabs>
        <w:spacing w:line="280" w:lineRule="exact"/>
        <w:rPr>
          <w:rFonts w:hAnsiTheme="minorHAnsi" w:eastAsiaTheme="minorEastAsia" w:cstheme="minorBidi"/>
          <w:smallCaps w:val="0"/>
          <w:sz w:val="21"/>
          <w:szCs w:val="22"/>
        </w:rPr>
      </w:pPr>
      <w:r>
        <w:rPr>
          <w:rFonts w:ascii="仿宋" w:hAnsi="仿宋" w:eastAsia="仿宋"/>
        </w:rPr>
        <w:t>七、一般公共预算财政拨款支出决算明细表</w:t>
      </w:r>
      <w:r>
        <w:tab/>
      </w:r>
      <w:r>
        <w:fldChar w:fldCharType="begin"/>
      </w:r>
      <w:r>
        <w:instrText xml:space="preserve"> PAGEREF _Toc79163892 \h </w:instrText>
      </w:r>
      <w:r>
        <w:fldChar w:fldCharType="separate"/>
      </w:r>
      <w:r>
        <w:t>16</w:t>
      </w:r>
      <w:r>
        <w:fldChar w:fldCharType="end"/>
      </w:r>
    </w:p>
    <w:p w14:paraId="3738F5CD">
      <w:pPr>
        <w:pStyle w:val="16"/>
        <w:tabs>
          <w:tab w:val="right" w:leader="dot" w:pos="8296"/>
        </w:tabs>
        <w:spacing w:line="280" w:lineRule="exact"/>
        <w:rPr>
          <w:rFonts w:hAnsiTheme="minorHAnsi" w:eastAsiaTheme="minorEastAsia" w:cstheme="minorBidi"/>
          <w:smallCaps w:val="0"/>
          <w:sz w:val="21"/>
          <w:szCs w:val="22"/>
        </w:rPr>
      </w:pPr>
      <w:r>
        <w:rPr>
          <w:rFonts w:ascii="仿宋" w:hAnsi="仿宋" w:eastAsia="仿宋"/>
        </w:rPr>
        <w:t>八、一般公共预算财政拨款基本支出决算表</w:t>
      </w:r>
      <w:r>
        <w:tab/>
      </w:r>
      <w:r>
        <w:fldChar w:fldCharType="begin"/>
      </w:r>
      <w:r>
        <w:instrText xml:space="preserve"> PAGEREF _Toc79163893 \h </w:instrText>
      </w:r>
      <w:r>
        <w:fldChar w:fldCharType="separate"/>
      </w:r>
      <w:r>
        <w:t>16</w:t>
      </w:r>
      <w:r>
        <w:fldChar w:fldCharType="end"/>
      </w:r>
    </w:p>
    <w:p w14:paraId="1F3A9C01">
      <w:pPr>
        <w:pStyle w:val="16"/>
        <w:tabs>
          <w:tab w:val="right" w:leader="dot" w:pos="8296"/>
        </w:tabs>
        <w:spacing w:line="280" w:lineRule="exact"/>
        <w:rPr>
          <w:rFonts w:hAnsiTheme="minorHAnsi" w:eastAsiaTheme="minorEastAsia" w:cstheme="minorBidi"/>
          <w:smallCaps w:val="0"/>
          <w:sz w:val="21"/>
          <w:szCs w:val="22"/>
        </w:rPr>
      </w:pPr>
      <w:r>
        <w:rPr>
          <w:rFonts w:ascii="仿宋" w:hAnsi="仿宋" w:eastAsia="仿宋"/>
        </w:rPr>
        <w:t>九、一般公共预算财政拨款项目支出决算表</w:t>
      </w:r>
      <w:r>
        <w:tab/>
      </w:r>
      <w:r>
        <w:fldChar w:fldCharType="begin"/>
      </w:r>
      <w:r>
        <w:instrText xml:space="preserve"> PAGEREF _Toc79163894 \h </w:instrText>
      </w:r>
      <w:r>
        <w:fldChar w:fldCharType="separate"/>
      </w:r>
      <w:r>
        <w:t>16</w:t>
      </w:r>
      <w:r>
        <w:fldChar w:fldCharType="end"/>
      </w:r>
    </w:p>
    <w:p w14:paraId="267FA6BC">
      <w:pPr>
        <w:pStyle w:val="16"/>
        <w:tabs>
          <w:tab w:val="right" w:leader="dot" w:pos="8296"/>
        </w:tabs>
        <w:spacing w:line="280" w:lineRule="exact"/>
        <w:rPr>
          <w:rFonts w:hAnsiTheme="minorHAnsi" w:eastAsiaTheme="minorEastAsia" w:cstheme="minorBidi"/>
          <w:smallCaps w:val="0"/>
          <w:sz w:val="21"/>
          <w:szCs w:val="22"/>
        </w:rPr>
      </w:pPr>
      <w:r>
        <w:rPr>
          <w:rFonts w:ascii="仿宋" w:hAnsi="仿宋" w:eastAsia="仿宋"/>
        </w:rPr>
        <w:t>十、一般公共预算财政拨款“三公”经费支出决算表</w:t>
      </w:r>
      <w:r>
        <w:tab/>
      </w:r>
      <w:r>
        <w:fldChar w:fldCharType="begin"/>
      </w:r>
      <w:r>
        <w:instrText xml:space="preserve"> PAGEREF _Toc79163895 \h </w:instrText>
      </w:r>
      <w:r>
        <w:fldChar w:fldCharType="separate"/>
      </w:r>
      <w:r>
        <w:t>16</w:t>
      </w:r>
      <w:r>
        <w:fldChar w:fldCharType="end"/>
      </w:r>
    </w:p>
    <w:p w14:paraId="0A2C4202">
      <w:pPr>
        <w:pStyle w:val="16"/>
        <w:tabs>
          <w:tab w:val="right" w:leader="dot" w:pos="8296"/>
        </w:tabs>
        <w:spacing w:line="280" w:lineRule="exact"/>
        <w:rPr>
          <w:rFonts w:hAnsiTheme="minorHAnsi" w:eastAsiaTheme="minorEastAsia" w:cstheme="minorBidi"/>
          <w:smallCaps w:val="0"/>
          <w:sz w:val="21"/>
          <w:szCs w:val="22"/>
        </w:rPr>
      </w:pPr>
      <w:r>
        <w:rPr>
          <w:rFonts w:ascii="仿宋" w:hAnsi="仿宋" w:eastAsia="仿宋"/>
        </w:rPr>
        <w:t>十一、政府性基金预算财政拨款收入支出决算表</w:t>
      </w:r>
      <w:r>
        <w:tab/>
      </w:r>
      <w:r>
        <w:fldChar w:fldCharType="begin"/>
      </w:r>
      <w:r>
        <w:instrText xml:space="preserve"> PAGEREF _Toc79163896 \h </w:instrText>
      </w:r>
      <w:r>
        <w:fldChar w:fldCharType="separate"/>
      </w:r>
      <w:r>
        <w:t>16</w:t>
      </w:r>
      <w:r>
        <w:fldChar w:fldCharType="end"/>
      </w:r>
    </w:p>
    <w:p w14:paraId="5EECF3AF">
      <w:pPr>
        <w:pStyle w:val="16"/>
        <w:tabs>
          <w:tab w:val="right" w:leader="dot" w:pos="8296"/>
        </w:tabs>
        <w:spacing w:line="280" w:lineRule="exact"/>
        <w:rPr>
          <w:rFonts w:hAnsiTheme="minorHAnsi" w:eastAsiaTheme="minorEastAsia" w:cstheme="minorBidi"/>
          <w:smallCaps w:val="0"/>
          <w:sz w:val="21"/>
          <w:szCs w:val="22"/>
        </w:rPr>
      </w:pPr>
      <w:r>
        <w:rPr>
          <w:rFonts w:ascii="仿宋" w:hAnsi="仿宋" w:eastAsia="仿宋"/>
        </w:rPr>
        <w:t>十二、政府性基金预算财政拨款“三公”经费支出决算表</w:t>
      </w:r>
      <w:r>
        <w:tab/>
      </w:r>
      <w:r>
        <w:fldChar w:fldCharType="begin"/>
      </w:r>
      <w:r>
        <w:instrText xml:space="preserve"> PAGEREF _Toc79163897 \h </w:instrText>
      </w:r>
      <w:r>
        <w:fldChar w:fldCharType="separate"/>
      </w:r>
      <w:r>
        <w:t>16</w:t>
      </w:r>
      <w:r>
        <w:fldChar w:fldCharType="end"/>
      </w:r>
    </w:p>
    <w:p w14:paraId="434D59D0">
      <w:pPr>
        <w:pStyle w:val="16"/>
        <w:tabs>
          <w:tab w:val="right" w:leader="dot" w:pos="8296"/>
        </w:tabs>
        <w:spacing w:line="280" w:lineRule="exact"/>
        <w:rPr>
          <w:rFonts w:hAnsiTheme="minorHAnsi" w:eastAsiaTheme="minorEastAsia" w:cstheme="minorBidi"/>
          <w:smallCaps w:val="0"/>
          <w:sz w:val="21"/>
          <w:szCs w:val="22"/>
        </w:rPr>
      </w:pPr>
      <w:r>
        <w:rPr>
          <w:rFonts w:ascii="仿宋" w:hAnsi="仿宋" w:eastAsia="仿宋"/>
        </w:rPr>
        <w:t>十三、国有资本经营预算财政拨款</w:t>
      </w:r>
      <w:r>
        <w:rPr>
          <w:rFonts w:hint="eastAsia" w:ascii="仿宋" w:hAnsi="仿宋" w:eastAsia="仿宋"/>
        </w:rPr>
        <w:t>收入</w:t>
      </w:r>
      <w:r>
        <w:rPr>
          <w:rFonts w:ascii="仿宋" w:hAnsi="仿宋" w:eastAsia="仿宋"/>
        </w:rPr>
        <w:t>支出决算表</w:t>
      </w:r>
      <w:r>
        <w:tab/>
      </w:r>
      <w:r>
        <w:fldChar w:fldCharType="begin"/>
      </w:r>
      <w:r>
        <w:instrText xml:space="preserve"> PAGEREF _Toc79163898 \h </w:instrText>
      </w:r>
      <w:r>
        <w:fldChar w:fldCharType="separate"/>
      </w:r>
      <w:r>
        <w:t>16</w:t>
      </w:r>
      <w:r>
        <w:fldChar w:fldCharType="end"/>
      </w:r>
    </w:p>
    <w:p w14:paraId="097B6738">
      <w:pPr>
        <w:pStyle w:val="16"/>
        <w:tabs>
          <w:tab w:val="right" w:leader="dot" w:pos="8296"/>
        </w:tabs>
        <w:spacing w:line="280" w:lineRule="exact"/>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_Toc79163899 \h </w:instrText>
      </w:r>
      <w:r>
        <w:fldChar w:fldCharType="separate"/>
      </w:r>
      <w:r>
        <w:t>16</w:t>
      </w:r>
      <w:r>
        <w:fldChar w:fldCharType="end"/>
      </w:r>
    </w:p>
    <w:p w14:paraId="5E337CF9">
      <w:pPr>
        <w:spacing w:line="280" w:lineRule="exact"/>
        <w:rPr>
          <w:rFonts w:ascii="黑体" w:hAnsi="黑体" w:eastAsia="黑体"/>
        </w:rPr>
      </w:pPr>
      <w:r>
        <w:rPr>
          <w:rFonts w:asciiTheme="minorHAnsi" w:eastAsiaTheme="minorHAnsi"/>
          <w:b/>
          <w:bCs/>
          <w:caps/>
          <w:sz w:val="20"/>
          <w:szCs w:val="20"/>
        </w:rPr>
        <w:fldChar w:fldCharType="end"/>
      </w:r>
      <w:bookmarkStart w:id="13" w:name="_Toc79163601"/>
      <w:bookmarkStart w:id="14" w:name="_Toc15377196"/>
      <w:bookmarkStart w:id="15" w:name="_Toc15396599"/>
      <w:bookmarkStart w:id="16" w:name="_Toc79163851"/>
    </w:p>
    <w:p w14:paraId="784E4E0C">
      <w:pPr>
        <w:pStyle w:val="2"/>
        <w:jc w:val="center"/>
        <w:rPr>
          <w:rFonts w:ascii="黑体" w:eastAsia="黑体"/>
          <w:sz w:val="32"/>
          <w:szCs w:val="32"/>
        </w:rPr>
      </w:pPr>
      <w:r>
        <w:rPr>
          <w:rFonts w:hint="eastAsia" w:ascii="黑体" w:hAnsi="黑体" w:eastAsia="黑体"/>
          <w:b w:val="0"/>
        </w:rPr>
        <w:t>第一部分</w:t>
      </w:r>
      <w:r>
        <w:rPr>
          <w:rFonts w:ascii="黑体" w:hAnsi="黑体" w:eastAsia="黑体"/>
          <w:b w:val="0"/>
        </w:rPr>
        <w:t xml:space="preserve"> </w:t>
      </w:r>
      <w:r>
        <w:rPr>
          <w:rStyle w:val="22"/>
          <w:rFonts w:hint="eastAsia" w:ascii="黑体" w:hAnsi="黑体" w:eastAsia="黑体"/>
          <w:b w:val="0"/>
          <w:bCs w:val="0"/>
        </w:rPr>
        <w:t>部门概况</w:t>
      </w:r>
      <w:bookmarkEnd w:id="13"/>
      <w:bookmarkEnd w:id="14"/>
      <w:bookmarkEnd w:id="15"/>
      <w:bookmarkEnd w:id="16"/>
    </w:p>
    <w:p w14:paraId="6F150A48">
      <w:pPr>
        <w:pStyle w:val="3"/>
        <w:rPr>
          <w:rStyle w:val="23"/>
          <w:rFonts w:ascii="仿宋" w:hAnsi="仿宋" w:eastAsia="仿宋"/>
          <w:b w:val="0"/>
          <w:bCs w:val="0"/>
        </w:rPr>
      </w:pPr>
      <w:bookmarkStart w:id="17" w:name="_Toc79163602"/>
      <w:bookmarkStart w:id="18" w:name="_Toc79163852"/>
      <w:bookmarkStart w:id="19" w:name="_Toc15396600"/>
      <w:bookmarkStart w:id="20" w:name="_Toc15377197"/>
      <w:r>
        <w:rPr>
          <w:rFonts w:hint="eastAsia" w:ascii="黑体" w:hAnsi="黑体" w:eastAsia="黑体"/>
          <w:b w:val="0"/>
        </w:rPr>
        <w:t>一、基</w:t>
      </w:r>
      <w:r>
        <w:rPr>
          <w:rStyle w:val="23"/>
          <w:rFonts w:hint="eastAsia" w:ascii="黑体" w:hAnsi="黑体" w:eastAsia="黑体"/>
          <w:b w:val="0"/>
          <w:bCs w:val="0"/>
        </w:rPr>
        <w:t>本职能及主要工作</w:t>
      </w:r>
      <w:bookmarkEnd w:id="17"/>
      <w:bookmarkEnd w:id="18"/>
      <w:bookmarkEnd w:id="19"/>
      <w:bookmarkEnd w:id="20"/>
    </w:p>
    <w:p w14:paraId="153869F7">
      <w:pPr>
        <w:pStyle w:val="6"/>
        <w:adjustRightInd w:val="0"/>
        <w:snapToGrid w:val="0"/>
        <w:spacing w:before="93" w:line="600" w:lineRule="exact"/>
        <w:ind w:firstLine="672" w:firstLineChars="210"/>
        <w:outlineLvl w:val="2"/>
        <w:rPr>
          <w:rFonts w:ascii="仿宋" w:hAnsi="仿宋" w:eastAsia="仿宋"/>
          <w:bCs/>
          <w:sz w:val="32"/>
          <w:szCs w:val="32"/>
        </w:rPr>
      </w:pPr>
      <w:bookmarkStart w:id="21" w:name="_Toc79163853"/>
      <w:bookmarkStart w:id="22" w:name="_Toc79163603"/>
      <w:bookmarkStart w:id="23" w:name="_Toc15377198"/>
      <w:bookmarkStart w:id="24" w:name="_Toc15378445"/>
      <w:r>
        <w:rPr>
          <w:rFonts w:hint="eastAsia" w:ascii="仿宋" w:hAnsi="仿宋" w:eastAsia="仿宋"/>
          <w:bCs/>
          <w:sz w:val="32"/>
          <w:szCs w:val="32"/>
        </w:rPr>
        <w:t>（一）主要职能。</w:t>
      </w:r>
      <w:bookmarkEnd w:id="21"/>
      <w:bookmarkEnd w:id="22"/>
    </w:p>
    <w:bookmarkEnd w:id="23"/>
    <w:bookmarkEnd w:id="24"/>
    <w:p w14:paraId="3045DB4F">
      <w:pPr>
        <w:pStyle w:val="6"/>
        <w:adjustRightInd w:val="0"/>
        <w:snapToGrid w:val="0"/>
        <w:spacing w:before="93" w:line="600" w:lineRule="exact"/>
        <w:ind w:firstLine="672" w:firstLineChars="210"/>
        <w:rPr>
          <w:bCs/>
          <w:sz w:val="32"/>
          <w:szCs w:val="32"/>
        </w:rPr>
      </w:pPr>
      <w:r>
        <w:rPr>
          <w:rFonts w:hint="eastAsia"/>
          <w:bCs/>
          <w:sz w:val="32"/>
          <w:szCs w:val="32"/>
        </w:rPr>
        <w:t>（一）主要职能。</w:t>
      </w:r>
    </w:p>
    <w:p w14:paraId="02FB307B">
      <w:pPr>
        <w:pStyle w:val="6"/>
        <w:adjustRightInd w:val="0"/>
        <w:snapToGrid w:val="0"/>
        <w:spacing w:before="93" w:line="600" w:lineRule="exact"/>
        <w:ind w:firstLine="588" w:firstLineChars="210"/>
        <w:rPr>
          <w:rFonts w:hAnsi="宋体"/>
          <w:kern w:val="2"/>
          <w:sz w:val="28"/>
          <w:szCs w:val="28"/>
          <w:lang w:val="en-US"/>
        </w:rPr>
      </w:pPr>
      <w:r>
        <w:rPr>
          <w:rFonts w:hint="eastAsia" w:hAnsi="宋体"/>
          <w:kern w:val="2"/>
          <w:sz w:val="28"/>
          <w:szCs w:val="28"/>
          <w:lang w:val="en-US"/>
        </w:rPr>
        <w:t>毛尔盖寺庙管理委员会为县政府派出副县级机构，受县人民政府的委托，履行相应宗教事务管理执法权，业务上受县委统战部和宗教部门的指导和监督</w:t>
      </w:r>
    </w:p>
    <w:p w14:paraId="797F9CCC">
      <w:pPr>
        <w:pStyle w:val="6"/>
        <w:adjustRightInd w:val="0"/>
        <w:snapToGrid w:val="0"/>
        <w:spacing w:before="93" w:line="600" w:lineRule="exact"/>
        <w:ind w:firstLine="672" w:firstLineChars="210"/>
        <w:rPr>
          <w:bCs/>
          <w:sz w:val="32"/>
          <w:szCs w:val="32"/>
        </w:rPr>
      </w:pPr>
      <w:r>
        <w:rPr>
          <w:rFonts w:hint="eastAsia"/>
          <w:bCs/>
          <w:sz w:val="32"/>
          <w:szCs w:val="32"/>
        </w:rPr>
        <w:t>（二）20</w:t>
      </w:r>
      <w:r>
        <w:rPr>
          <w:rFonts w:hint="eastAsia"/>
          <w:bCs/>
          <w:sz w:val="32"/>
          <w:szCs w:val="32"/>
          <w:lang w:val="en-US"/>
        </w:rPr>
        <w:t>20</w:t>
      </w:r>
      <w:r>
        <w:rPr>
          <w:rFonts w:hint="eastAsia"/>
          <w:bCs/>
          <w:sz w:val="32"/>
          <w:szCs w:val="32"/>
        </w:rPr>
        <w:t>年重点工作完成情况。</w:t>
      </w:r>
    </w:p>
    <w:p w14:paraId="2FAF2E35">
      <w:pPr>
        <w:pStyle w:val="6"/>
        <w:adjustRightInd w:val="0"/>
        <w:snapToGrid w:val="0"/>
        <w:spacing w:before="93" w:line="600" w:lineRule="exact"/>
        <w:ind w:firstLine="588" w:firstLineChars="210"/>
        <w:rPr>
          <w:rFonts w:hAnsi="宋体"/>
          <w:kern w:val="2"/>
          <w:sz w:val="28"/>
          <w:szCs w:val="28"/>
          <w:lang w:val="en-US"/>
        </w:rPr>
      </w:pPr>
      <w:r>
        <w:rPr>
          <w:rFonts w:hint="eastAsia" w:hAnsi="宋体"/>
          <w:kern w:val="2"/>
          <w:sz w:val="28"/>
          <w:szCs w:val="28"/>
          <w:lang w:val="en-US"/>
        </w:rPr>
        <w:t>完成了三月敏感期寺庙维稳工作；完成了年度法律七进宣传教育工作；完成了年度精准脱贫结对帮扶工作；完成了</w:t>
      </w:r>
      <w:r>
        <w:rPr>
          <w:rFonts w:hint="eastAsia" w:hAnsi="宋体"/>
          <w:kern w:val="2"/>
          <w:sz w:val="28"/>
          <w:szCs w:val="28"/>
          <w:lang w:val="en-US" w:eastAsia="zh-CN"/>
        </w:rPr>
        <w:t>党的十九大期间</w:t>
      </w:r>
      <w:r>
        <w:rPr>
          <w:rFonts w:hint="eastAsia" w:hAnsi="宋体"/>
          <w:kern w:val="2"/>
          <w:sz w:val="28"/>
          <w:szCs w:val="28"/>
          <w:lang w:val="en-US"/>
        </w:rPr>
        <w:t>寺庙维稳工作及十九大精神宣讲工作；完成了年度民族团结创建工作；完成了第四世依藏活佛转世灵童寻访工作；完成了寺庙项目建设上报工作；</w:t>
      </w:r>
    </w:p>
    <w:p w14:paraId="6E8C679D">
      <w:pPr>
        <w:pStyle w:val="3"/>
        <w:rPr>
          <w:rStyle w:val="23"/>
          <w:b w:val="0"/>
          <w:bCs w:val="0"/>
        </w:rPr>
      </w:pPr>
      <w:bookmarkStart w:id="25" w:name="_Toc79163605"/>
      <w:bookmarkStart w:id="26" w:name="_Toc15377200"/>
      <w:bookmarkStart w:id="27" w:name="_Toc79163855"/>
      <w:bookmarkStart w:id="28" w:name="_Toc15396601"/>
      <w:r>
        <w:rPr>
          <w:rFonts w:hint="eastAsia" w:ascii="黑体" w:eastAsia="黑体"/>
          <w:b w:val="0"/>
        </w:rPr>
        <w:t>二、</w:t>
      </w:r>
      <w:r>
        <w:rPr>
          <w:rFonts w:hint="eastAsia" w:ascii="黑体" w:hAnsi="黑体" w:eastAsia="黑体"/>
          <w:b w:val="0"/>
        </w:rPr>
        <w:t>机</w:t>
      </w:r>
      <w:r>
        <w:rPr>
          <w:rStyle w:val="23"/>
          <w:rFonts w:hint="eastAsia" w:ascii="黑体" w:hAnsi="黑体" w:eastAsia="黑体"/>
          <w:b w:val="0"/>
          <w:bCs w:val="0"/>
        </w:rPr>
        <w:t>构设置</w:t>
      </w:r>
      <w:bookmarkEnd w:id="25"/>
      <w:bookmarkEnd w:id="26"/>
      <w:bookmarkEnd w:id="27"/>
      <w:bookmarkEnd w:id="28"/>
    </w:p>
    <w:p w14:paraId="1B6FF35D">
      <w:pPr>
        <w:pStyle w:val="6"/>
        <w:adjustRightInd w:val="0"/>
        <w:snapToGrid w:val="0"/>
        <w:spacing w:before="93" w:line="600" w:lineRule="exact"/>
        <w:ind w:firstLine="588" w:firstLineChars="210"/>
        <w:rPr>
          <w:bCs/>
          <w:sz w:val="32"/>
          <w:szCs w:val="32"/>
          <w:lang w:val="en-US"/>
        </w:rPr>
      </w:pPr>
      <w:bookmarkStart w:id="29" w:name="_Toc15378450"/>
      <w:bookmarkStart w:id="30" w:name="_Toc79163608"/>
      <w:bookmarkStart w:id="31" w:name="_Toc15377434"/>
      <w:bookmarkStart w:id="32" w:name="_Toc15306277"/>
      <w:bookmarkStart w:id="33" w:name="_Toc79163858"/>
      <w:bookmarkStart w:id="34" w:name="_Toc15377203"/>
      <w:r>
        <w:rPr>
          <w:rFonts w:hint="eastAsia" w:hAnsi="宋体"/>
          <w:kern w:val="2"/>
          <w:sz w:val="28"/>
          <w:szCs w:val="28"/>
          <w:lang w:val="en-US"/>
        </w:rPr>
        <w:t>毛尔盖寺庙管理委员会内设机构1室5科，即综合管理办公室、宗教事务管理科、社会化服务科、法制宣传教育科、治安消防科、财务监督管理科。单位核定行政编制11人，其中设主任1名，专职副主任4名，副科级领导职数6名；核定机关事业工勤1名，合计12个编制</w:t>
      </w:r>
      <w:r>
        <w:rPr>
          <w:rFonts w:hint="eastAsia"/>
          <w:bCs/>
          <w:sz w:val="32"/>
          <w:szCs w:val="32"/>
          <w:lang w:val="en-US"/>
        </w:rPr>
        <w:t>。</w:t>
      </w:r>
      <w:bookmarkEnd w:id="29"/>
      <w:bookmarkEnd w:id="30"/>
      <w:bookmarkEnd w:id="31"/>
      <w:bookmarkEnd w:id="32"/>
      <w:bookmarkEnd w:id="33"/>
      <w:bookmarkEnd w:id="34"/>
    </w:p>
    <w:p w14:paraId="30D7FE0B">
      <w:pPr>
        <w:pStyle w:val="6"/>
        <w:adjustRightInd w:val="0"/>
        <w:snapToGrid w:val="0"/>
        <w:spacing w:before="93" w:line="600" w:lineRule="exact"/>
        <w:ind w:firstLine="672" w:firstLineChars="210"/>
        <w:rPr>
          <w:rFonts w:ascii="仿宋" w:hAnsi="仿宋" w:eastAsia="仿宋"/>
          <w:sz w:val="32"/>
          <w:szCs w:val="32"/>
        </w:rPr>
      </w:pPr>
      <w:r>
        <w:rPr>
          <w:rFonts w:ascii="仿宋" w:hAnsi="仿宋" w:eastAsia="仿宋"/>
          <w:sz w:val="32"/>
          <w:szCs w:val="32"/>
        </w:rPr>
        <w:br w:type="page"/>
      </w:r>
    </w:p>
    <w:p w14:paraId="6939BBDE">
      <w:pPr>
        <w:pStyle w:val="2"/>
        <w:ind w:right="440"/>
        <w:jc w:val="right"/>
        <w:rPr>
          <w:rStyle w:val="22"/>
          <w:rFonts w:ascii="黑体" w:hAnsi="黑体" w:eastAsia="黑体"/>
          <w:b w:val="0"/>
          <w:bCs w:val="0"/>
        </w:rPr>
      </w:pPr>
      <w:bookmarkStart w:id="35" w:name="_Toc79163609"/>
      <w:bookmarkStart w:id="36" w:name="_Toc15396602"/>
      <w:bookmarkStart w:id="37" w:name="_Toc15377204"/>
      <w:bookmarkStart w:id="38" w:name="_Toc79163859"/>
      <w:r>
        <w:rPr>
          <w:rFonts w:hint="eastAsia" w:ascii="黑体" w:hAnsi="黑体" w:eastAsia="黑体"/>
          <w:b w:val="0"/>
        </w:rPr>
        <w:t>第二部分</w:t>
      </w:r>
      <w:r>
        <w:rPr>
          <w:rFonts w:ascii="黑体" w:hAnsi="黑体" w:eastAsia="黑体"/>
        </w:rPr>
        <w:t xml:space="preserve"> </w:t>
      </w:r>
      <w:r>
        <w:rPr>
          <w:rStyle w:val="22"/>
          <w:rFonts w:ascii="黑体" w:hAnsi="黑体" w:eastAsia="黑体"/>
          <w:b w:val="0"/>
          <w:bCs w:val="0"/>
        </w:rPr>
        <w:t>2020</w:t>
      </w:r>
      <w:r>
        <w:rPr>
          <w:rStyle w:val="22"/>
          <w:rFonts w:hint="eastAsia" w:ascii="黑体" w:hAnsi="黑体" w:eastAsia="黑体"/>
          <w:b w:val="0"/>
          <w:bCs w:val="0"/>
        </w:rPr>
        <w:t>年度部门决算情况说明</w:t>
      </w:r>
      <w:bookmarkEnd w:id="35"/>
      <w:bookmarkEnd w:id="36"/>
      <w:bookmarkEnd w:id="37"/>
      <w:bookmarkEnd w:id="38"/>
    </w:p>
    <w:p w14:paraId="66E9259D"/>
    <w:p w14:paraId="1954DC71">
      <w:pPr>
        <w:pStyle w:val="33"/>
        <w:numPr>
          <w:ilvl w:val="0"/>
          <w:numId w:val="1"/>
        </w:numPr>
        <w:spacing w:line="600" w:lineRule="exact"/>
        <w:ind w:firstLineChars="0"/>
        <w:outlineLvl w:val="1"/>
        <w:rPr>
          <w:rStyle w:val="23"/>
          <w:rFonts w:ascii="黑体" w:hAnsi="黑体" w:eastAsia="黑体"/>
          <w:b w:val="0"/>
        </w:rPr>
      </w:pPr>
      <w:bookmarkStart w:id="39" w:name="_Toc15377205"/>
      <w:bookmarkStart w:id="40" w:name="_Toc79163860"/>
      <w:bookmarkStart w:id="41" w:name="_Toc15396603"/>
      <w:bookmarkStart w:id="42" w:name="_Toc79163610"/>
      <w:r>
        <w:rPr>
          <w:rFonts w:hint="eastAsia" w:ascii="黑体" w:hAnsi="黑体" w:eastAsia="黑体"/>
          <w:sz w:val="32"/>
          <w:szCs w:val="32"/>
        </w:rPr>
        <w:t>收</w:t>
      </w:r>
      <w:r>
        <w:rPr>
          <w:rStyle w:val="23"/>
          <w:rFonts w:hint="eastAsia" w:ascii="黑体" w:hAnsi="黑体" w:eastAsia="黑体"/>
          <w:b w:val="0"/>
        </w:rPr>
        <w:t>入支出决算总体情况说明</w:t>
      </w:r>
      <w:bookmarkEnd w:id="39"/>
      <w:bookmarkEnd w:id="40"/>
      <w:bookmarkEnd w:id="41"/>
      <w:bookmarkEnd w:id="42"/>
    </w:p>
    <w:p w14:paraId="67999DCF">
      <w:pPr>
        <w:spacing w:line="600" w:lineRule="exact"/>
        <w:ind w:firstLine="640" w:firstLineChars="200"/>
        <w:jc w:val="left"/>
        <w:rPr>
          <w:rFonts w:ascii="仿宋_GB2312" w:eastAsia="仿宋_GB2312"/>
          <w:sz w:val="32"/>
          <w:szCs w:val="32"/>
        </w:rPr>
      </w:pPr>
      <w:r>
        <w:rPr>
          <w:rFonts w:ascii="仿宋" w:hAnsi="仿宋" w:eastAsia="仿宋"/>
          <w:sz w:val="32"/>
          <w:szCs w:val="32"/>
        </w:rPr>
        <w:t>2020</w:t>
      </w:r>
      <w:r>
        <w:rPr>
          <w:rFonts w:hint="eastAsia" w:ascii="仿宋" w:hAnsi="仿宋" w:eastAsia="仿宋"/>
          <w:sz w:val="32"/>
          <w:szCs w:val="32"/>
        </w:rPr>
        <w:t>年度收、支总计229.79万元。与</w:t>
      </w:r>
      <w:r>
        <w:rPr>
          <w:rFonts w:ascii="仿宋" w:hAnsi="仿宋" w:eastAsia="仿宋"/>
          <w:sz w:val="32"/>
          <w:szCs w:val="32"/>
        </w:rPr>
        <w:t>2019</w:t>
      </w:r>
      <w:r>
        <w:rPr>
          <w:rFonts w:hint="eastAsia" w:ascii="仿宋" w:hAnsi="仿宋" w:eastAsia="仿宋"/>
          <w:sz w:val="32"/>
          <w:szCs w:val="32"/>
        </w:rPr>
        <w:t>年相比，收、支总计各减少11.81万元，下降4.88</w:t>
      </w:r>
      <w:r>
        <w:rPr>
          <w:rFonts w:ascii="仿宋" w:hAnsi="仿宋" w:eastAsia="仿宋"/>
          <w:sz w:val="32"/>
          <w:szCs w:val="32"/>
        </w:rPr>
        <w:t>%</w:t>
      </w:r>
      <w:r>
        <w:rPr>
          <w:rFonts w:hint="eastAsia" w:ascii="仿宋" w:hAnsi="仿宋" w:eastAsia="仿宋"/>
          <w:sz w:val="32"/>
          <w:szCs w:val="32"/>
        </w:rPr>
        <w:t>。主要变动原因是项目减少。</w:t>
      </w:r>
    </w:p>
    <w:p w14:paraId="0B480856">
      <w:pPr>
        <w:spacing w:line="600" w:lineRule="exact"/>
        <w:ind w:firstLine="640" w:firstLineChars="200"/>
        <w:jc w:val="left"/>
        <w:rPr>
          <w:rFonts w:ascii="仿宋_GB2312" w:eastAsia="仿宋_GB2312"/>
          <w:sz w:val="32"/>
          <w:szCs w:val="32"/>
        </w:rPr>
      </w:pPr>
    </w:p>
    <w:p w14:paraId="65748190">
      <w:pPr>
        <w:pStyle w:val="33"/>
        <w:numPr>
          <w:ilvl w:val="0"/>
          <w:numId w:val="1"/>
        </w:numPr>
        <w:spacing w:line="600" w:lineRule="exact"/>
        <w:ind w:firstLineChars="0"/>
        <w:outlineLvl w:val="1"/>
        <w:rPr>
          <w:rStyle w:val="23"/>
          <w:rFonts w:ascii="黑体" w:hAnsi="黑体" w:eastAsia="黑体"/>
          <w:b w:val="0"/>
        </w:rPr>
      </w:pPr>
      <w:bookmarkStart w:id="43" w:name="_Toc15377206"/>
      <w:bookmarkStart w:id="44" w:name="_Toc15396604"/>
      <w:bookmarkStart w:id="45" w:name="_Toc79163611"/>
      <w:bookmarkStart w:id="46" w:name="_Toc79163861"/>
      <w:r>
        <w:rPr>
          <w:rFonts w:hint="eastAsia" w:ascii="黑体" w:hAnsi="黑体" w:eastAsia="黑体"/>
          <w:sz w:val="32"/>
          <w:szCs w:val="32"/>
        </w:rPr>
        <w:t>收</w:t>
      </w:r>
      <w:r>
        <w:rPr>
          <w:rStyle w:val="23"/>
          <w:rFonts w:hint="eastAsia" w:ascii="黑体" w:hAnsi="黑体" w:eastAsia="黑体"/>
          <w:b w:val="0"/>
        </w:rPr>
        <w:t>入决算情况说明</w:t>
      </w:r>
      <w:bookmarkEnd w:id="43"/>
      <w:bookmarkEnd w:id="44"/>
      <w:bookmarkEnd w:id="45"/>
      <w:bookmarkEnd w:id="46"/>
    </w:p>
    <w:p w14:paraId="419B659A">
      <w:pPr>
        <w:spacing w:line="600" w:lineRule="exact"/>
        <w:ind w:firstLine="640" w:firstLineChars="200"/>
        <w:rPr>
          <w:rFonts w:ascii="仿宋_GB2312" w:eastAsia="仿宋_GB2312"/>
          <w:sz w:val="32"/>
          <w:szCs w:val="32"/>
        </w:rPr>
      </w:pPr>
      <w:r>
        <w:rPr>
          <w:rFonts w:ascii="仿宋" w:hAnsi="仿宋" w:eastAsia="仿宋"/>
          <w:sz w:val="32"/>
          <w:szCs w:val="32"/>
        </w:rPr>
        <w:t>2020</w:t>
      </w:r>
      <w:r>
        <w:rPr>
          <w:rFonts w:hint="eastAsia" w:ascii="仿宋" w:hAnsi="仿宋" w:eastAsia="仿宋"/>
          <w:sz w:val="32"/>
          <w:szCs w:val="32"/>
        </w:rPr>
        <w:t>年本年收入合计215.56万元，其中：一般公共预算财政拨款收入193.32万元，占100</w:t>
      </w:r>
      <w:r>
        <w:rPr>
          <w:rFonts w:ascii="仿宋" w:hAnsi="仿宋" w:eastAsia="仿宋"/>
          <w:sz w:val="32"/>
          <w:szCs w:val="32"/>
        </w:rPr>
        <w:t>%</w:t>
      </w:r>
      <w:r>
        <w:rPr>
          <w:rFonts w:hint="eastAsia" w:ascii="仿宋" w:hAnsi="仿宋" w:eastAsia="仿宋"/>
          <w:sz w:val="32"/>
          <w:szCs w:val="32"/>
        </w:rPr>
        <w:t>；社会保障和就业收入19.26万元，占100</w:t>
      </w:r>
      <w:r>
        <w:rPr>
          <w:rFonts w:ascii="仿宋" w:hAnsi="仿宋" w:eastAsia="仿宋"/>
          <w:sz w:val="32"/>
          <w:szCs w:val="32"/>
        </w:rPr>
        <w:t>%</w:t>
      </w:r>
      <w:r>
        <w:rPr>
          <w:rFonts w:hint="eastAsia" w:ascii="仿宋" w:hAnsi="仿宋" w:eastAsia="仿宋"/>
          <w:sz w:val="32"/>
          <w:szCs w:val="32"/>
        </w:rPr>
        <w:t>；卫生健康收入0.99万元，占100</w:t>
      </w:r>
      <w:r>
        <w:rPr>
          <w:rFonts w:ascii="仿宋" w:hAnsi="仿宋" w:eastAsia="仿宋"/>
          <w:sz w:val="32"/>
          <w:szCs w:val="32"/>
        </w:rPr>
        <w:t>%</w:t>
      </w:r>
      <w:r>
        <w:rPr>
          <w:rFonts w:hint="eastAsia" w:ascii="仿宋" w:hAnsi="仿宋" w:eastAsia="仿宋"/>
          <w:sz w:val="32"/>
          <w:szCs w:val="32"/>
        </w:rPr>
        <w:t>；住房保障收入16.22万元，占100</w:t>
      </w:r>
      <w:r>
        <w:rPr>
          <w:rFonts w:ascii="仿宋" w:hAnsi="仿宋" w:eastAsia="仿宋"/>
          <w:sz w:val="32"/>
          <w:szCs w:val="32"/>
        </w:rPr>
        <w:t>%</w:t>
      </w:r>
      <w:r>
        <w:rPr>
          <w:rFonts w:hint="eastAsia" w:ascii="仿宋" w:hAnsi="仿宋" w:eastAsia="仿宋"/>
          <w:sz w:val="32"/>
          <w:szCs w:val="32"/>
        </w:rPr>
        <w:t>；</w:t>
      </w:r>
    </w:p>
    <w:p w14:paraId="01959B31">
      <w:pPr>
        <w:pStyle w:val="33"/>
        <w:numPr>
          <w:ilvl w:val="0"/>
          <w:numId w:val="1"/>
        </w:numPr>
        <w:spacing w:line="600" w:lineRule="exact"/>
        <w:ind w:firstLineChars="0"/>
        <w:outlineLvl w:val="1"/>
        <w:rPr>
          <w:rStyle w:val="23"/>
          <w:rFonts w:ascii="黑体" w:hAnsi="黑体" w:eastAsia="黑体"/>
          <w:b w:val="0"/>
        </w:rPr>
      </w:pPr>
      <w:bookmarkStart w:id="47" w:name="_Toc15396605"/>
      <w:bookmarkStart w:id="48" w:name="_Toc79163612"/>
      <w:bookmarkStart w:id="49" w:name="_Toc79163862"/>
      <w:bookmarkStart w:id="50" w:name="_Toc15377207"/>
      <w:r>
        <w:rPr>
          <w:rFonts w:hint="eastAsia" w:ascii="黑体" w:hAnsi="黑体" w:eastAsia="黑体"/>
          <w:sz w:val="32"/>
          <w:szCs w:val="32"/>
        </w:rPr>
        <w:t>支</w:t>
      </w:r>
      <w:r>
        <w:rPr>
          <w:rStyle w:val="23"/>
          <w:rFonts w:hint="eastAsia" w:ascii="黑体" w:hAnsi="黑体" w:eastAsia="黑体"/>
          <w:b w:val="0"/>
        </w:rPr>
        <w:t>出决算情况说明</w:t>
      </w:r>
      <w:bookmarkEnd w:id="47"/>
      <w:bookmarkEnd w:id="48"/>
      <w:bookmarkEnd w:id="49"/>
      <w:bookmarkEnd w:id="50"/>
    </w:p>
    <w:p w14:paraId="636F5CE6">
      <w:pPr>
        <w:spacing w:line="600" w:lineRule="exact"/>
        <w:ind w:firstLine="640" w:firstLineChars="200"/>
        <w:rPr>
          <w:rFonts w:ascii="仿宋" w:hAnsi="仿宋"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年本年支出合计229.79万元，其中：基本支出200.22万元，占100</w:t>
      </w:r>
      <w:r>
        <w:rPr>
          <w:rFonts w:ascii="仿宋_GB2312" w:eastAsia="仿宋_GB2312"/>
          <w:sz w:val="32"/>
          <w:szCs w:val="32"/>
        </w:rPr>
        <w:t>%</w:t>
      </w:r>
      <w:r>
        <w:rPr>
          <w:rFonts w:hint="eastAsia" w:ascii="仿宋_GB2312" w:eastAsia="仿宋_GB2312"/>
          <w:sz w:val="32"/>
          <w:szCs w:val="32"/>
        </w:rPr>
        <w:t>；项目支出29.56万元，占100</w:t>
      </w:r>
      <w:r>
        <w:rPr>
          <w:rFonts w:ascii="仿宋_GB2312" w:eastAsia="仿宋_GB2312"/>
          <w:sz w:val="32"/>
          <w:szCs w:val="32"/>
        </w:rPr>
        <w:t>%</w:t>
      </w:r>
      <w:r>
        <w:rPr>
          <w:rFonts w:hint="eastAsia" w:ascii="仿宋_GB2312" w:eastAsia="仿宋_GB2312"/>
          <w:sz w:val="32"/>
          <w:szCs w:val="32"/>
        </w:rPr>
        <w:t>。</w:t>
      </w:r>
    </w:p>
    <w:p w14:paraId="424BC2F1">
      <w:pPr>
        <w:spacing w:line="600" w:lineRule="exact"/>
        <w:ind w:firstLine="640" w:firstLineChars="200"/>
        <w:rPr>
          <w:rFonts w:ascii="仿宋_GB2312" w:eastAsia="仿宋_GB2312"/>
          <w:sz w:val="32"/>
          <w:szCs w:val="32"/>
        </w:rPr>
      </w:pPr>
    </w:p>
    <w:p w14:paraId="6F825F41">
      <w:pPr>
        <w:spacing w:line="600" w:lineRule="exact"/>
        <w:ind w:firstLine="640" w:firstLineChars="200"/>
        <w:outlineLvl w:val="1"/>
        <w:rPr>
          <w:rStyle w:val="23"/>
          <w:rFonts w:ascii="黑体" w:hAnsi="黑体" w:eastAsia="黑体"/>
          <w:b w:val="0"/>
        </w:rPr>
      </w:pPr>
      <w:bookmarkStart w:id="51" w:name="_Toc15377208"/>
      <w:bookmarkStart w:id="52" w:name="_Toc79163863"/>
      <w:bookmarkStart w:id="53" w:name="_Toc15396606"/>
      <w:bookmarkStart w:id="54" w:name="_Toc79163613"/>
      <w:r>
        <w:rPr>
          <w:rFonts w:hint="eastAsia" w:ascii="黑体" w:hAnsi="黑体" w:eastAsia="黑体"/>
          <w:sz w:val="32"/>
          <w:szCs w:val="32"/>
        </w:rPr>
        <w:t>四、财</w:t>
      </w:r>
      <w:r>
        <w:rPr>
          <w:rStyle w:val="23"/>
          <w:rFonts w:hint="eastAsia" w:ascii="黑体" w:hAnsi="黑体" w:eastAsia="黑体"/>
          <w:b w:val="0"/>
        </w:rPr>
        <w:t>政拨款收入支出决算总体情况说明</w:t>
      </w:r>
      <w:bookmarkEnd w:id="51"/>
      <w:bookmarkEnd w:id="52"/>
      <w:bookmarkEnd w:id="53"/>
      <w:bookmarkEnd w:id="54"/>
    </w:p>
    <w:p w14:paraId="778D3A4B">
      <w:pPr>
        <w:spacing w:line="600" w:lineRule="exact"/>
        <w:ind w:firstLine="640" w:firstLineChars="200"/>
        <w:jc w:val="left"/>
        <w:rPr>
          <w:rFonts w:ascii="仿宋_GB2312" w:eastAsia="仿宋_GB2312"/>
          <w:sz w:val="32"/>
          <w:szCs w:val="32"/>
        </w:rPr>
      </w:pPr>
      <w:r>
        <w:rPr>
          <w:rFonts w:ascii="仿宋" w:hAnsi="仿宋" w:eastAsia="仿宋"/>
          <w:sz w:val="32"/>
          <w:szCs w:val="32"/>
        </w:rPr>
        <w:t>2020</w:t>
      </w:r>
      <w:r>
        <w:rPr>
          <w:rFonts w:hint="eastAsia" w:ascii="仿宋" w:hAnsi="仿宋" w:eastAsia="仿宋"/>
          <w:sz w:val="32"/>
          <w:szCs w:val="32"/>
        </w:rPr>
        <w:t>年财政拨款收、支总计229.79万元。与</w:t>
      </w:r>
      <w:r>
        <w:rPr>
          <w:rFonts w:ascii="仿宋" w:hAnsi="仿宋" w:eastAsia="仿宋"/>
          <w:sz w:val="32"/>
          <w:szCs w:val="32"/>
        </w:rPr>
        <w:t>2019</w:t>
      </w:r>
      <w:r>
        <w:rPr>
          <w:rFonts w:hint="eastAsia" w:ascii="仿宋" w:hAnsi="仿宋" w:eastAsia="仿宋"/>
          <w:sz w:val="32"/>
          <w:szCs w:val="32"/>
        </w:rPr>
        <w:t>年相比，财政拨款收、支总计各减少19.26万元，下降4.88</w:t>
      </w:r>
      <w:r>
        <w:rPr>
          <w:rFonts w:ascii="仿宋" w:hAnsi="仿宋" w:eastAsia="仿宋"/>
          <w:sz w:val="32"/>
          <w:szCs w:val="32"/>
        </w:rPr>
        <w:t>%</w:t>
      </w:r>
      <w:r>
        <w:rPr>
          <w:rFonts w:hint="eastAsia" w:ascii="仿宋" w:hAnsi="仿宋" w:eastAsia="仿宋"/>
          <w:sz w:val="32"/>
          <w:szCs w:val="32"/>
        </w:rPr>
        <w:t>。主要变动原因是项目减少。</w:t>
      </w:r>
    </w:p>
    <w:p w14:paraId="00024EDA">
      <w:pPr>
        <w:spacing w:line="600" w:lineRule="exact"/>
        <w:rPr>
          <w:rFonts w:ascii="仿宋" w:hAnsi="仿宋" w:eastAsia="仿宋"/>
          <w:b/>
          <w:sz w:val="32"/>
          <w:szCs w:val="32"/>
        </w:rPr>
      </w:pPr>
    </w:p>
    <w:p w14:paraId="7397C18E">
      <w:pPr>
        <w:spacing w:line="600" w:lineRule="exact"/>
        <w:ind w:firstLine="640" w:firstLineChars="200"/>
        <w:outlineLvl w:val="1"/>
        <w:rPr>
          <w:rStyle w:val="23"/>
          <w:rFonts w:ascii="黑体" w:hAnsi="黑体" w:eastAsia="黑体"/>
          <w:b w:val="0"/>
        </w:rPr>
      </w:pPr>
      <w:bookmarkStart w:id="55" w:name="_Toc79163614"/>
      <w:bookmarkStart w:id="56" w:name="_Toc15396607"/>
      <w:bookmarkStart w:id="57" w:name="_Toc79163864"/>
      <w:bookmarkStart w:id="58" w:name="_Toc15377209"/>
      <w:r>
        <w:rPr>
          <w:rFonts w:hint="eastAsia" w:ascii="黑体" w:hAnsi="黑体" w:eastAsia="黑体"/>
          <w:sz w:val="32"/>
          <w:szCs w:val="32"/>
        </w:rPr>
        <w:t>五、</w:t>
      </w:r>
      <w:r>
        <w:rPr>
          <w:rFonts w:hint="eastAsia" w:ascii="黑体" w:hAnsi="黑体" w:eastAsia="黑体"/>
          <w:b/>
          <w:sz w:val="32"/>
          <w:szCs w:val="32"/>
        </w:rPr>
        <w:t>一</w:t>
      </w:r>
      <w:r>
        <w:rPr>
          <w:rStyle w:val="23"/>
          <w:rFonts w:hint="eastAsia" w:ascii="黑体" w:hAnsi="黑体" w:eastAsia="黑体"/>
          <w:b w:val="0"/>
        </w:rPr>
        <w:t>般公共预算财政拨款支出决算情况说明</w:t>
      </w:r>
      <w:bookmarkEnd w:id="55"/>
      <w:bookmarkEnd w:id="56"/>
      <w:bookmarkEnd w:id="57"/>
      <w:bookmarkEnd w:id="58"/>
    </w:p>
    <w:p w14:paraId="1FE965EA">
      <w:pPr>
        <w:spacing w:line="600" w:lineRule="exact"/>
        <w:ind w:firstLine="643" w:firstLineChars="200"/>
        <w:outlineLvl w:val="2"/>
        <w:rPr>
          <w:rFonts w:ascii="仿宋" w:hAnsi="仿宋" w:eastAsia="仿宋"/>
          <w:b/>
          <w:sz w:val="32"/>
          <w:szCs w:val="32"/>
        </w:rPr>
      </w:pPr>
      <w:bookmarkStart w:id="59" w:name="_Toc15377210"/>
      <w:bookmarkStart w:id="60" w:name="_Toc79163615"/>
      <w:bookmarkStart w:id="61" w:name="_Toc79163865"/>
      <w:r>
        <w:rPr>
          <w:rFonts w:hint="eastAsia" w:ascii="仿宋" w:hAnsi="仿宋" w:eastAsia="仿宋"/>
          <w:b/>
          <w:sz w:val="32"/>
          <w:szCs w:val="32"/>
        </w:rPr>
        <w:t>（一）一般公共预算财政拨款支出决算总体情况</w:t>
      </w:r>
      <w:bookmarkEnd w:id="59"/>
      <w:bookmarkEnd w:id="60"/>
      <w:bookmarkEnd w:id="61"/>
    </w:p>
    <w:p w14:paraId="57F7970D">
      <w:pPr>
        <w:spacing w:line="600" w:lineRule="exact"/>
        <w:ind w:firstLine="640" w:firstLineChars="200"/>
        <w:rPr>
          <w:rFonts w:ascii="仿宋" w:hAnsi="仿宋" w:eastAsia="仿宋"/>
          <w:sz w:val="32"/>
          <w:szCs w:val="32"/>
        </w:rPr>
      </w:pPr>
      <w:r>
        <w:rPr>
          <w:rFonts w:ascii="仿宋" w:hAnsi="仿宋" w:eastAsia="仿宋"/>
          <w:sz w:val="32"/>
          <w:szCs w:val="32"/>
        </w:rPr>
        <w:t>2020</w:t>
      </w:r>
      <w:r>
        <w:rPr>
          <w:rFonts w:hint="eastAsia" w:ascii="仿宋" w:hAnsi="仿宋" w:eastAsia="仿宋"/>
          <w:sz w:val="32"/>
          <w:szCs w:val="32"/>
        </w:rPr>
        <w:t>年一般公共预算财政拨款支出193.32万元，占本年支出合计的84</w:t>
      </w:r>
      <w:r>
        <w:rPr>
          <w:rFonts w:ascii="仿宋" w:hAnsi="仿宋" w:eastAsia="仿宋"/>
          <w:sz w:val="32"/>
          <w:szCs w:val="32"/>
        </w:rPr>
        <w:t>%</w:t>
      </w:r>
      <w:r>
        <w:rPr>
          <w:rFonts w:hint="eastAsia" w:ascii="仿宋" w:hAnsi="仿宋" w:eastAsia="仿宋"/>
          <w:sz w:val="32"/>
          <w:szCs w:val="32"/>
        </w:rPr>
        <w:t>。与</w:t>
      </w:r>
      <w:r>
        <w:rPr>
          <w:rFonts w:ascii="仿宋" w:hAnsi="仿宋" w:eastAsia="仿宋"/>
          <w:sz w:val="32"/>
          <w:szCs w:val="32"/>
        </w:rPr>
        <w:t>2019</w:t>
      </w:r>
      <w:r>
        <w:rPr>
          <w:rFonts w:hint="eastAsia" w:ascii="仿宋" w:hAnsi="仿宋" w:eastAsia="仿宋"/>
          <w:sz w:val="32"/>
          <w:szCs w:val="32"/>
        </w:rPr>
        <w:t>年相比，一般公共预算财政拨款减少19.52万元，增下降9</w:t>
      </w:r>
      <w:r>
        <w:rPr>
          <w:rFonts w:ascii="仿宋" w:hAnsi="仿宋" w:eastAsia="仿宋"/>
          <w:sz w:val="32"/>
          <w:szCs w:val="32"/>
        </w:rPr>
        <w:t>%</w:t>
      </w:r>
      <w:r>
        <w:rPr>
          <w:rFonts w:hint="eastAsia" w:ascii="仿宋" w:hAnsi="仿宋" w:eastAsia="仿宋"/>
          <w:sz w:val="32"/>
          <w:szCs w:val="32"/>
        </w:rPr>
        <w:t>。主要变动原因是项目减少。</w:t>
      </w:r>
    </w:p>
    <w:p w14:paraId="506AADC8">
      <w:pPr>
        <w:spacing w:line="600" w:lineRule="exact"/>
        <w:ind w:firstLine="643" w:firstLineChars="200"/>
        <w:outlineLvl w:val="2"/>
        <w:rPr>
          <w:rFonts w:ascii="仿宋" w:hAnsi="仿宋" w:eastAsia="仿宋"/>
          <w:b/>
          <w:sz w:val="32"/>
          <w:szCs w:val="32"/>
        </w:rPr>
      </w:pPr>
      <w:bookmarkStart w:id="62" w:name="_Toc15377211"/>
      <w:bookmarkStart w:id="63" w:name="_Toc79163616"/>
      <w:bookmarkStart w:id="64" w:name="_Toc79163866"/>
      <w:r>
        <w:rPr>
          <w:rFonts w:hint="eastAsia" w:ascii="仿宋" w:hAnsi="仿宋" w:eastAsia="仿宋"/>
          <w:b/>
          <w:sz w:val="32"/>
          <w:szCs w:val="32"/>
        </w:rPr>
        <w:t>（二）一般公共预算财政拨款支出决算结构情况</w:t>
      </w:r>
      <w:bookmarkEnd w:id="62"/>
      <w:bookmarkEnd w:id="63"/>
      <w:bookmarkEnd w:id="64"/>
    </w:p>
    <w:p w14:paraId="2799A641">
      <w:pPr>
        <w:spacing w:line="600" w:lineRule="exact"/>
        <w:ind w:firstLine="640"/>
        <w:rPr>
          <w:rFonts w:ascii="仿宋" w:hAnsi="仿宋" w:eastAsia="仿宋"/>
          <w:b/>
          <w:sz w:val="32"/>
          <w:szCs w:val="32"/>
        </w:rPr>
      </w:pPr>
      <w:r>
        <w:rPr>
          <w:rFonts w:ascii="仿宋" w:hAnsi="仿宋" w:eastAsia="仿宋"/>
          <w:sz w:val="32"/>
          <w:szCs w:val="32"/>
        </w:rPr>
        <w:t>2020</w:t>
      </w:r>
      <w:r>
        <w:rPr>
          <w:rFonts w:hint="eastAsia" w:ascii="仿宋" w:hAnsi="仿宋" w:eastAsia="仿宋"/>
          <w:sz w:val="32"/>
          <w:szCs w:val="32"/>
        </w:rPr>
        <w:t>年一般公共预算财政拨款支出229.79万元，主要用于以下方面</w:t>
      </w:r>
      <w:r>
        <w:rPr>
          <w:rFonts w:hint="eastAsia" w:ascii="仿宋" w:hAnsi="仿宋" w:eastAsia="仿宋"/>
          <w:sz w:val="32"/>
          <w:szCs w:val="32"/>
          <w:lang w:eastAsia="zh-CN"/>
        </w:rPr>
        <w:t>：</w:t>
      </w:r>
      <w:r>
        <w:rPr>
          <w:rFonts w:hint="eastAsia" w:ascii="仿宋" w:hAnsi="仿宋" w:eastAsia="仿宋"/>
          <w:b/>
          <w:sz w:val="32"/>
          <w:szCs w:val="32"/>
        </w:rPr>
        <w:t>一般公共服务（类）</w:t>
      </w:r>
      <w:r>
        <w:rPr>
          <w:rFonts w:hint="eastAsia" w:ascii="仿宋" w:hAnsi="仿宋" w:eastAsia="仿宋"/>
          <w:sz w:val="32"/>
          <w:szCs w:val="32"/>
        </w:rPr>
        <w:t>支出193.32万元，占84</w:t>
      </w:r>
      <w:r>
        <w:rPr>
          <w:rFonts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b/>
          <w:sz w:val="32"/>
          <w:szCs w:val="32"/>
        </w:rPr>
        <w:t>社会保障和就业（类）</w:t>
      </w:r>
      <w:r>
        <w:rPr>
          <w:rFonts w:hint="eastAsia" w:ascii="仿宋" w:hAnsi="仿宋" w:eastAsia="仿宋"/>
          <w:sz w:val="32"/>
          <w:szCs w:val="32"/>
        </w:rPr>
        <w:t>支出19.26万元，占8.5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rPr>
        <w:t>0.99万元，占0.4</w:t>
      </w:r>
      <w:r>
        <w:rPr>
          <w:rFonts w:ascii="仿宋" w:hAnsi="仿宋" w:eastAsia="仿宋"/>
          <w:sz w:val="32"/>
          <w:szCs w:val="32"/>
        </w:rPr>
        <w:t>%</w:t>
      </w:r>
      <w:r>
        <w:rPr>
          <w:rFonts w:hint="eastAsia" w:ascii="仿宋" w:hAnsi="仿宋" w:eastAsia="仿宋"/>
          <w:sz w:val="32"/>
          <w:szCs w:val="32"/>
        </w:rPr>
        <w:t>；住房保障支出16.22万元，占7.5</w:t>
      </w:r>
      <w:r>
        <w:rPr>
          <w:rFonts w:ascii="仿宋" w:hAnsi="仿宋" w:eastAsia="仿宋"/>
          <w:sz w:val="32"/>
          <w:szCs w:val="32"/>
        </w:rPr>
        <w:t>%</w:t>
      </w:r>
      <w:r>
        <w:rPr>
          <w:rFonts w:hint="eastAsia" w:ascii="仿宋" w:hAnsi="仿宋" w:eastAsia="仿宋"/>
          <w:sz w:val="32"/>
          <w:szCs w:val="32"/>
          <w:lang w:eastAsia="zh-CN"/>
        </w:rPr>
        <w:t>；</w:t>
      </w:r>
    </w:p>
    <w:p w14:paraId="4C8BC1DC">
      <w:pPr>
        <w:spacing w:line="600" w:lineRule="exact"/>
        <w:ind w:firstLine="640"/>
        <w:rPr>
          <w:rFonts w:ascii="仿宋" w:hAnsi="仿宋" w:eastAsia="仿宋"/>
          <w:sz w:val="32"/>
          <w:szCs w:val="32"/>
        </w:rPr>
      </w:pPr>
    </w:p>
    <w:p w14:paraId="2899023E">
      <w:pPr>
        <w:spacing w:line="600" w:lineRule="exact"/>
        <w:ind w:firstLine="643" w:firstLineChars="200"/>
        <w:outlineLvl w:val="2"/>
        <w:rPr>
          <w:rFonts w:ascii="仿宋" w:hAnsi="仿宋" w:eastAsia="仿宋"/>
          <w:b/>
          <w:sz w:val="32"/>
          <w:szCs w:val="32"/>
        </w:rPr>
      </w:pPr>
      <w:bookmarkStart w:id="65" w:name="_Toc79163617"/>
      <w:bookmarkStart w:id="66" w:name="_Toc15377212"/>
      <w:bookmarkStart w:id="67" w:name="_Toc79163867"/>
      <w:r>
        <w:rPr>
          <w:rFonts w:hint="eastAsia" w:ascii="仿宋" w:hAnsi="仿宋" w:eastAsia="仿宋"/>
          <w:b/>
          <w:sz w:val="32"/>
          <w:szCs w:val="32"/>
        </w:rPr>
        <w:t>（三）一般公共预算财政拨款支出决算具体情况</w:t>
      </w:r>
      <w:bookmarkEnd w:id="65"/>
      <w:bookmarkEnd w:id="66"/>
      <w:bookmarkEnd w:id="67"/>
    </w:p>
    <w:p w14:paraId="10F7DEE4">
      <w:pPr>
        <w:spacing w:line="600" w:lineRule="exact"/>
        <w:ind w:firstLine="643" w:firstLineChars="200"/>
        <w:rPr>
          <w:rFonts w:ascii="仿宋_GB2312" w:eastAsia="仿宋_GB2312"/>
          <w:b/>
          <w:bCs/>
          <w:sz w:val="32"/>
          <w:szCs w:val="32"/>
        </w:rPr>
      </w:pPr>
      <w:bookmarkStart w:id="68" w:name="_Toc15378460"/>
      <w:bookmarkStart w:id="69" w:name="_Toc15377213"/>
      <w:bookmarkStart w:id="70" w:name="_Toc15377444"/>
      <w:r>
        <w:rPr>
          <w:rFonts w:ascii="仿宋_GB2312" w:eastAsia="仿宋_GB2312"/>
          <w:b/>
          <w:bCs/>
          <w:sz w:val="32"/>
          <w:szCs w:val="32"/>
        </w:rPr>
        <w:t>2020</w:t>
      </w:r>
      <w:r>
        <w:rPr>
          <w:rFonts w:hint="eastAsia" w:ascii="仿宋_GB2312" w:eastAsia="仿宋_GB2312"/>
          <w:b/>
          <w:bCs/>
          <w:sz w:val="32"/>
          <w:szCs w:val="32"/>
        </w:rPr>
        <w:t>年一般公共预算支出决算数为229.79，完成预算100</w:t>
      </w:r>
      <w:r>
        <w:rPr>
          <w:rFonts w:ascii="仿宋_GB2312" w:eastAsia="仿宋_GB2312"/>
          <w:b/>
          <w:bCs/>
          <w:sz w:val="32"/>
          <w:szCs w:val="32"/>
        </w:rPr>
        <w:t>%</w:t>
      </w:r>
      <w:r>
        <w:rPr>
          <w:rFonts w:hint="eastAsia" w:ascii="仿宋_GB2312" w:eastAsia="仿宋_GB2312"/>
          <w:b/>
          <w:bCs/>
          <w:sz w:val="32"/>
          <w:szCs w:val="32"/>
        </w:rPr>
        <w:t>。其中：</w:t>
      </w:r>
      <w:bookmarkEnd w:id="68"/>
      <w:bookmarkEnd w:id="69"/>
      <w:bookmarkEnd w:id="70"/>
    </w:p>
    <w:p w14:paraId="0E39AC99">
      <w:pPr>
        <w:numPr>
          <w:ilvl w:val="0"/>
          <w:numId w:val="2"/>
        </w:numPr>
        <w:spacing w:line="600" w:lineRule="exact"/>
        <w:ind w:firstLine="643" w:firstLineChars="200"/>
        <w:rPr>
          <w:rStyle w:val="20"/>
          <w:rFonts w:hint="eastAsia" w:ascii="仿宋" w:hAnsi="仿宋" w:eastAsia="仿宋"/>
          <w:b w:val="0"/>
          <w:bCs/>
          <w:sz w:val="32"/>
          <w:szCs w:val="32"/>
          <w:lang w:eastAsia="zh-CN"/>
        </w:rPr>
      </w:pPr>
      <w:r>
        <w:rPr>
          <w:rStyle w:val="20"/>
          <w:rFonts w:hint="eastAsia" w:ascii="仿宋" w:hAnsi="仿宋" w:eastAsia="仿宋"/>
          <w:bCs/>
          <w:sz w:val="32"/>
          <w:szCs w:val="32"/>
        </w:rPr>
        <w:t>一般公共服务（类）</w:t>
      </w:r>
      <w:r>
        <w:rPr>
          <w:rStyle w:val="20"/>
          <w:rFonts w:ascii="仿宋" w:hAnsi="仿宋" w:eastAsia="仿宋"/>
          <w:bCs/>
          <w:sz w:val="32"/>
          <w:szCs w:val="32"/>
        </w:rPr>
        <w:t>***</w:t>
      </w:r>
      <w:r>
        <w:rPr>
          <w:rStyle w:val="20"/>
          <w:rFonts w:hint="eastAsia" w:ascii="仿宋" w:hAnsi="仿宋" w:eastAsia="仿宋"/>
          <w:bCs/>
          <w:sz w:val="32"/>
          <w:szCs w:val="32"/>
        </w:rPr>
        <w:t>（款）</w:t>
      </w:r>
      <w:r>
        <w:rPr>
          <w:rStyle w:val="20"/>
          <w:rFonts w:ascii="仿宋" w:hAnsi="仿宋" w:eastAsia="仿宋"/>
          <w:bCs/>
          <w:sz w:val="32"/>
          <w:szCs w:val="32"/>
        </w:rPr>
        <w:t>***</w:t>
      </w:r>
      <w:r>
        <w:rPr>
          <w:rStyle w:val="20"/>
          <w:rFonts w:hint="eastAsia" w:ascii="仿宋" w:hAnsi="仿宋" w:eastAsia="仿宋"/>
          <w:bCs/>
          <w:sz w:val="32"/>
          <w:szCs w:val="32"/>
        </w:rPr>
        <w:t>（项）</w:t>
      </w:r>
      <w:r>
        <w:rPr>
          <w:rStyle w:val="20"/>
          <w:rFonts w:hint="eastAsia" w:ascii="仿宋" w:hAnsi="仿宋" w:eastAsia="仿宋"/>
          <w:bCs/>
          <w:sz w:val="32"/>
          <w:szCs w:val="32"/>
          <w:lang w:eastAsia="zh-CN"/>
        </w:rPr>
        <w:t>：</w:t>
      </w:r>
      <w:r>
        <w:rPr>
          <w:rStyle w:val="20"/>
          <w:rFonts w:ascii="仿宋" w:hAnsi="仿宋" w:eastAsia="仿宋"/>
          <w:b w:val="0"/>
          <w:bCs/>
          <w:sz w:val="32"/>
          <w:szCs w:val="32"/>
        </w:rPr>
        <w:t xml:space="preserve"> </w:t>
      </w:r>
      <w:r>
        <w:rPr>
          <w:rStyle w:val="20"/>
          <w:rFonts w:hint="eastAsia" w:ascii="仿宋" w:hAnsi="仿宋" w:eastAsia="仿宋"/>
          <w:b w:val="0"/>
          <w:bCs/>
          <w:sz w:val="32"/>
          <w:szCs w:val="32"/>
        </w:rPr>
        <w:t>支出决算为193.32万元，完成预算100</w:t>
      </w:r>
      <w:r>
        <w:rPr>
          <w:rStyle w:val="20"/>
          <w:rFonts w:ascii="仿宋" w:hAnsi="仿宋" w:eastAsia="仿宋"/>
          <w:b w:val="0"/>
          <w:bCs/>
          <w:sz w:val="32"/>
          <w:szCs w:val="32"/>
        </w:rPr>
        <w:t>%</w:t>
      </w:r>
      <w:r>
        <w:rPr>
          <w:rStyle w:val="20"/>
          <w:rFonts w:hint="eastAsia" w:ascii="仿宋" w:hAnsi="仿宋" w:eastAsia="仿宋"/>
          <w:b w:val="0"/>
          <w:bCs/>
          <w:sz w:val="32"/>
          <w:szCs w:val="32"/>
          <w:lang w:eastAsia="zh-CN"/>
        </w:rPr>
        <w:t>。</w:t>
      </w:r>
    </w:p>
    <w:p w14:paraId="63ECB220">
      <w:pPr>
        <w:numPr>
          <w:ilvl w:val="0"/>
          <w:numId w:val="2"/>
        </w:numPr>
        <w:spacing w:line="600" w:lineRule="exact"/>
        <w:ind w:firstLine="643" w:firstLineChars="200"/>
        <w:rPr>
          <w:rFonts w:ascii="仿宋" w:hAnsi="仿宋" w:eastAsia="仿宋"/>
          <w:b/>
          <w:sz w:val="32"/>
          <w:szCs w:val="32"/>
        </w:rPr>
      </w:pPr>
      <w:r>
        <w:rPr>
          <w:rStyle w:val="20"/>
          <w:rFonts w:hint="eastAsia" w:ascii="仿宋" w:hAnsi="仿宋" w:eastAsia="仿宋"/>
          <w:bCs/>
          <w:sz w:val="32"/>
          <w:szCs w:val="32"/>
        </w:rPr>
        <w:t>社会保障和就业（类）</w:t>
      </w:r>
      <w:r>
        <w:rPr>
          <w:rStyle w:val="20"/>
          <w:rFonts w:ascii="仿宋" w:hAnsi="仿宋" w:eastAsia="仿宋"/>
          <w:bCs/>
          <w:sz w:val="32"/>
          <w:szCs w:val="32"/>
        </w:rPr>
        <w:t>***</w:t>
      </w:r>
      <w:r>
        <w:rPr>
          <w:rStyle w:val="20"/>
          <w:rFonts w:hint="eastAsia" w:ascii="仿宋" w:hAnsi="仿宋" w:eastAsia="仿宋"/>
          <w:bCs/>
          <w:sz w:val="32"/>
          <w:szCs w:val="32"/>
        </w:rPr>
        <w:t>（款）</w:t>
      </w:r>
      <w:r>
        <w:rPr>
          <w:rStyle w:val="20"/>
          <w:rFonts w:ascii="仿宋" w:hAnsi="仿宋" w:eastAsia="仿宋"/>
          <w:bCs/>
          <w:sz w:val="32"/>
          <w:szCs w:val="32"/>
        </w:rPr>
        <w:t>***</w:t>
      </w:r>
      <w:r>
        <w:rPr>
          <w:rStyle w:val="20"/>
          <w:rFonts w:hint="eastAsia" w:ascii="仿宋" w:hAnsi="仿宋" w:eastAsia="仿宋"/>
          <w:bCs/>
          <w:sz w:val="32"/>
          <w:szCs w:val="32"/>
        </w:rPr>
        <w:t>（项）</w:t>
      </w:r>
      <w:r>
        <w:rPr>
          <w:rStyle w:val="20"/>
          <w:rFonts w:hint="eastAsia" w:ascii="仿宋" w:hAnsi="仿宋" w:eastAsia="仿宋"/>
          <w:bCs/>
          <w:sz w:val="32"/>
          <w:szCs w:val="32"/>
          <w:lang w:eastAsia="zh-CN"/>
        </w:rPr>
        <w:t>：</w:t>
      </w:r>
      <w:r>
        <w:rPr>
          <w:rStyle w:val="20"/>
          <w:rFonts w:ascii="仿宋" w:hAnsi="仿宋" w:eastAsia="仿宋"/>
          <w:b w:val="0"/>
          <w:bCs/>
          <w:sz w:val="32"/>
          <w:szCs w:val="32"/>
        </w:rPr>
        <w:t xml:space="preserve"> </w:t>
      </w:r>
      <w:r>
        <w:rPr>
          <w:rStyle w:val="20"/>
          <w:rFonts w:hint="eastAsia" w:ascii="仿宋" w:hAnsi="仿宋" w:eastAsia="仿宋"/>
          <w:b w:val="0"/>
          <w:bCs/>
          <w:sz w:val="32"/>
          <w:szCs w:val="32"/>
        </w:rPr>
        <w:t>支出决算为19.26万元，完成预算100</w:t>
      </w:r>
      <w:r>
        <w:rPr>
          <w:rStyle w:val="20"/>
          <w:rFonts w:ascii="仿宋" w:hAnsi="仿宋" w:eastAsia="仿宋"/>
          <w:b w:val="0"/>
          <w:bCs/>
          <w:sz w:val="32"/>
          <w:szCs w:val="32"/>
        </w:rPr>
        <w:t>%</w:t>
      </w:r>
      <w:r>
        <w:rPr>
          <w:rStyle w:val="20"/>
          <w:rFonts w:hint="eastAsia" w:ascii="仿宋" w:hAnsi="仿宋" w:eastAsia="仿宋"/>
          <w:b w:val="0"/>
          <w:bCs/>
          <w:sz w:val="32"/>
          <w:szCs w:val="32"/>
        </w:rPr>
        <w:t>。</w:t>
      </w:r>
    </w:p>
    <w:p w14:paraId="0A7A6CD7">
      <w:pPr>
        <w:spacing w:line="600" w:lineRule="exact"/>
        <w:ind w:firstLine="643" w:firstLineChars="200"/>
        <w:rPr>
          <w:rFonts w:ascii="仿宋" w:hAnsi="仿宋" w:eastAsia="仿宋"/>
          <w:b/>
          <w:sz w:val="32"/>
          <w:szCs w:val="32"/>
        </w:rPr>
      </w:pPr>
      <w:r>
        <w:rPr>
          <w:rStyle w:val="20"/>
          <w:rFonts w:hint="eastAsia" w:ascii="仿宋" w:hAnsi="仿宋" w:eastAsia="仿宋"/>
          <w:bCs/>
          <w:sz w:val="32"/>
          <w:szCs w:val="32"/>
          <w:lang w:val="en-US" w:eastAsia="zh-CN"/>
        </w:rPr>
        <w:t>3.</w:t>
      </w:r>
      <w:r>
        <w:rPr>
          <w:rFonts w:hint="eastAsia" w:ascii="仿宋" w:hAnsi="仿宋" w:eastAsia="仿宋"/>
          <w:b/>
          <w:bCs/>
          <w:sz w:val="32"/>
          <w:szCs w:val="32"/>
        </w:rPr>
        <w:t>卫生健康</w:t>
      </w:r>
      <w:r>
        <w:rPr>
          <w:rStyle w:val="20"/>
          <w:rFonts w:hint="eastAsia" w:ascii="仿宋" w:hAnsi="仿宋" w:eastAsia="仿宋"/>
          <w:bCs/>
          <w:sz w:val="32"/>
          <w:szCs w:val="32"/>
        </w:rPr>
        <w:t>（类）</w:t>
      </w:r>
      <w:r>
        <w:rPr>
          <w:rStyle w:val="20"/>
          <w:rFonts w:ascii="仿宋" w:hAnsi="仿宋" w:eastAsia="仿宋"/>
          <w:bCs/>
          <w:sz w:val="32"/>
          <w:szCs w:val="32"/>
        </w:rPr>
        <w:t>***</w:t>
      </w:r>
      <w:r>
        <w:rPr>
          <w:rStyle w:val="20"/>
          <w:rFonts w:hint="eastAsia" w:ascii="仿宋" w:hAnsi="仿宋" w:eastAsia="仿宋"/>
          <w:bCs/>
          <w:sz w:val="32"/>
          <w:szCs w:val="32"/>
        </w:rPr>
        <w:t>（款）</w:t>
      </w:r>
      <w:r>
        <w:rPr>
          <w:rStyle w:val="20"/>
          <w:rFonts w:ascii="仿宋" w:hAnsi="仿宋" w:eastAsia="仿宋"/>
          <w:bCs/>
          <w:sz w:val="32"/>
          <w:szCs w:val="32"/>
        </w:rPr>
        <w:t>***</w:t>
      </w:r>
      <w:r>
        <w:rPr>
          <w:rStyle w:val="20"/>
          <w:rFonts w:hint="eastAsia" w:ascii="仿宋" w:hAnsi="仿宋" w:eastAsia="仿宋"/>
          <w:bCs/>
          <w:sz w:val="32"/>
          <w:szCs w:val="32"/>
        </w:rPr>
        <w:t>（项）</w:t>
      </w:r>
      <w:r>
        <w:rPr>
          <w:rStyle w:val="20"/>
          <w:rFonts w:hint="eastAsia" w:ascii="仿宋" w:hAnsi="仿宋" w:eastAsia="仿宋"/>
          <w:bCs/>
          <w:sz w:val="32"/>
          <w:szCs w:val="32"/>
          <w:lang w:eastAsia="zh-CN"/>
        </w:rPr>
        <w:t>：</w:t>
      </w:r>
      <w:r>
        <w:rPr>
          <w:rStyle w:val="20"/>
          <w:rFonts w:hint="eastAsia" w:ascii="仿宋" w:hAnsi="仿宋" w:eastAsia="仿宋"/>
          <w:b w:val="0"/>
          <w:bCs/>
          <w:sz w:val="32"/>
          <w:szCs w:val="32"/>
        </w:rPr>
        <w:t>支出决算为0.99万元，完成预算100</w:t>
      </w:r>
      <w:r>
        <w:rPr>
          <w:rStyle w:val="20"/>
          <w:rFonts w:ascii="仿宋" w:hAnsi="仿宋" w:eastAsia="仿宋"/>
          <w:b w:val="0"/>
          <w:bCs/>
          <w:sz w:val="32"/>
          <w:szCs w:val="32"/>
        </w:rPr>
        <w:t>%</w:t>
      </w:r>
      <w:r>
        <w:rPr>
          <w:rStyle w:val="20"/>
          <w:rFonts w:hint="eastAsia" w:ascii="仿宋" w:hAnsi="仿宋" w:eastAsia="仿宋"/>
          <w:b w:val="0"/>
          <w:bCs/>
          <w:sz w:val="32"/>
          <w:szCs w:val="32"/>
        </w:rPr>
        <w:t>。</w:t>
      </w:r>
    </w:p>
    <w:p w14:paraId="15AE2736">
      <w:pPr>
        <w:tabs>
          <w:tab w:val="right" w:pos="8306"/>
        </w:tabs>
        <w:spacing w:line="600" w:lineRule="exact"/>
        <w:ind w:firstLine="640"/>
        <w:outlineLvl w:val="1"/>
        <w:rPr>
          <w:rStyle w:val="23"/>
        </w:rPr>
      </w:pPr>
      <w:bookmarkStart w:id="71" w:name="_Toc15377214"/>
      <w:bookmarkStart w:id="72" w:name="_Toc15396608"/>
      <w:bookmarkStart w:id="73" w:name="_Toc79163868"/>
      <w:bookmarkStart w:id="74" w:name="_Toc7916361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3"/>
          <w:rFonts w:hint="eastAsia" w:ascii="黑体" w:hAnsi="黑体" w:eastAsia="黑体"/>
          <w:b w:val="0"/>
        </w:rPr>
        <w:t>般公共预算财政拨款基本支出决算情况说明</w:t>
      </w:r>
      <w:bookmarkEnd w:id="71"/>
      <w:bookmarkEnd w:id="72"/>
      <w:bookmarkEnd w:id="73"/>
      <w:bookmarkEnd w:id="74"/>
      <w:r>
        <w:rPr>
          <w:rStyle w:val="23"/>
          <w:rFonts w:ascii="黑体" w:hAnsi="黑体" w:eastAsia="黑体"/>
          <w:b w:val="0"/>
        </w:rPr>
        <w:tab/>
      </w:r>
    </w:p>
    <w:p w14:paraId="5522F172">
      <w:pPr>
        <w:spacing w:line="600" w:lineRule="exact"/>
        <w:ind w:firstLine="645"/>
        <w:rPr>
          <w:rFonts w:ascii="仿宋" w:hAnsi="仿宋" w:eastAsia="仿宋"/>
          <w:sz w:val="32"/>
          <w:szCs w:val="32"/>
        </w:rPr>
      </w:pPr>
      <w:r>
        <w:rPr>
          <w:rFonts w:ascii="仿宋" w:hAnsi="仿宋" w:eastAsia="仿宋"/>
          <w:sz w:val="32"/>
          <w:szCs w:val="32"/>
        </w:rPr>
        <w:t>2020</w:t>
      </w:r>
      <w:r>
        <w:rPr>
          <w:rFonts w:hint="eastAsia" w:ascii="仿宋" w:hAnsi="仿宋" w:eastAsia="仿宋"/>
          <w:sz w:val="32"/>
          <w:szCs w:val="32"/>
        </w:rPr>
        <w:t>年一般公共预算财政拨款基本支出200.22万元，其中：</w:t>
      </w:r>
    </w:p>
    <w:p w14:paraId="38959069">
      <w:pPr>
        <w:spacing w:line="600" w:lineRule="exact"/>
        <w:ind w:firstLine="645"/>
        <w:rPr>
          <w:rFonts w:ascii="仿宋" w:hAnsi="仿宋" w:eastAsia="仿宋"/>
          <w:sz w:val="32"/>
          <w:szCs w:val="32"/>
        </w:rPr>
      </w:pPr>
      <w:r>
        <w:rPr>
          <w:rFonts w:hint="eastAsia" w:ascii="仿宋" w:hAnsi="仿宋" w:eastAsia="仿宋"/>
          <w:sz w:val="32"/>
          <w:szCs w:val="32"/>
        </w:rPr>
        <w:t>人员经费176.97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日常公用经费23.25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5CD1D87F">
      <w:pPr>
        <w:spacing w:line="600" w:lineRule="exact"/>
        <w:ind w:firstLine="640"/>
        <w:outlineLvl w:val="1"/>
        <w:rPr>
          <w:rStyle w:val="23"/>
          <w:rFonts w:ascii="黑体" w:hAnsi="黑体" w:eastAsia="黑体"/>
          <w:b w:val="0"/>
        </w:rPr>
      </w:pPr>
      <w:bookmarkStart w:id="75" w:name="_Toc15377215"/>
      <w:bookmarkStart w:id="76" w:name="_Toc79163619"/>
      <w:bookmarkStart w:id="77" w:name="_Toc79163869"/>
      <w:bookmarkStart w:id="78" w:name="_Toc15396609"/>
      <w:r>
        <w:rPr>
          <w:rFonts w:hint="eastAsia" w:ascii="黑体" w:eastAsia="黑体"/>
          <w:sz w:val="32"/>
          <w:szCs w:val="32"/>
        </w:rPr>
        <w:t>七、</w:t>
      </w:r>
      <w:r>
        <w:rPr>
          <w:rStyle w:val="23"/>
          <w:rFonts w:hint="eastAsia" w:ascii="黑体" w:hAnsi="黑体" w:eastAsia="黑体"/>
        </w:rPr>
        <w:t>“</w:t>
      </w:r>
      <w:r>
        <w:rPr>
          <w:rStyle w:val="23"/>
          <w:rFonts w:hint="eastAsia" w:ascii="黑体" w:hAnsi="黑体" w:eastAsia="黑体"/>
          <w:b w:val="0"/>
        </w:rPr>
        <w:t>三公”经费财政拨款支出决算情况说明</w:t>
      </w:r>
      <w:bookmarkEnd w:id="75"/>
      <w:bookmarkEnd w:id="76"/>
      <w:bookmarkEnd w:id="77"/>
      <w:bookmarkEnd w:id="78"/>
    </w:p>
    <w:p w14:paraId="796B5D7F">
      <w:pPr>
        <w:spacing w:line="600" w:lineRule="exact"/>
        <w:ind w:firstLine="640"/>
        <w:outlineLvl w:val="2"/>
        <w:rPr>
          <w:rFonts w:ascii="仿宋" w:hAnsi="仿宋" w:eastAsia="仿宋"/>
          <w:b/>
          <w:sz w:val="32"/>
          <w:szCs w:val="32"/>
        </w:rPr>
      </w:pPr>
      <w:bookmarkStart w:id="79" w:name="_Toc15377216"/>
      <w:bookmarkStart w:id="80" w:name="_Toc79163620"/>
      <w:bookmarkStart w:id="81" w:name="_Toc79163870"/>
      <w:r>
        <w:rPr>
          <w:rFonts w:hint="eastAsia" w:ascii="仿宋" w:hAnsi="仿宋" w:eastAsia="仿宋"/>
          <w:b/>
          <w:sz w:val="32"/>
          <w:szCs w:val="32"/>
        </w:rPr>
        <w:t>（一）“三公”经费财政拨款支出决算总体情况说明</w:t>
      </w:r>
      <w:bookmarkEnd w:id="79"/>
      <w:bookmarkEnd w:id="80"/>
      <w:bookmarkEnd w:id="81"/>
    </w:p>
    <w:p w14:paraId="26EEB76A">
      <w:pPr>
        <w:spacing w:line="600" w:lineRule="exact"/>
        <w:ind w:firstLine="640"/>
        <w:rPr>
          <w:rFonts w:ascii="仿宋" w:hAnsi="仿宋" w:eastAsia="仿宋"/>
          <w:sz w:val="32"/>
          <w:szCs w:val="32"/>
        </w:rPr>
      </w:pPr>
      <w:r>
        <w:rPr>
          <w:rFonts w:ascii="仿宋" w:hAnsi="仿宋" w:eastAsia="仿宋"/>
          <w:sz w:val="32"/>
          <w:szCs w:val="32"/>
        </w:rPr>
        <w:t>2020</w:t>
      </w:r>
      <w:r>
        <w:rPr>
          <w:rFonts w:hint="eastAsia" w:ascii="仿宋" w:hAnsi="仿宋" w:eastAsia="仿宋"/>
          <w:sz w:val="32"/>
          <w:szCs w:val="32"/>
        </w:rPr>
        <w:t>年“三公”经费财政拨款支出决算为4.854万元，完成预算100</w:t>
      </w:r>
      <w:r>
        <w:rPr>
          <w:rFonts w:ascii="仿宋" w:hAnsi="仿宋" w:eastAsia="仿宋"/>
          <w:sz w:val="32"/>
          <w:szCs w:val="32"/>
        </w:rPr>
        <w:t>%</w:t>
      </w:r>
      <w:r>
        <w:rPr>
          <w:rFonts w:hint="eastAsia" w:ascii="仿宋" w:hAnsi="仿宋" w:eastAsia="仿宋"/>
          <w:sz w:val="32"/>
          <w:szCs w:val="32"/>
        </w:rPr>
        <w:t>，决算数小于预算数（或与预算数持平）的主要原因是……。</w:t>
      </w:r>
    </w:p>
    <w:p w14:paraId="2EFF351A">
      <w:pPr>
        <w:spacing w:line="600" w:lineRule="exact"/>
        <w:ind w:firstLine="640"/>
        <w:rPr>
          <w:rFonts w:ascii="仿宋" w:hAnsi="仿宋" w:eastAsia="仿宋"/>
          <w:b/>
          <w:sz w:val="32"/>
          <w:szCs w:val="32"/>
        </w:rPr>
      </w:pPr>
      <w:r>
        <w:rPr>
          <w:rFonts w:hint="eastAsia" w:ascii="仿宋" w:hAnsi="仿宋" w:eastAsia="仿宋"/>
          <w:b/>
          <w:sz w:val="32"/>
          <w:szCs w:val="32"/>
        </w:rPr>
        <w:t>（注：上述“预算”口径为调整预算数，包括政府性基金支出决算情况。）</w:t>
      </w:r>
    </w:p>
    <w:p w14:paraId="0FA4E6E3">
      <w:pPr>
        <w:spacing w:line="600" w:lineRule="exact"/>
        <w:ind w:firstLine="640"/>
        <w:outlineLvl w:val="2"/>
        <w:rPr>
          <w:rFonts w:ascii="仿宋" w:hAnsi="仿宋" w:eastAsia="仿宋"/>
          <w:b/>
          <w:sz w:val="32"/>
          <w:szCs w:val="32"/>
        </w:rPr>
      </w:pPr>
      <w:bookmarkStart w:id="82" w:name="_Toc79163621"/>
      <w:bookmarkStart w:id="83" w:name="_Toc15377217"/>
      <w:bookmarkStart w:id="84" w:name="_Toc79163871"/>
      <w:r>
        <w:rPr>
          <w:rFonts w:hint="eastAsia" w:ascii="仿宋" w:hAnsi="仿宋" w:eastAsia="仿宋"/>
          <w:b/>
          <w:sz w:val="32"/>
          <w:szCs w:val="32"/>
        </w:rPr>
        <w:t>（二）“三公”经费财政拨款支出决算具体情况说明</w:t>
      </w:r>
      <w:bookmarkEnd w:id="82"/>
      <w:bookmarkEnd w:id="83"/>
      <w:bookmarkEnd w:id="84"/>
    </w:p>
    <w:p w14:paraId="443A4E08">
      <w:pPr>
        <w:spacing w:line="600" w:lineRule="exact"/>
        <w:ind w:firstLine="640"/>
        <w:rPr>
          <w:rFonts w:ascii="仿宋" w:hAnsi="仿宋" w:eastAsia="仿宋"/>
          <w:sz w:val="32"/>
          <w:szCs w:val="32"/>
        </w:rPr>
      </w:pPr>
      <w:r>
        <w:rPr>
          <w:rFonts w:ascii="仿宋" w:hAnsi="仿宋" w:eastAsia="仿宋"/>
          <w:sz w:val="32"/>
          <w:szCs w:val="32"/>
        </w:rPr>
        <w:t>2020</w:t>
      </w:r>
      <w:r>
        <w:rPr>
          <w:rFonts w:hint="eastAsia" w:ascii="仿宋" w:hAnsi="仿宋" w:eastAsia="仿宋"/>
          <w:sz w:val="32"/>
          <w:szCs w:val="32"/>
        </w:rPr>
        <w:t>年“三公”经费财政拨款支出决算中，因公出国（境）费支出决算4.85万元，占100</w:t>
      </w:r>
      <w:r>
        <w:rPr>
          <w:rFonts w:ascii="仿宋" w:hAnsi="仿宋" w:eastAsia="仿宋"/>
          <w:sz w:val="32"/>
          <w:szCs w:val="32"/>
        </w:rPr>
        <w:t>%</w:t>
      </w:r>
      <w:r>
        <w:rPr>
          <w:rFonts w:hint="eastAsia" w:ascii="仿宋" w:hAnsi="仿宋" w:eastAsia="仿宋"/>
          <w:sz w:val="32"/>
          <w:szCs w:val="32"/>
        </w:rPr>
        <w:t>；公务用车购置及运行维护费支出决算4.85万元，占100</w:t>
      </w:r>
      <w:r>
        <w:rPr>
          <w:rFonts w:ascii="仿宋" w:hAnsi="仿宋" w:eastAsia="仿宋"/>
          <w:sz w:val="32"/>
          <w:szCs w:val="32"/>
        </w:rPr>
        <w:t>%</w:t>
      </w:r>
      <w:r>
        <w:rPr>
          <w:rFonts w:hint="eastAsia" w:ascii="仿宋" w:hAnsi="仿宋" w:eastAsia="仿宋"/>
          <w:sz w:val="32"/>
          <w:szCs w:val="32"/>
        </w:rPr>
        <w:t>；公务接待费支出决算0万元，占0</w:t>
      </w:r>
      <w:r>
        <w:rPr>
          <w:rFonts w:ascii="仿宋" w:hAnsi="仿宋" w:eastAsia="仿宋"/>
          <w:sz w:val="32"/>
          <w:szCs w:val="32"/>
        </w:rPr>
        <w:t>%</w:t>
      </w:r>
      <w:r>
        <w:rPr>
          <w:rFonts w:hint="eastAsia" w:ascii="仿宋" w:hAnsi="仿宋" w:eastAsia="仿宋"/>
          <w:sz w:val="32"/>
          <w:szCs w:val="32"/>
        </w:rPr>
        <w:t>。具体情况如下：</w:t>
      </w:r>
    </w:p>
    <w:p w14:paraId="0BD07242">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rPr>
        <w:t>4.85万元</w:t>
      </w:r>
      <w:r>
        <w:rPr>
          <w:rFonts w:hint="eastAsia" w:ascii="仿宋_GB2312" w:eastAsia="仿宋_GB2312"/>
          <w:sz w:val="32"/>
          <w:szCs w:val="32"/>
          <w:lang w:eastAsia="zh-CN"/>
        </w:rPr>
        <w:t>，</w:t>
      </w:r>
      <w:r>
        <w:rPr>
          <w:rStyle w:val="20"/>
          <w:rFonts w:hint="eastAsia" w:ascii="仿宋" w:hAnsi="仿宋" w:eastAsia="仿宋"/>
          <w:b w:val="0"/>
          <w:bCs/>
          <w:sz w:val="32"/>
          <w:szCs w:val="32"/>
        </w:rPr>
        <w:t>完成预算100</w:t>
      </w:r>
      <w:r>
        <w:rPr>
          <w:rStyle w:val="20"/>
          <w:rFonts w:ascii="仿宋" w:hAnsi="仿宋" w:eastAsia="仿宋"/>
          <w:b w:val="0"/>
          <w:bCs/>
          <w:sz w:val="32"/>
          <w:szCs w:val="32"/>
        </w:rPr>
        <w:t>%</w:t>
      </w:r>
      <w:r>
        <w:rPr>
          <w:rStyle w:val="20"/>
          <w:rFonts w:hint="eastAsia" w:ascii="仿宋" w:hAns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201</w:t>
      </w:r>
      <w:r>
        <w:rPr>
          <w:rFonts w:hint="eastAsia" w:ascii="仿宋_GB2312" w:eastAsia="仿宋_GB2312"/>
          <w:sz w:val="32"/>
          <w:szCs w:val="32"/>
        </w:rPr>
        <w:t>9年减少5.61万元，下降46</w:t>
      </w:r>
      <w:r>
        <w:rPr>
          <w:rFonts w:ascii="仿宋_GB2312" w:eastAsia="仿宋_GB2312"/>
          <w:sz w:val="32"/>
          <w:szCs w:val="32"/>
        </w:rPr>
        <w:t>%</w:t>
      </w:r>
      <w:r>
        <w:rPr>
          <w:rFonts w:hint="eastAsia" w:ascii="仿宋_GB2312" w:eastAsia="仿宋_GB2312"/>
          <w:sz w:val="32"/>
          <w:szCs w:val="32"/>
        </w:rPr>
        <w:t>。主要原因是厉行节约。</w:t>
      </w:r>
    </w:p>
    <w:p w14:paraId="56BC1049">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rPr>
        <w:t>0万元。全年按规定更新购置公务用车0辆。截至</w:t>
      </w:r>
      <w:r>
        <w:rPr>
          <w:rFonts w:ascii="仿宋_GB2312" w:eastAsia="仿宋_GB2312"/>
          <w:sz w:val="32"/>
          <w:szCs w:val="32"/>
        </w:rPr>
        <w:t>2020</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月底，单位共有公务用车1辆，其中：越野车1辆。</w:t>
      </w:r>
    </w:p>
    <w:p w14:paraId="07C9B736">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rPr>
        <w:t>4.85万元。主要用于日常工作等所需的公务用车燃料费、维修费、过路过桥费、保险费等支出。</w:t>
      </w:r>
    </w:p>
    <w:p w14:paraId="60863B4D">
      <w:pPr>
        <w:spacing w:line="600" w:lineRule="exact"/>
        <w:ind w:firstLine="640" w:firstLineChars="200"/>
        <w:rPr>
          <w:rFonts w:ascii="仿宋_GB2312" w:eastAsia="仿宋_GB2312"/>
          <w:sz w:val="32"/>
          <w:szCs w:val="32"/>
        </w:rPr>
      </w:pPr>
    </w:p>
    <w:p w14:paraId="189DEB04">
      <w:pPr>
        <w:spacing w:line="600" w:lineRule="exact"/>
        <w:ind w:firstLine="640"/>
        <w:outlineLvl w:val="1"/>
        <w:rPr>
          <w:rStyle w:val="23"/>
          <w:rFonts w:ascii="黑体" w:hAnsi="黑体" w:eastAsia="黑体"/>
        </w:rPr>
      </w:pPr>
      <w:bookmarkStart w:id="85" w:name="_Toc79163622"/>
      <w:bookmarkStart w:id="86" w:name="_Toc15377218"/>
      <w:bookmarkStart w:id="87" w:name="_Toc15396610"/>
      <w:bookmarkStart w:id="88" w:name="_Toc79163872"/>
      <w:r>
        <w:rPr>
          <w:rFonts w:hint="eastAsia" w:ascii="黑体" w:eastAsia="黑体"/>
          <w:sz w:val="32"/>
          <w:szCs w:val="32"/>
        </w:rPr>
        <w:t>八、</w:t>
      </w:r>
      <w:r>
        <w:rPr>
          <w:rStyle w:val="23"/>
          <w:rFonts w:hint="eastAsia" w:ascii="黑体" w:hAnsi="黑体" w:eastAsia="黑体"/>
          <w:b w:val="0"/>
        </w:rPr>
        <w:t>政府性基金预算支出决算情况说明</w:t>
      </w:r>
      <w:bookmarkEnd w:id="85"/>
      <w:bookmarkEnd w:id="86"/>
      <w:bookmarkEnd w:id="87"/>
      <w:bookmarkEnd w:id="88"/>
    </w:p>
    <w:p w14:paraId="7D4DBD75">
      <w:pPr>
        <w:spacing w:line="600" w:lineRule="exact"/>
        <w:ind w:firstLine="64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年政府性基金预算拨款支出0万元。</w:t>
      </w:r>
    </w:p>
    <w:p w14:paraId="2A6A3CDF">
      <w:pPr>
        <w:spacing w:line="600" w:lineRule="exact"/>
        <w:ind w:firstLine="640"/>
        <w:rPr>
          <w:rFonts w:ascii="仿宋_GB2312" w:eastAsia="仿宋_GB2312"/>
          <w:sz w:val="32"/>
          <w:szCs w:val="32"/>
        </w:rPr>
      </w:pPr>
    </w:p>
    <w:p w14:paraId="48AE0B28">
      <w:pPr>
        <w:numPr>
          <w:ilvl w:val="0"/>
          <w:numId w:val="3"/>
        </w:numPr>
        <w:spacing w:line="600" w:lineRule="exact"/>
        <w:ind w:firstLine="640"/>
        <w:outlineLvl w:val="1"/>
        <w:rPr>
          <w:rStyle w:val="23"/>
          <w:rFonts w:ascii="黑体" w:hAnsi="黑体" w:eastAsia="黑体"/>
          <w:b w:val="0"/>
        </w:rPr>
      </w:pPr>
      <w:bookmarkStart w:id="89" w:name="_Toc15377219"/>
      <w:bookmarkStart w:id="90" w:name="_Toc79163873"/>
      <w:bookmarkStart w:id="91" w:name="_Toc79163623"/>
      <w:bookmarkStart w:id="92" w:name="_Toc15396611"/>
      <w:r>
        <w:rPr>
          <w:rStyle w:val="23"/>
          <w:rFonts w:hint="eastAsia" w:ascii="黑体" w:hAnsi="黑体" w:eastAsia="黑体"/>
          <w:b w:val="0"/>
        </w:rPr>
        <w:t>国有资本经营预算支出决算情况说明</w:t>
      </w:r>
      <w:bookmarkEnd w:id="89"/>
      <w:bookmarkEnd w:id="90"/>
      <w:bookmarkEnd w:id="91"/>
      <w:bookmarkEnd w:id="92"/>
    </w:p>
    <w:p w14:paraId="57EED6B2">
      <w:pPr>
        <w:spacing w:line="600" w:lineRule="exact"/>
        <w:ind w:firstLine="64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年国有资本经营预算拨款支出0万元。</w:t>
      </w:r>
    </w:p>
    <w:p w14:paraId="00AF4A5A">
      <w:pPr>
        <w:spacing w:line="580" w:lineRule="exact"/>
        <w:jc w:val="center"/>
        <w:rPr>
          <w:rFonts w:ascii="方正小标宋简体" w:hAnsi="方正小标宋简体" w:eastAsia="方正小标宋简体" w:cs="方正小标宋简体"/>
          <w:sz w:val="44"/>
          <w:szCs w:val="44"/>
        </w:rPr>
      </w:pPr>
    </w:p>
    <w:p w14:paraId="5FC41072">
      <w:pPr>
        <w:spacing w:line="600" w:lineRule="exact"/>
        <w:ind w:firstLine="800" w:firstLineChars="250"/>
        <w:outlineLvl w:val="1"/>
        <w:rPr>
          <w:rStyle w:val="23"/>
          <w:rFonts w:ascii="黑体" w:hAnsi="黑体" w:eastAsia="黑体"/>
        </w:rPr>
      </w:pPr>
      <w:bookmarkStart w:id="93" w:name="_Toc15396612"/>
      <w:bookmarkStart w:id="94" w:name="_Toc15377221"/>
      <w:bookmarkStart w:id="95" w:name="_Toc79163624"/>
      <w:bookmarkStart w:id="96" w:name="_Toc79163874"/>
      <w:r>
        <w:rPr>
          <w:rFonts w:hint="eastAsia" w:ascii="黑体" w:hAnsi="黑体" w:eastAsia="黑体"/>
          <w:sz w:val="32"/>
          <w:szCs w:val="32"/>
        </w:rPr>
        <w:t>十</w:t>
      </w:r>
      <w:r>
        <w:rPr>
          <w:rStyle w:val="23"/>
          <w:rFonts w:hint="eastAsia" w:ascii="黑体" w:hAnsi="黑体" w:eastAsia="黑体"/>
        </w:rPr>
        <w:t>、</w:t>
      </w:r>
      <w:r>
        <w:rPr>
          <w:rStyle w:val="23"/>
          <w:rFonts w:hint="eastAsia" w:ascii="黑体" w:hAnsi="黑体" w:eastAsia="黑体"/>
          <w:b w:val="0"/>
        </w:rPr>
        <w:t>其他重要事项的情况说明</w:t>
      </w:r>
      <w:bookmarkEnd w:id="93"/>
      <w:bookmarkEnd w:id="94"/>
      <w:bookmarkEnd w:id="95"/>
      <w:bookmarkEnd w:id="96"/>
    </w:p>
    <w:p w14:paraId="7FB7D6A1">
      <w:pPr>
        <w:spacing w:line="600" w:lineRule="exact"/>
        <w:ind w:firstLine="643" w:firstLineChars="200"/>
        <w:outlineLvl w:val="2"/>
        <w:rPr>
          <w:rFonts w:ascii="仿宋" w:hAnsi="仿宋" w:eastAsia="仿宋"/>
          <w:sz w:val="32"/>
          <w:szCs w:val="32"/>
        </w:rPr>
      </w:pPr>
      <w:bookmarkStart w:id="97" w:name="_Toc15377222"/>
      <w:bookmarkStart w:id="98" w:name="_Toc79163875"/>
      <w:bookmarkStart w:id="99" w:name="_Toc79163625"/>
      <w:r>
        <w:rPr>
          <w:rFonts w:hint="eastAsia" w:ascii="仿宋" w:hAnsi="仿宋" w:eastAsia="仿宋"/>
          <w:b/>
          <w:sz w:val="32"/>
          <w:szCs w:val="32"/>
        </w:rPr>
        <w:t>（一）机关运行经费支出情况</w:t>
      </w:r>
      <w:bookmarkEnd w:id="97"/>
      <w:bookmarkEnd w:id="98"/>
      <w:bookmarkEnd w:id="99"/>
    </w:p>
    <w:p w14:paraId="4AB1D566">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w:t>
      </w:r>
      <w:r>
        <w:rPr>
          <w:rFonts w:hint="eastAsia" w:ascii="仿宋_GB2312" w:hAnsi="宋体" w:eastAsia="仿宋_GB2312"/>
          <w:sz w:val="28"/>
          <w:szCs w:val="28"/>
        </w:rPr>
        <w:t>松潘县毛尔盖寺庙管理委员会</w:t>
      </w:r>
      <w:r>
        <w:rPr>
          <w:rFonts w:hint="eastAsia" w:ascii="仿宋_GB2312" w:eastAsia="仿宋_GB2312"/>
          <w:sz w:val="32"/>
          <w:szCs w:val="32"/>
        </w:rPr>
        <w:t>机关运行经费支出23.25万元，比</w:t>
      </w:r>
      <w:r>
        <w:rPr>
          <w:rFonts w:ascii="仿宋_GB2312" w:eastAsia="仿宋_GB2312"/>
          <w:sz w:val="32"/>
          <w:szCs w:val="32"/>
        </w:rPr>
        <w:t>2019</w:t>
      </w:r>
      <w:r>
        <w:rPr>
          <w:rFonts w:hint="eastAsia" w:ascii="仿宋_GB2312" w:eastAsia="仿宋_GB2312"/>
          <w:sz w:val="32"/>
          <w:szCs w:val="32"/>
        </w:rPr>
        <w:t>年减少33.44万元，下降41</w:t>
      </w:r>
      <w:r>
        <w:rPr>
          <w:rFonts w:ascii="仿宋_GB2312" w:eastAsia="仿宋_GB2312"/>
          <w:sz w:val="32"/>
          <w:szCs w:val="32"/>
        </w:rPr>
        <w:t>%</w:t>
      </w:r>
      <w:r>
        <w:rPr>
          <w:rFonts w:hint="eastAsia" w:ascii="仿宋_GB2312" w:eastAsia="仿宋_GB2312"/>
          <w:sz w:val="32"/>
          <w:szCs w:val="32"/>
        </w:rPr>
        <w:t>，主要原因是项目减少</w:t>
      </w:r>
    </w:p>
    <w:p w14:paraId="23548E16">
      <w:pPr>
        <w:autoSpaceDE w:val="0"/>
        <w:autoSpaceDN w:val="0"/>
        <w:adjustRightInd w:val="0"/>
        <w:spacing w:line="600" w:lineRule="exact"/>
        <w:ind w:firstLine="643" w:firstLineChars="200"/>
        <w:jc w:val="left"/>
        <w:outlineLvl w:val="2"/>
        <w:rPr>
          <w:rFonts w:ascii="仿宋" w:hAnsi="仿宋" w:eastAsia="仿宋"/>
          <w:b/>
          <w:sz w:val="32"/>
          <w:szCs w:val="32"/>
        </w:rPr>
      </w:pPr>
      <w:bookmarkStart w:id="100" w:name="_Toc79163876"/>
      <w:bookmarkStart w:id="101" w:name="_Toc79163626"/>
      <w:bookmarkStart w:id="102" w:name="_Toc15377223"/>
      <w:r>
        <w:rPr>
          <w:rFonts w:hint="eastAsia" w:ascii="仿宋" w:hAnsi="仿宋" w:eastAsia="仿宋"/>
          <w:b/>
          <w:sz w:val="32"/>
          <w:szCs w:val="32"/>
        </w:rPr>
        <w:t>（二）政府采购支出情况</w:t>
      </w:r>
      <w:bookmarkEnd w:id="100"/>
      <w:bookmarkEnd w:id="101"/>
      <w:bookmarkEnd w:id="102"/>
    </w:p>
    <w:p w14:paraId="7DDBA845">
      <w:pPr>
        <w:ind w:firstLine="700" w:firstLineChars="250"/>
        <w:rPr>
          <w:rFonts w:ascii="仿宋_GB2312" w:eastAsia="仿宋_GB2312"/>
          <w:sz w:val="32"/>
          <w:szCs w:val="32"/>
        </w:rPr>
      </w:pPr>
      <w:bookmarkStart w:id="103" w:name="_Toc79163877"/>
      <w:bookmarkStart w:id="104" w:name="_Toc79163627"/>
      <w:bookmarkStart w:id="105" w:name="_Toc15377224"/>
      <w:r>
        <w:rPr>
          <w:rFonts w:hint="eastAsia" w:ascii="仿宋_GB2312" w:hAnsi="宋体" w:eastAsia="仿宋_GB2312"/>
          <w:sz w:val="28"/>
          <w:szCs w:val="28"/>
        </w:rPr>
        <w:t>2020年度，松潘县毛尔盖寺庙管理委员会政府采购支出总额0万元。</w:t>
      </w:r>
      <w:r>
        <w:rPr>
          <w:rFonts w:ascii="仿宋_GB2312" w:hAnsi="宋体" w:eastAsia="仿宋_GB2312"/>
          <w:sz w:val="28"/>
          <w:szCs w:val="28"/>
        </w:rPr>
        <w:t xml:space="preserve"> </w:t>
      </w:r>
    </w:p>
    <w:p w14:paraId="6ED36DCD">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（三）国有资产占有使用情况</w:t>
      </w:r>
      <w:bookmarkEnd w:id="103"/>
      <w:bookmarkEnd w:id="104"/>
      <w:bookmarkEnd w:id="105"/>
    </w:p>
    <w:p w14:paraId="402852B9">
      <w:pPr>
        <w:autoSpaceDE w:val="0"/>
        <w:autoSpaceDN w:val="0"/>
        <w:adjustRightInd w:val="0"/>
        <w:spacing w:line="600" w:lineRule="exact"/>
        <w:ind w:firstLine="640" w:firstLineChars="200"/>
        <w:jc w:val="left"/>
        <w:rPr>
          <w:rFonts w:ascii="仿宋" w:hAnsi="仿宋" w:eastAsia="仿宋"/>
          <w:b/>
          <w:sz w:val="32"/>
          <w:szCs w:val="32"/>
        </w:rPr>
      </w:pPr>
      <w:r>
        <w:rPr>
          <w:rFonts w:hint="eastAsia" w:ascii="仿宋_GB2312" w:eastAsia="仿宋_GB2312"/>
          <w:sz w:val="32"/>
          <w:szCs w:val="32"/>
        </w:rPr>
        <w:t>截至</w:t>
      </w:r>
      <w:r>
        <w:rPr>
          <w:rFonts w:ascii="仿宋_GB2312" w:eastAsia="仿宋_GB2312"/>
          <w:sz w:val="32"/>
          <w:szCs w:val="32"/>
        </w:rPr>
        <w:t>2020</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日，松潘县毛儿盖寺庙管理委员会共有车辆1辆，其中：其他用车1辆，其他用车</w:t>
      </w:r>
      <w:r>
        <w:rPr>
          <w:rFonts w:hint="eastAsia" w:ascii="仿宋_GB2312" w:eastAsia="仿宋_GB2312"/>
          <w:sz w:val="32"/>
          <w:szCs w:val="32"/>
          <w:lang w:eastAsia="zh-CN"/>
        </w:rPr>
        <w:t>主要</w:t>
      </w:r>
      <w:r>
        <w:rPr>
          <w:rFonts w:hint="eastAsia" w:ascii="仿宋_GB2312" w:eastAsia="仿宋_GB2312"/>
          <w:sz w:val="32"/>
          <w:szCs w:val="32"/>
        </w:rPr>
        <w:t>用于单价</w:t>
      </w:r>
      <w:r>
        <w:rPr>
          <w:rFonts w:ascii="仿宋_GB2312" w:eastAsia="仿宋_GB2312"/>
          <w:sz w:val="32"/>
          <w:szCs w:val="32"/>
        </w:rPr>
        <w:t>50</w:t>
      </w:r>
      <w:r>
        <w:rPr>
          <w:rFonts w:hint="eastAsia" w:ascii="仿宋_GB2312" w:eastAsia="仿宋_GB2312"/>
          <w:sz w:val="32"/>
          <w:szCs w:val="32"/>
        </w:rPr>
        <w:t>万元以上通用设备</w:t>
      </w:r>
      <w:r>
        <w:rPr>
          <w:rFonts w:ascii="仿宋_GB2312" w:eastAsia="仿宋_GB2312"/>
          <w:sz w:val="32"/>
          <w:szCs w:val="32"/>
        </w:rPr>
        <w:t>**</w:t>
      </w:r>
      <w:r>
        <w:rPr>
          <w:rFonts w:hint="eastAsia" w:ascii="仿宋_GB2312" w:eastAsia="仿宋_GB2312"/>
          <w:sz w:val="32"/>
          <w:szCs w:val="32"/>
        </w:rPr>
        <w:t>台（套），单价</w:t>
      </w:r>
      <w:r>
        <w:rPr>
          <w:rFonts w:ascii="仿宋_GB2312" w:eastAsia="仿宋_GB2312"/>
          <w:sz w:val="32"/>
          <w:szCs w:val="32"/>
        </w:rPr>
        <w:t>100</w:t>
      </w:r>
      <w:r>
        <w:rPr>
          <w:rFonts w:hint="eastAsia" w:ascii="仿宋_GB2312" w:eastAsia="仿宋_GB2312"/>
          <w:sz w:val="32"/>
          <w:szCs w:val="32"/>
        </w:rPr>
        <w:t>万元以上专用设备0台（套）。</w:t>
      </w:r>
    </w:p>
    <w:p w14:paraId="65FA69C8">
      <w:pPr>
        <w:autoSpaceDE w:val="0"/>
        <w:autoSpaceDN w:val="0"/>
        <w:adjustRightInd w:val="0"/>
        <w:spacing w:line="600" w:lineRule="exact"/>
        <w:ind w:firstLine="643" w:firstLineChars="200"/>
        <w:jc w:val="left"/>
        <w:outlineLvl w:val="2"/>
        <w:rPr>
          <w:rFonts w:ascii="仿宋" w:hAnsi="仿宋" w:eastAsia="仿宋"/>
          <w:b/>
          <w:sz w:val="32"/>
          <w:szCs w:val="32"/>
        </w:rPr>
      </w:pPr>
      <w:bookmarkStart w:id="106" w:name="_Toc79163628"/>
      <w:bookmarkStart w:id="107" w:name="_Toc79163878"/>
      <w:r>
        <w:rPr>
          <w:rFonts w:hint="eastAsia" w:ascii="仿宋" w:hAnsi="仿宋" w:eastAsia="仿宋"/>
          <w:b/>
          <w:sz w:val="32"/>
          <w:szCs w:val="32"/>
        </w:rPr>
        <w:t>（四）预算绩效管理情况。</w:t>
      </w:r>
      <w:bookmarkEnd w:id="106"/>
      <w:bookmarkEnd w:id="107"/>
    </w:p>
    <w:p w14:paraId="52B9110C">
      <w:pPr>
        <w:spacing w:line="580" w:lineRule="exact"/>
        <w:ind w:left="630"/>
        <w:rPr>
          <w:rFonts w:ascii="仿宋_GB2312" w:hAnsi="宋体" w:eastAsia="仿宋_GB2312"/>
          <w:sz w:val="28"/>
          <w:szCs w:val="28"/>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r>
        <w:rPr>
          <w:rFonts w:ascii="楷体_GB2312" w:hAnsi="楷体_GB2312" w:eastAsia="楷体_GB2312" w:cs="楷体_GB2312"/>
          <w:sz w:val="32"/>
          <w:szCs w:val="32"/>
        </w:rPr>
        <w:br w:type="textWrapping"/>
      </w:r>
      <w:r>
        <w:rPr>
          <w:rFonts w:ascii="仿宋_GB2312" w:hAnsi="仿宋_GB2312" w:eastAsia="仿宋_GB2312" w:cs="仿宋_GB2312"/>
          <w:sz w:val="32"/>
          <w:szCs w:val="32"/>
        </w:rPr>
        <w:t xml:space="preserve">    </w:t>
      </w:r>
      <w:r>
        <w:rPr>
          <w:rFonts w:hint="eastAsia" w:ascii="仿宋_GB2312" w:hAnsi="宋体" w:eastAsia="仿宋_GB2312"/>
          <w:sz w:val="28"/>
          <w:szCs w:val="28"/>
        </w:rPr>
        <w:t xml:space="preserve">按照预算绩效管理要求，本部门对2020年一般公共预算项目支出开展了绩效目标管理，共编制绩效目标0个，涉及财政资金0万元。  </w:t>
      </w:r>
    </w:p>
    <w:p w14:paraId="20CFC8B6">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14:paraId="5E53AF4E">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本部门按要求对2020年毛尔盖寺庙管理委员会整体支出绩效评价情况开展自评，《毛尔盖寺庙管理委员会2020年部门整体支出绩效评价报告》见附件（附件1）。</w:t>
      </w:r>
    </w:p>
    <w:p w14:paraId="4B791E39">
      <w:pPr>
        <w:spacing w:line="580" w:lineRule="exact"/>
        <w:ind w:firstLine="640" w:firstLineChars="200"/>
        <w:rPr>
          <w:rFonts w:ascii="仿宋_GB2312" w:hAnsi="仿宋_GB2312" w:eastAsia="仿宋_GB2312" w:cs="仿宋_GB2312"/>
          <w:sz w:val="32"/>
          <w:szCs w:val="32"/>
        </w:rPr>
      </w:pPr>
    </w:p>
    <w:p w14:paraId="00895737">
      <w:pPr>
        <w:widowControl/>
        <w:jc w:val="left"/>
        <w:rPr>
          <w:rFonts w:ascii="仿宋_GB2312" w:hAnsi="宋体" w:eastAsia="仿宋_GB2312"/>
          <w:sz w:val="28"/>
          <w:szCs w:val="28"/>
        </w:rPr>
      </w:pPr>
      <w:r>
        <w:rPr>
          <w:rFonts w:hint="eastAsia" w:ascii="仿宋_GB2312" w:hAnsi="宋体" w:eastAsia="仿宋_GB2312"/>
          <w:sz w:val="28"/>
          <w:szCs w:val="28"/>
        </w:rPr>
        <w:t xml:space="preserve"> </w:t>
      </w:r>
    </w:p>
    <w:p w14:paraId="2FE378AD">
      <w:pPr>
        <w:widowControl/>
        <w:jc w:val="left"/>
        <w:rPr>
          <w:rFonts w:ascii="仿宋_GB2312" w:hAnsi="宋体" w:eastAsia="仿宋_GB2312"/>
          <w:sz w:val="28"/>
          <w:szCs w:val="28"/>
        </w:rPr>
      </w:pPr>
    </w:p>
    <w:p w14:paraId="44995852">
      <w:pPr>
        <w:widowControl/>
        <w:jc w:val="left"/>
        <w:rPr>
          <w:rFonts w:ascii="仿宋_GB2312" w:hAnsi="宋体" w:eastAsia="仿宋_GB2312"/>
          <w:sz w:val="28"/>
          <w:szCs w:val="28"/>
        </w:rPr>
      </w:pPr>
    </w:p>
    <w:p w14:paraId="49DE0E1A">
      <w:pPr>
        <w:widowControl/>
        <w:jc w:val="left"/>
        <w:rPr>
          <w:rFonts w:ascii="仿宋_GB2312" w:hAnsi="宋体" w:eastAsia="仿宋_GB2312"/>
          <w:sz w:val="28"/>
          <w:szCs w:val="28"/>
        </w:rPr>
      </w:pPr>
    </w:p>
    <w:p w14:paraId="66CFE88A">
      <w:pPr>
        <w:numPr>
          <w:ilvl w:val="0"/>
          <w:numId w:val="4"/>
        </w:numPr>
        <w:spacing w:line="600" w:lineRule="exact"/>
        <w:ind w:firstLine="660" w:firstLineChars="150"/>
        <w:jc w:val="center"/>
        <w:outlineLvl w:val="0"/>
        <w:rPr>
          <w:rStyle w:val="22"/>
          <w:rFonts w:ascii="黑体" w:hAnsi="黑体" w:eastAsia="黑体"/>
          <w:b w:val="0"/>
        </w:rPr>
      </w:pPr>
      <w:bookmarkStart w:id="108" w:name="_Toc15396613"/>
      <w:bookmarkStart w:id="109" w:name="_Toc79163879"/>
      <w:bookmarkStart w:id="110" w:name="_Toc79163629"/>
      <w:bookmarkStart w:id="111" w:name="_Toc15377225"/>
      <w:r>
        <w:rPr>
          <w:rFonts w:hint="eastAsia" w:ascii="黑体" w:hAnsi="黑体" w:eastAsia="黑体"/>
          <w:sz w:val="44"/>
          <w:szCs w:val="44"/>
        </w:rPr>
        <w:t>名</w:t>
      </w:r>
      <w:r>
        <w:rPr>
          <w:rStyle w:val="22"/>
          <w:rFonts w:hint="eastAsia" w:ascii="黑体" w:hAnsi="黑体" w:eastAsia="黑体"/>
          <w:b w:val="0"/>
        </w:rPr>
        <w:t>词解释</w:t>
      </w:r>
      <w:bookmarkEnd w:id="108"/>
      <w:bookmarkEnd w:id="109"/>
      <w:bookmarkEnd w:id="110"/>
      <w:bookmarkEnd w:id="111"/>
    </w:p>
    <w:p w14:paraId="5118E1F4">
      <w:pPr>
        <w:spacing w:line="600" w:lineRule="exact"/>
        <w:jc w:val="left"/>
        <w:rPr>
          <w:rFonts w:ascii="宋体"/>
          <w:b/>
          <w:sz w:val="44"/>
          <w:szCs w:val="44"/>
        </w:rPr>
      </w:pPr>
    </w:p>
    <w:p w14:paraId="42A13617">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3DA4F223">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事业收入：指事业单位开展专业业务活动及辅助活动取得的收入。如…（二级预算单位事业收入情况）等。</w:t>
      </w:r>
    </w:p>
    <w:p w14:paraId="7BEA0420">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经营收入：指事业单位在专业业务活动及其辅助活动之外开展非独立核算经营活动取得的收入。如…（二级预算单位经营收入情况）等。</w:t>
      </w:r>
    </w:p>
    <w:p w14:paraId="5BAD308A">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其他收入：指单位取得的除上述收入以外的各项收入。主要是…（收入类型）等。</w:t>
      </w:r>
      <w:r>
        <w:rPr>
          <w:rFonts w:ascii="仿宋_GB2312" w:eastAsia="仿宋_GB2312"/>
          <w:color w:val="auto"/>
          <w:sz w:val="32"/>
          <w:szCs w:val="32"/>
        </w:rPr>
        <w:t xml:space="preserve"> </w:t>
      </w:r>
    </w:p>
    <w:p w14:paraId="1E2C1426">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14:paraId="1C0DAC81">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14:paraId="539F9B44">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14:paraId="2D1467B4">
      <w:pPr>
        <w:pStyle w:val="32"/>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eastAsia="zh-CN"/>
        </w:rPr>
        <w:t>8.</w:t>
      </w:r>
      <w:r>
        <w:rPr>
          <w:rFonts w:hint="eastAsia" w:ascii="仿宋_GB2312" w:eastAsia="仿宋_GB2312"/>
          <w:color w:val="auto"/>
          <w:sz w:val="32"/>
          <w:szCs w:val="32"/>
        </w:rPr>
        <w:t>年末结转和结余：指单位按有关规定结转到下年或以后年度继续使用的资金。</w:t>
      </w:r>
    </w:p>
    <w:p w14:paraId="02DB42BB">
      <w:pPr>
        <w:ind w:firstLine="640" w:firstLineChars="200"/>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rPr>
        <w:t>一般公共服务（类）…（款）…（项）：指……。</w:t>
      </w:r>
    </w:p>
    <w:p w14:paraId="309BA759">
      <w:pPr>
        <w:ind w:firstLine="640" w:firstLineChars="200"/>
        <w:rPr>
          <w:rFonts w:ascii="仿宋_GB2312" w:eastAsia="仿宋_GB2312"/>
          <w:sz w:val="32"/>
          <w:szCs w:val="32"/>
        </w:rPr>
      </w:pPr>
      <w:r>
        <w:rPr>
          <w:rFonts w:ascii="仿宋_GB2312" w:eastAsia="仿宋_GB2312"/>
          <w:sz w:val="32"/>
          <w:szCs w:val="32"/>
        </w:rPr>
        <w:t>10.</w:t>
      </w:r>
      <w:r>
        <w:rPr>
          <w:rFonts w:hint="eastAsia" w:ascii="仿宋_GB2312" w:eastAsia="仿宋_GB2312"/>
          <w:sz w:val="32"/>
          <w:szCs w:val="32"/>
        </w:rPr>
        <w:t>外交（类）…（款）…（项）：指……。</w:t>
      </w:r>
    </w:p>
    <w:p w14:paraId="5E6FC9A3">
      <w:pPr>
        <w:ind w:firstLine="640" w:firstLineChars="200"/>
        <w:rPr>
          <w:rFonts w:ascii="仿宋_GB2312" w:eastAsia="仿宋_GB2312"/>
          <w:sz w:val="32"/>
          <w:szCs w:val="32"/>
        </w:rPr>
      </w:pPr>
      <w:r>
        <w:rPr>
          <w:rFonts w:ascii="仿宋_GB2312" w:eastAsia="仿宋_GB2312"/>
          <w:sz w:val="32"/>
          <w:szCs w:val="32"/>
        </w:rPr>
        <w:t>11.</w:t>
      </w:r>
      <w:r>
        <w:rPr>
          <w:rFonts w:hint="eastAsia" w:ascii="仿宋_GB2312" w:eastAsia="仿宋_GB2312"/>
          <w:sz w:val="32"/>
          <w:szCs w:val="32"/>
        </w:rPr>
        <w:t>公共安全（类）…（款）…（项）：指……。</w:t>
      </w:r>
    </w:p>
    <w:p w14:paraId="01976DED">
      <w:pPr>
        <w:ind w:firstLine="640" w:firstLineChars="200"/>
        <w:rPr>
          <w:rFonts w:ascii="仿宋_GB2312" w:eastAsia="仿宋_GB2312"/>
          <w:sz w:val="32"/>
          <w:szCs w:val="32"/>
        </w:rPr>
      </w:pPr>
      <w:r>
        <w:rPr>
          <w:rFonts w:ascii="仿宋_GB2312" w:eastAsia="仿宋_GB2312"/>
          <w:sz w:val="32"/>
          <w:szCs w:val="32"/>
        </w:rPr>
        <w:t>12.</w:t>
      </w:r>
      <w:r>
        <w:rPr>
          <w:rFonts w:hint="eastAsia" w:ascii="仿宋_GB2312" w:eastAsia="仿宋_GB2312"/>
          <w:sz w:val="32"/>
          <w:szCs w:val="32"/>
        </w:rPr>
        <w:t>教育（类）…（款）…（项）：指……。</w:t>
      </w:r>
    </w:p>
    <w:p w14:paraId="2960CC4E">
      <w:pPr>
        <w:ind w:firstLine="640" w:firstLineChars="200"/>
        <w:rPr>
          <w:rFonts w:ascii="仿宋_GB2312" w:eastAsia="仿宋_GB2312"/>
          <w:sz w:val="32"/>
          <w:szCs w:val="32"/>
        </w:rPr>
      </w:pPr>
      <w:r>
        <w:rPr>
          <w:rFonts w:ascii="仿宋_GB2312" w:eastAsia="仿宋_GB2312"/>
          <w:sz w:val="32"/>
          <w:szCs w:val="32"/>
        </w:rPr>
        <w:t>13.</w:t>
      </w:r>
      <w:r>
        <w:rPr>
          <w:rFonts w:hint="eastAsia" w:ascii="仿宋_GB2312" w:eastAsia="仿宋_GB2312"/>
          <w:sz w:val="32"/>
          <w:szCs w:val="32"/>
        </w:rPr>
        <w:t>科学技术（类）…（款）…（项）：指……。</w:t>
      </w:r>
    </w:p>
    <w:p w14:paraId="018A9073">
      <w:pPr>
        <w:ind w:firstLine="640" w:firstLineChars="200"/>
        <w:rPr>
          <w:rFonts w:ascii="仿宋_GB2312" w:eastAsia="仿宋_GB2312"/>
          <w:sz w:val="32"/>
          <w:szCs w:val="32"/>
        </w:rPr>
      </w:pPr>
      <w:r>
        <w:rPr>
          <w:rFonts w:ascii="仿宋_GB2312" w:eastAsia="仿宋_GB2312"/>
          <w:sz w:val="32"/>
          <w:szCs w:val="32"/>
        </w:rPr>
        <w:t>14.</w:t>
      </w:r>
      <w:r>
        <w:rPr>
          <w:rFonts w:hint="eastAsia" w:ascii="仿宋_GB2312" w:eastAsia="仿宋_GB2312"/>
          <w:sz w:val="32"/>
          <w:szCs w:val="32"/>
        </w:rPr>
        <w:t>文化体育与传媒（类）…（款）…（项）：指……。</w:t>
      </w:r>
    </w:p>
    <w:p w14:paraId="3BD44F07">
      <w:pPr>
        <w:ind w:firstLine="640" w:firstLineChars="200"/>
        <w:rPr>
          <w:rFonts w:ascii="仿宋_GB2312" w:eastAsia="仿宋_GB2312"/>
          <w:sz w:val="32"/>
          <w:szCs w:val="32"/>
        </w:rPr>
      </w:pPr>
      <w:r>
        <w:rPr>
          <w:rFonts w:ascii="仿宋_GB2312" w:eastAsia="仿宋_GB2312"/>
          <w:sz w:val="32"/>
          <w:szCs w:val="32"/>
        </w:rPr>
        <w:t>15.</w:t>
      </w:r>
      <w:r>
        <w:rPr>
          <w:rFonts w:hint="eastAsia" w:ascii="仿宋_GB2312" w:eastAsia="仿宋_GB2312"/>
          <w:sz w:val="32"/>
          <w:szCs w:val="32"/>
        </w:rPr>
        <w:t>社会保障和就业（类）…（款）…（项）：指……。</w:t>
      </w:r>
    </w:p>
    <w:p w14:paraId="5AE88710">
      <w:pPr>
        <w:ind w:firstLine="640" w:firstLineChars="200"/>
        <w:rPr>
          <w:rFonts w:ascii="仿宋_GB2312" w:eastAsia="仿宋_GB2312"/>
          <w:sz w:val="32"/>
          <w:szCs w:val="32"/>
        </w:rPr>
      </w:pPr>
      <w:r>
        <w:rPr>
          <w:rFonts w:ascii="仿宋_GB2312" w:eastAsia="仿宋_GB2312"/>
          <w:sz w:val="32"/>
          <w:szCs w:val="32"/>
        </w:rPr>
        <w:t>16.</w:t>
      </w:r>
      <w:r>
        <w:rPr>
          <w:rFonts w:hint="eastAsia" w:ascii="仿宋_GB2312" w:eastAsia="仿宋_GB2312"/>
          <w:sz w:val="32"/>
          <w:szCs w:val="32"/>
        </w:rPr>
        <w:t>医疗卫生与计划生育（类）…（款）…（项）：指……。</w:t>
      </w:r>
    </w:p>
    <w:p w14:paraId="25925166">
      <w:pPr>
        <w:ind w:firstLine="640" w:firstLineChars="200"/>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节能环保（类）…（款）…（项）：指……。</w:t>
      </w:r>
    </w:p>
    <w:p w14:paraId="79496EB3">
      <w:pPr>
        <w:ind w:firstLine="640" w:firstLineChars="200"/>
        <w:rPr>
          <w:rFonts w:ascii="仿宋_GB2312" w:eastAsia="仿宋_GB2312"/>
          <w:sz w:val="32"/>
          <w:szCs w:val="32"/>
        </w:rPr>
      </w:pPr>
      <w:r>
        <w:rPr>
          <w:rFonts w:ascii="仿宋_GB2312" w:eastAsia="仿宋_GB2312"/>
          <w:sz w:val="32"/>
          <w:szCs w:val="32"/>
        </w:rPr>
        <w:t>18.</w:t>
      </w:r>
      <w:r>
        <w:rPr>
          <w:rFonts w:hint="eastAsia" w:ascii="仿宋_GB2312" w:eastAsia="仿宋_GB2312"/>
          <w:sz w:val="32"/>
          <w:szCs w:val="32"/>
        </w:rPr>
        <w:t>城乡社区（类）…（款）…（项）：指……。</w:t>
      </w:r>
    </w:p>
    <w:p w14:paraId="1128AF28">
      <w:pPr>
        <w:ind w:firstLine="640" w:firstLineChars="200"/>
        <w:rPr>
          <w:rFonts w:ascii="仿宋_GB2312" w:eastAsia="仿宋_GB2312"/>
          <w:sz w:val="32"/>
          <w:szCs w:val="32"/>
        </w:rPr>
      </w:pPr>
      <w:r>
        <w:rPr>
          <w:rFonts w:ascii="仿宋_GB2312" w:eastAsia="仿宋_GB2312"/>
          <w:sz w:val="32"/>
          <w:szCs w:val="32"/>
        </w:rPr>
        <w:t>19.</w:t>
      </w:r>
      <w:r>
        <w:rPr>
          <w:rFonts w:hint="eastAsia" w:ascii="仿宋_GB2312" w:eastAsia="仿宋_GB2312"/>
          <w:sz w:val="32"/>
          <w:szCs w:val="32"/>
        </w:rPr>
        <w:t>农林水（类）…（款）…（项）：指……。</w:t>
      </w:r>
    </w:p>
    <w:p w14:paraId="60D45B2F">
      <w:pPr>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交通运输（类）…（款）…（项）：指……。</w:t>
      </w:r>
    </w:p>
    <w:p w14:paraId="4DBB091E">
      <w:pPr>
        <w:ind w:firstLine="640" w:firstLineChars="200"/>
        <w:rPr>
          <w:rFonts w:ascii="仿宋_GB2312" w:eastAsia="仿宋_GB2312"/>
          <w:sz w:val="32"/>
          <w:szCs w:val="32"/>
        </w:rPr>
      </w:pPr>
      <w:r>
        <w:rPr>
          <w:rFonts w:ascii="仿宋_GB2312" w:eastAsia="仿宋_GB2312"/>
          <w:sz w:val="32"/>
          <w:szCs w:val="32"/>
        </w:rPr>
        <w:t>21.</w:t>
      </w:r>
      <w:r>
        <w:rPr>
          <w:rFonts w:hint="eastAsia" w:ascii="仿宋_GB2312" w:eastAsia="仿宋_GB2312"/>
          <w:sz w:val="32"/>
          <w:szCs w:val="32"/>
        </w:rPr>
        <w:t>资源勘探信息等（类）…（款）…（项）：指……。</w:t>
      </w:r>
    </w:p>
    <w:p w14:paraId="1B59A515">
      <w:pPr>
        <w:ind w:firstLine="640" w:firstLineChars="200"/>
        <w:rPr>
          <w:rFonts w:ascii="仿宋_GB2312" w:eastAsia="仿宋_GB2312"/>
          <w:sz w:val="32"/>
          <w:szCs w:val="32"/>
        </w:rPr>
      </w:pPr>
      <w:r>
        <w:rPr>
          <w:rFonts w:ascii="仿宋_GB2312" w:eastAsia="仿宋_GB2312"/>
          <w:sz w:val="32"/>
          <w:szCs w:val="32"/>
        </w:rPr>
        <w:t>22.</w:t>
      </w:r>
      <w:r>
        <w:rPr>
          <w:rFonts w:hint="eastAsia" w:ascii="仿宋_GB2312" w:eastAsia="仿宋_GB2312"/>
          <w:sz w:val="32"/>
          <w:szCs w:val="32"/>
        </w:rPr>
        <w:t>商业服务业（类）…（款）…（项）：指……。</w:t>
      </w:r>
    </w:p>
    <w:p w14:paraId="591EE0A8">
      <w:pPr>
        <w:ind w:firstLine="640" w:firstLineChars="200"/>
        <w:rPr>
          <w:rFonts w:ascii="仿宋_GB2312" w:eastAsia="仿宋_GB2312"/>
          <w:sz w:val="32"/>
          <w:szCs w:val="32"/>
        </w:rPr>
      </w:pPr>
      <w:r>
        <w:rPr>
          <w:rFonts w:ascii="仿宋_GB2312" w:eastAsia="仿宋_GB2312"/>
          <w:sz w:val="32"/>
          <w:szCs w:val="32"/>
        </w:rPr>
        <w:t>23.</w:t>
      </w:r>
      <w:r>
        <w:rPr>
          <w:rFonts w:hint="eastAsia" w:ascii="仿宋_GB2312" w:eastAsia="仿宋_GB2312"/>
          <w:sz w:val="32"/>
          <w:szCs w:val="32"/>
        </w:rPr>
        <w:t>金融（类）…（款）…（项）：指……。</w:t>
      </w:r>
    </w:p>
    <w:p w14:paraId="109D788E">
      <w:pPr>
        <w:ind w:firstLine="640" w:firstLineChars="200"/>
        <w:rPr>
          <w:rFonts w:ascii="仿宋_GB2312" w:eastAsia="仿宋_GB2312"/>
          <w:sz w:val="32"/>
          <w:szCs w:val="32"/>
        </w:rPr>
      </w:pPr>
      <w:r>
        <w:rPr>
          <w:rFonts w:ascii="仿宋_GB2312" w:eastAsia="仿宋_GB2312"/>
          <w:sz w:val="32"/>
          <w:szCs w:val="32"/>
        </w:rPr>
        <w:t>24.</w:t>
      </w:r>
      <w:r>
        <w:rPr>
          <w:rFonts w:hint="eastAsia" w:ascii="仿宋_GB2312" w:eastAsia="仿宋_GB2312"/>
          <w:sz w:val="32"/>
          <w:szCs w:val="32"/>
        </w:rPr>
        <w:t>国土海洋气象等（类）…（款）…（项）：指……。</w:t>
      </w:r>
    </w:p>
    <w:p w14:paraId="0426AC2B">
      <w:pPr>
        <w:ind w:firstLine="640" w:firstLineChars="200"/>
        <w:rPr>
          <w:rFonts w:ascii="仿宋_GB2312" w:eastAsia="仿宋_GB2312"/>
          <w:sz w:val="32"/>
          <w:szCs w:val="32"/>
        </w:rPr>
      </w:pPr>
      <w:r>
        <w:rPr>
          <w:rFonts w:ascii="仿宋_GB2312" w:eastAsia="仿宋_GB2312"/>
          <w:sz w:val="32"/>
          <w:szCs w:val="32"/>
        </w:rPr>
        <w:t>25.</w:t>
      </w:r>
      <w:r>
        <w:rPr>
          <w:rFonts w:hint="eastAsia" w:ascii="仿宋_GB2312" w:eastAsia="仿宋_GB2312"/>
          <w:sz w:val="32"/>
          <w:szCs w:val="32"/>
        </w:rPr>
        <w:t>住房保障（类）…（款）…（项）：指……。</w:t>
      </w:r>
    </w:p>
    <w:p w14:paraId="5AA79329">
      <w:pPr>
        <w:ind w:firstLine="640" w:firstLineChars="200"/>
        <w:rPr>
          <w:rFonts w:ascii="仿宋_GB2312" w:eastAsia="仿宋_GB2312"/>
          <w:sz w:val="32"/>
          <w:szCs w:val="32"/>
        </w:rPr>
      </w:pPr>
      <w:r>
        <w:rPr>
          <w:rFonts w:ascii="仿宋_GB2312" w:eastAsia="仿宋_GB2312"/>
          <w:sz w:val="32"/>
          <w:szCs w:val="32"/>
        </w:rPr>
        <w:t>26.</w:t>
      </w:r>
      <w:r>
        <w:rPr>
          <w:rFonts w:hint="eastAsia" w:ascii="仿宋_GB2312" w:eastAsia="仿宋_GB2312"/>
          <w:sz w:val="32"/>
          <w:szCs w:val="32"/>
        </w:rPr>
        <w:t>粮油物资储备（类）…（款）…（项）：指……。</w:t>
      </w:r>
    </w:p>
    <w:p w14:paraId="69C565CE">
      <w:pPr>
        <w:spacing w:line="600" w:lineRule="exact"/>
        <w:ind w:firstLine="640"/>
        <w:rPr>
          <w:rFonts w:ascii="仿宋" w:hAnsi="仿宋" w:eastAsia="仿宋"/>
          <w:b/>
          <w:sz w:val="32"/>
          <w:szCs w:val="32"/>
        </w:rPr>
      </w:pPr>
      <w:r>
        <w:rPr>
          <w:rFonts w:hint="eastAsia" w:ascii="仿宋" w:hAnsi="仿宋" w:eastAsia="仿宋"/>
          <w:b/>
          <w:sz w:val="32"/>
          <w:szCs w:val="32"/>
        </w:rPr>
        <w:t>（解释本部门决算报表中全部功能分类科目至项级，请参照《</w:t>
      </w:r>
      <w:r>
        <w:rPr>
          <w:rFonts w:ascii="仿宋" w:hAnsi="仿宋" w:eastAsia="仿宋"/>
          <w:b/>
          <w:sz w:val="32"/>
          <w:szCs w:val="32"/>
        </w:rPr>
        <w:t>2020</w:t>
      </w:r>
      <w:r>
        <w:rPr>
          <w:rFonts w:hint="eastAsia" w:ascii="仿宋" w:hAnsi="仿宋" w:eastAsia="仿宋"/>
          <w:b/>
          <w:sz w:val="32"/>
          <w:szCs w:val="32"/>
        </w:rPr>
        <w:t>年政府收支分类科目》增减内容。）</w:t>
      </w:r>
    </w:p>
    <w:p w14:paraId="54DF8ED7">
      <w:pPr>
        <w:ind w:firstLine="640" w:firstLineChars="200"/>
        <w:rPr>
          <w:rFonts w:ascii="仿宋_GB2312" w:eastAsia="仿宋_GB2312"/>
          <w:sz w:val="32"/>
          <w:szCs w:val="32"/>
        </w:rPr>
      </w:pPr>
      <w:r>
        <w:rPr>
          <w:rFonts w:ascii="仿宋_GB2312" w:eastAsia="仿宋_GB2312"/>
          <w:sz w:val="32"/>
          <w:szCs w:val="32"/>
        </w:rPr>
        <w:t>27.</w:t>
      </w:r>
      <w:r>
        <w:rPr>
          <w:rFonts w:hint="eastAsia" w:ascii="仿宋_GB2312" w:eastAsia="仿宋_GB2312"/>
          <w:sz w:val="32"/>
          <w:szCs w:val="32"/>
        </w:rPr>
        <w:t>基本支出：指为保障机构正常运转、完成日常工作任务而发生的人员支出和公用支出。</w:t>
      </w:r>
    </w:p>
    <w:p w14:paraId="1F77A360">
      <w:pPr>
        <w:ind w:firstLine="640" w:firstLineChars="200"/>
        <w:rPr>
          <w:rFonts w:ascii="仿宋_GB2312" w:eastAsia="仿宋_GB2312"/>
          <w:sz w:val="32"/>
          <w:szCs w:val="32"/>
        </w:rPr>
      </w:pPr>
      <w:r>
        <w:rPr>
          <w:rFonts w:ascii="仿宋_GB2312" w:eastAsia="仿宋_GB2312"/>
          <w:sz w:val="32"/>
          <w:szCs w:val="32"/>
        </w:rPr>
        <w:t>28.</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14:paraId="4BC36879">
      <w:pPr>
        <w:ind w:firstLine="640" w:firstLineChars="200"/>
        <w:rPr>
          <w:rFonts w:ascii="仿宋_GB2312" w:eastAsia="仿宋_GB2312"/>
          <w:sz w:val="32"/>
          <w:szCs w:val="32"/>
        </w:rPr>
      </w:pPr>
      <w:r>
        <w:rPr>
          <w:rFonts w:ascii="仿宋_GB2312" w:eastAsia="仿宋_GB2312"/>
          <w:sz w:val="32"/>
          <w:szCs w:val="32"/>
        </w:rPr>
        <w:t>29.</w:t>
      </w:r>
      <w:r>
        <w:rPr>
          <w:rFonts w:hint="eastAsia" w:ascii="仿宋_GB2312" w:eastAsia="仿宋_GB2312"/>
          <w:sz w:val="32"/>
          <w:szCs w:val="32"/>
        </w:rPr>
        <w:t>经营支出：指事业单位在专业业务活动及其辅助活动之外开展非独立核算经营活动发生的支出。</w:t>
      </w:r>
    </w:p>
    <w:p w14:paraId="228BD88E">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30.</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9FF76F5">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31.</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88377C3">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32.</w:t>
      </w:r>
      <w:r>
        <w:rPr>
          <w:rFonts w:hint="eastAsia" w:ascii="仿宋_GB2312" w:eastAsia="仿宋_GB2312"/>
          <w:color w:val="auto"/>
          <w:sz w:val="32"/>
          <w:szCs w:val="32"/>
        </w:rPr>
        <w:t>……</w:t>
      </w:r>
      <w:r>
        <w:rPr>
          <w:rFonts w:hint="eastAsia" w:ascii="仿宋_GB2312" w:eastAsia="仿宋_GB2312"/>
          <w:color w:val="auto"/>
          <w:sz w:val="32"/>
          <w:szCs w:val="32"/>
          <w:lang w:eastAsia="zh-CN"/>
        </w:rPr>
        <w:t>.</w:t>
      </w:r>
    </w:p>
    <w:p w14:paraId="369636C0">
      <w:pPr>
        <w:pStyle w:val="32"/>
        <w:spacing w:line="560" w:lineRule="exact"/>
        <w:ind w:firstLine="640" w:firstLineChars="200"/>
        <w:rPr>
          <w:rFonts w:ascii="仿宋_GB2312" w:eastAsia="仿宋_GB2312" w:cs="黑体"/>
          <w:color w:val="auto"/>
          <w:sz w:val="32"/>
          <w:szCs w:val="32"/>
        </w:rPr>
      </w:pPr>
    </w:p>
    <w:p w14:paraId="3BBF4575">
      <w:pPr>
        <w:ind w:firstLine="643" w:firstLineChars="200"/>
        <w:rPr>
          <w:rFonts w:ascii="仿宋" w:hAnsi="仿宋" w:eastAsia="仿宋"/>
          <w:b/>
          <w:sz w:val="32"/>
          <w:szCs w:val="32"/>
        </w:rPr>
      </w:pPr>
      <w:r>
        <w:rPr>
          <w:rFonts w:hint="eastAsia" w:ascii="仿宋" w:hAnsi="仿宋" w:eastAsia="仿宋"/>
          <w:b/>
          <w:sz w:val="32"/>
          <w:szCs w:val="32"/>
        </w:rPr>
        <w:t>（名词解释部分请根据各部门实际列支情况罗列，并根据本部门职责职能增减名词解释内容。）</w:t>
      </w:r>
    </w:p>
    <w:p w14:paraId="33D86DF3">
      <w:pPr>
        <w:spacing w:line="600" w:lineRule="exact"/>
        <w:jc w:val="center"/>
        <w:outlineLvl w:val="0"/>
        <w:rPr>
          <w:rStyle w:val="22"/>
          <w:rFonts w:ascii="黑体" w:hAnsi="黑体" w:eastAsia="黑体"/>
          <w:b w:val="0"/>
        </w:rPr>
      </w:pPr>
      <w:bookmarkStart w:id="112" w:name="_Toc15377226"/>
      <w:r>
        <w:rPr>
          <w:rFonts w:ascii="宋体"/>
          <w:b/>
          <w:sz w:val="44"/>
          <w:szCs w:val="44"/>
        </w:rPr>
        <w:br w:type="page"/>
      </w:r>
      <w:bookmarkStart w:id="113" w:name="_Toc79163630"/>
      <w:bookmarkStart w:id="114" w:name="_Toc15396614"/>
      <w:bookmarkStart w:id="115" w:name="_Toc79163880"/>
      <w:r>
        <w:rPr>
          <w:rFonts w:hint="eastAsia" w:ascii="黑体" w:hAnsi="黑体" w:eastAsia="黑体"/>
          <w:sz w:val="44"/>
          <w:szCs w:val="44"/>
        </w:rPr>
        <w:t>第</w:t>
      </w:r>
      <w:r>
        <w:rPr>
          <w:rStyle w:val="22"/>
          <w:rFonts w:hint="eastAsia" w:ascii="黑体" w:hAnsi="黑体" w:eastAsia="黑体"/>
          <w:b w:val="0"/>
        </w:rPr>
        <w:t>四部分</w:t>
      </w:r>
      <w:r>
        <w:rPr>
          <w:rStyle w:val="22"/>
          <w:rFonts w:ascii="黑体" w:hAnsi="黑体" w:eastAsia="黑体"/>
          <w:b w:val="0"/>
        </w:rPr>
        <w:t xml:space="preserve"> </w:t>
      </w:r>
      <w:r>
        <w:rPr>
          <w:rStyle w:val="22"/>
          <w:rFonts w:hint="eastAsia" w:ascii="黑体" w:hAnsi="黑体" w:eastAsia="黑体"/>
          <w:b w:val="0"/>
        </w:rPr>
        <w:t>附件</w:t>
      </w:r>
      <w:bookmarkEnd w:id="113"/>
      <w:bookmarkEnd w:id="114"/>
      <w:bookmarkEnd w:id="115"/>
    </w:p>
    <w:p w14:paraId="10FED1F5">
      <w:pPr>
        <w:spacing w:line="600" w:lineRule="exact"/>
        <w:jc w:val="left"/>
        <w:outlineLvl w:val="0"/>
        <w:rPr>
          <w:rFonts w:ascii="方正小标宋简体" w:hAnsi="方正小标宋简体" w:eastAsia="方正小标宋简体" w:cs="方正小标宋简体"/>
          <w:sz w:val="32"/>
          <w:szCs w:val="32"/>
        </w:rPr>
      </w:pPr>
      <w:bookmarkStart w:id="116" w:name="_Toc79163881"/>
      <w:bookmarkStart w:id="117" w:name="_Toc79163631"/>
      <w:r>
        <w:rPr>
          <w:rFonts w:hint="eastAsia" w:ascii="黑体" w:hAnsi="黑体" w:eastAsia="黑体" w:cs="黑体"/>
          <w:sz w:val="32"/>
          <w:szCs w:val="32"/>
        </w:rPr>
        <w:t>附件</w:t>
      </w:r>
      <w:r>
        <w:rPr>
          <w:rFonts w:ascii="黑体" w:hAnsi="黑体" w:eastAsia="黑体" w:cs="黑体"/>
          <w:sz w:val="32"/>
          <w:szCs w:val="32"/>
        </w:rPr>
        <w:t>1</w:t>
      </w:r>
      <w:bookmarkEnd w:id="116"/>
      <w:bookmarkEnd w:id="117"/>
    </w:p>
    <w:p w14:paraId="1AC94CD8">
      <w:pPr>
        <w:spacing w:line="580" w:lineRule="exact"/>
        <w:jc w:val="center"/>
        <w:rPr>
          <w:rFonts w:ascii="方正小标宋简体" w:hAnsi="方正小标宋简体" w:eastAsia="方正小标宋简体" w:cs="方正小标宋简体"/>
          <w:sz w:val="44"/>
          <w:szCs w:val="44"/>
        </w:rPr>
      </w:pPr>
    </w:p>
    <w:p w14:paraId="3795ADB8">
      <w:pPr>
        <w:spacing w:line="600" w:lineRule="exact"/>
        <w:jc w:val="center"/>
        <w:outlineLvl w:val="0"/>
        <w:rPr>
          <w:rFonts w:ascii="方正小标宋简体" w:hAnsi="黑体" w:eastAsia="方正小标宋简体" w:cs="黑体"/>
          <w:sz w:val="44"/>
          <w:szCs w:val="44"/>
        </w:rPr>
      </w:pPr>
      <w:bookmarkStart w:id="118" w:name="_Toc79163882"/>
      <w:bookmarkStart w:id="119" w:name="_Toc79163632"/>
      <w:r>
        <w:rPr>
          <w:rFonts w:hint="eastAsia" w:ascii="方正小标宋简体" w:hAnsi="黑体" w:eastAsia="方正小标宋简体" w:cs="黑体"/>
          <w:sz w:val="44"/>
          <w:szCs w:val="44"/>
        </w:rPr>
        <w:t>松潘县毛尔盖寺庙管理委员会</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18"/>
      <w:bookmarkEnd w:id="119"/>
    </w:p>
    <w:p w14:paraId="04364EFA">
      <w:pPr>
        <w:widowControl/>
        <w:adjustRightInd w:val="0"/>
        <w:snapToGrid w:val="0"/>
        <w:spacing w:line="580" w:lineRule="exact"/>
        <w:ind w:firstLine="640" w:firstLineChars="200"/>
        <w:contextualSpacing/>
        <w:jc w:val="left"/>
        <w:rPr>
          <w:rFonts w:ascii="黑体" w:hAnsi="宋体" w:eastAsia="黑体" w:cs="宋体"/>
          <w:kern w:val="0"/>
          <w:sz w:val="32"/>
          <w:szCs w:val="32"/>
          <w:shd w:val="clear" w:color="auto" w:fill="FFFFFF"/>
          <w:lang w:val="zh-CN"/>
        </w:rPr>
      </w:pPr>
      <w:r>
        <w:rPr>
          <w:rFonts w:hint="eastAsia" w:ascii="黑体" w:hAnsi="宋体" w:eastAsia="黑体" w:cs="宋体"/>
          <w:kern w:val="0"/>
          <w:sz w:val="32"/>
          <w:szCs w:val="32"/>
          <w:shd w:val="clear" w:color="auto" w:fill="FFFFFF"/>
        </w:rPr>
        <w:t>一、</w:t>
      </w:r>
      <w:r>
        <w:rPr>
          <w:rFonts w:hint="eastAsia" w:ascii="黑体" w:hAnsi="宋体" w:eastAsia="黑体" w:cs="宋体"/>
          <w:kern w:val="0"/>
          <w:sz w:val="32"/>
          <w:szCs w:val="32"/>
          <w:shd w:val="clear" w:color="auto" w:fill="FFFFFF"/>
          <w:lang w:val="zh-CN"/>
        </w:rPr>
        <w:t>部门（单位）概况</w:t>
      </w:r>
    </w:p>
    <w:p w14:paraId="32808C36">
      <w:pPr>
        <w:widowControl/>
        <w:adjustRightInd w:val="0"/>
        <w:snapToGrid w:val="0"/>
        <w:spacing w:line="580"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（一）机构组成。</w:t>
      </w:r>
    </w:p>
    <w:p w14:paraId="088FC0B9">
      <w:pPr>
        <w:widowControl/>
        <w:adjustRightInd w:val="0"/>
        <w:snapToGrid w:val="0"/>
        <w:spacing w:line="580"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eastAsia="仿宋_GB2312"/>
          <w:bCs/>
          <w:kern w:val="0"/>
          <w:sz w:val="32"/>
          <w:szCs w:val="32"/>
        </w:rPr>
        <w:t>毛尔盖寺庙管理委员会内设机构1室5科，即综合管理办公室、宗教事务管理科、社会化服务科、法制宣传教育科、治安消防科、财务监督管理科。单位核定行政编制11人，其中设主任1名，专职副主任4名，副科级领导职数6名；核定机关事业工勤1名，合计12个编制</w:t>
      </w:r>
    </w:p>
    <w:p w14:paraId="0DE1292A">
      <w:pPr>
        <w:widowControl/>
        <w:numPr>
          <w:ilvl w:val="0"/>
          <w:numId w:val="5"/>
        </w:numPr>
        <w:adjustRightInd w:val="0"/>
        <w:snapToGrid w:val="0"/>
        <w:spacing w:line="580" w:lineRule="exact"/>
        <w:ind w:firstLine="64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机构职能。</w:t>
      </w:r>
    </w:p>
    <w:p w14:paraId="11F4ED54">
      <w:pPr>
        <w:widowControl/>
        <w:adjustRightInd w:val="0"/>
        <w:snapToGrid w:val="0"/>
        <w:spacing w:line="580" w:lineRule="exact"/>
        <w:ind w:left="630" w:firstLine="640" w:firstLineChars="200"/>
        <w:contextualSpacing/>
        <w:jc w:val="left"/>
        <w:rPr>
          <w:rFonts w:ascii="仿宋_GB2312" w:hAnsi="宋体" w:eastAsia="仿宋_GB2312" w:cs="宋体"/>
          <w:kern w:val="0"/>
          <w:sz w:val="32"/>
          <w:szCs w:val="32"/>
          <w:shd w:val="clear" w:color="auto" w:fill="FFFFFF"/>
          <w:lang w:val="zh-CN"/>
        </w:rPr>
      </w:pPr>
      <w:r>
        <w:rPr>
          <w:rFonts w:hint="eastAsia"/>
          <w:bCs/>
          <w:sz w:val="32"/>
          <w:szCs w:val="32"/>
        </w:rPr>
        <w:t>毛尔盖寺庙管理委员会为县政府派出副县级机构，受县人民政府的委托，履行相应宗教事务管理执法权，业务上受县委统战部和宗教部门的指导和监督</w:t>
      </w:r>
    </w:p>
    <w:p w14:paraId="7C416469">
      <w:pPr>
        <w:widowControl/>
        <w:adjustRightInd w:val="0"/>
        <w:snapToGrid w:val="0"/>
        <w:spacing w:line="580" w:lineRule="exact"/>
        <w:ind w:firstLine="640" w:firstLineChars="20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二、部门财政资金收支情况</w:t>
      </w:r>
    </w:p>
    <w:p w14:paraId="73B6197C">
      <w:pPr>
        <w:widowControl/>
        <w:adjustRightInd w:val="0"/>
        <w:snapToGrid w:val="0"/>
        <w:spacing w:line="580"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（一）部门财政资金收入情况。</w:t>
      </w:r>
    </w:p>
    <w:p w14:paraId="2BFCA84D">
      <w:pPr>
        <w:widowControl/>
        <w:adjustRightInd w:val="0"/>
        <w:snapToGrid w:val="0"/>
        <w:spacing w:line="572" w:lineRule="exact"/>
        <w:ind w:firstLine="640" w:firstLineChars="200"/>
        <w:jc w:val="left"/>
        <w:rPr>
          <w:rFonts w:ascii="仿宋_GB2312" w:hAnsi="宋体" w:eastAsia="仿宋_GB2312" w:cs="宋体"/>
          <w:kern w:val="0"/>
          <w:sz w:val="32"/>
          <w:szCs w:val="32"/>
          <w:shd w:val="clear" w:color="auto" w:fill="FFFFFF"/>
          <w:lang w:val="zh-CN"/>
        </w:rPr>
      </w:pPr>
      <w:r>
        <w:rPr>
          <w:rFonts w:hint="eastAsia" w:ascii="仿宋_GB2312" w:hAnsi="仿宋_GB2312" w:eastAsia="仿宋_GB2312" w:cs="仿宋_GB2312"/>
          <w:sz w:val="32"/>
          <w:szCs w:val="32"/>
        </w:rPr>
        <w:t>201</w:t>
      </w:r>
      <w:r>
        <w:rPr>
          <w:rFonts w:hint="eastAsia" w:ascii="仿宋_GB2312" w:hAnsi="仿宋_GB2312" w:cs="仿宋_GB2312"/>
          <w:sz w:val="32"/>
          <w:szCs w:val="32"/>
        </w:rPr>
        <w:t>9</w:t>
      </w:r>
      <w:r>
        <w:rPr>
          <w:rFonts w:hint="eastAsia" w:ascii="仿宋_GB2312" w:hAnsi="仿宋_GB2312" w:eastAsia="仿宋_GB2312" w:cs="仿宋_GB2312"/>
          <w:sz w:val="32"/>
          <w:szCs w:val="32"/>
        </w:rPr>
        <w:t>年结余</w:t>
      </w:r>
      <w:r>
        <w:rPr>
          <w:rFonts w:hint="eastAsia" w:ascii="仿宋_GB2312" w:hAnsi="仿宋_GB2312" w:cs="仿宋_GB2312"/>
          <w:sz w:val="32"/>
          <w:szCs w:val="32"/>
        </w:rPr>
        <w:t>14.22</w:t>
      </w:r>
      <w:r>
        <w:rPr>
          <w:rFonts w:hint="eastAsia" w:ascii="仿宋_GB2312" w:hAnsi="仿宋_GB2312" w:eastAsia="仿宋_GB2312" w:cs="仿宋_GB2312"/>
          <w:sz w:val="32"/>
          <w:szCs w:val="32"/>
        </w:rPr>
        <w:t>万元，2020年毛尔盖寺庙管理委员会本年收入合计</w:t>
      </w:r>
      <w:r>
        <w:rPr>
          <w:rFonts w:hint="eastAsia" w:ascii="仿宋_GB2312" w:hAnsi="仿宋_GB2312" w:cs="仿宋_GB2312"/>
          <w:sz w:val="32"/>
          <w:szCs w:val="32"/>
        </w:rPr>
        <w:t>215.56</w:t>
      </w:r>
      <w:r>
        <w:rPr>
          <w:rFonts w:hint="eastAsia" w:ascii="仿宋_GB2312" w:hAnsi="仿宋_GB2312" w:eastAsia="仿宋_GB2312" w:cs="仿宋_GB2312"/>
          <w:sz w:val="32"/>
          <w:szCs w:val="32"/>
        </w:rPr>
        <w:t>万元，其中：财政拨款收入</w:t>
      </w:r>
      <w:r>
        <w:rPr>
          <w:rFonts w:hint="eastAsia" w:ascii="仿宋_GB2312" w:hAnsi="仿宋_GB2312" w:cs="仿宋_GB2312"/>
          <w:sz w:val="32"/>
          <w:szCs w:val="32"/>
        </w:rPr>
        <w:t>215.56</w:t>
      </w:r>
      <w:r>
        <w:rPr>
          <w:rFonts w:hint="eastAsia" w:ascii="仿宋_GB2312" w:hAnsi="仿宋_GB2312" w:eastAsia="仿宋_GB2312" w:cs="仿宋_GB2312"/>
          <w:sz w:val="32"/>
          <w:szCs w:val="32"/>
        </w:rPr>
        <w:t>万元，占100%。</w:t>
      </w:r>
    </w:p>
    <w:p w14:paraId="16D16E5D">
      <w:pPr>
        <w:widowControl/>
        <w:adjustRightInd w:val="0"/>
        <w:snapToGrid w:val="0"/>
        <w:spacing w:line="580" w:lineRule="exact"/>
        <w:ind w:firstLine="640" w:firstLineChars="200"/>
        <w:contextualSpacing/>
        <w:jc w:val="left"/>
        <w:rPr>
          <w:rFonts w:ascii="仿宋_GB2312" w:hAnsi="宋体" w:eastAsia="仿宋_GB2312" w:cs="宋体"/>
          <w:kern w:val="0"/>
          <w:sz w:val="32"/>
          <w:szCs w:val="32"/>
          <w:shd w:val="clear" w:color="auto" w:fill="FFFFFF"/>
          <w:lang w:val="zh-CN"/>
        </w:rPr>
      </w:pPr>
    </w:p>
    <w:p w14:paraId="7B8397D5">
      <w:pPr>
        <w:widowControl/>
        <w:numPr>
          <w:ilvl w:val="0"/>
          <w:numId w:val="5"/>
        </w:numPr>
        <w:adjustRightInd w:val="0"/>
        <w:snapToGrid w:val="0"/>
        <w:spacing w:line="580" w:lineRule="exact"/>
        <w:ind w:firstLine="64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部门财政资金支出情况。</w:t>
      </w:r>
    </w:p>
    <w:p w14:paraId="0264D379">
      <w:pPr>
        <w:widowControl/>
        <w:adjustRightInd w:val="0"/>
        <w:snapToGrid w:val="0"/>
        <w:spacing w:line="580"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仿宋_GB2312" w:eastAsia="仿宋_GB2312" w:cs="仿宋_GB2312"/>
          <w:sz w:val="32"/>
          <w:szCs w:val="32"/>
        </w:rPr>
        <w:t>2020年毛尔盖寺庙管理委员会本年支出合计</w:t>
      </w:r>
      <w:r>
        <w:rPr>
          <w:rFonts w:hint="eastAsia" w:ascii="仿宋_GB2312" w:hAnsi="仿宋_GB2312" w:cs="仿宋_GB2312"/>
          <w:sz w:val="32"/>
          <w:szCs w:val="32"/>
        </w:rPr>
        <w:t>229.79</w:t>
      </w:r>
      <w:r>
        <w:rPr>
          <w:rFonts w:hint="eastAsia" w:ascii="仿宋_GB2312" w:hAnsi="仿宋_GB2312" w:eastAsia="仿宋_GB2312" w:cs="仿宋_GB2312"/>
          <w:sz w:val="32"/>
          <w:szCs w:val="32"/>
        </w:rPr>
        <w:t>万元，其中：基本支出</w:t>
      </w:r>
      <w:r>
        <w:rPr>
          <w:rFonts w:hint="eastAsia" w:ascii="仿宋_GB2312" w:hAnsi="仿宋_GB2312" w:cs="仿宋_GB2312"/>
          <w:sz w:val="32"/>
          <w:szCs w:val="32"/>
        </w:rPr>
        <w:t>200.22</w:t>
      </w:r>
      <w:r>
        <w:rPr>
          <w:rFonts w:hint="eastAsia" w:ascii="仿宋_GB2312" w:hAnsi="仿宋_GB2312" w:eastAsia="仿宋_GB2312" w:cs="仿宋_GB2312"/>
          <w:sz w:val="32"/>
          <w:szCs w:val="32"/>
        </w:rPr>
        <w:t>万元，占</w:t>
      </w:r>
      <w:r>
        <w:rPr>
          <w:rFonts w:hint="eastAsia" w:ascii="仿宋_GB2312" w:hAnsi="仿宋_GB2312" w:cs="仿宋_GB2312"/>
          <w:sz w:val="32"/>
          <w:szCs w:val="32"/>
        </w:rPr>
        <w:t>87.13</w:t>
      </w:r>
      <w:r>
        <w:rPr>
          <w:rFonts w:hint="eastAsia" w:ascii="仿宋_GB2312" w:hAnsi="仿宋_GB2312" w:eastAsia="仿宋_GB2312" w:cs="仿宋_GB2312"/>
          <w:sz w:val="32"/>
          <w:szCs w:val="32"/>
        </w:rPr>
        <w:t>%；项目支出</w:t>
      </w:r>
      <w:r>
        <w:rPr>
          <w:rFonts w:hint="eastAsia" w:ascii="仿宋_GB2312" w:hAnsi="仿宋_GB2312" w:cs="仿宋_GB2312"/>
          <w:sz w:val="32"/>
          <w:szCs w:val="32"/>
        </w:rPr>
        <w:t>29.56</w:t>
      </w:r>
      <w:r>
        <w:rPr>
          <w:rFonts w:hint="eastAsia" w:ascii="仿宋_GB2312" w:hAnsi="仿宋_GB2312" w:eastAsia="仿宋_GB2312" w:cs="仿宋_GB2312"/>
          <w:sz w:val="32"/>
          <w:szCs w:val="32"/>
        </w:rPr>
        <w:t>万元，占12.86%</w:t>
      </w:r>
    </w:p>
    <w:p w14:paraId="71117DA1">
      <w:pPr>
        <w:widowControl/>
        <w:numPr>
          <w:ilvl w:val="0"/>
          <w:numId w:val="5"/>
        </w:numPr>
        <w:adjustRightInd w:val="0"/>
        <w:snapToGrid w:val="0"/>
        <w:spacing w:line="580" w:lineRule="exact"/>
        <w:ind w:firstLine="640"/>
        <w:contextualSpacing/>
        <w:jc w:val="left"/>
        <w:rPr>
          <w:rFonts w:ascii="仿宋_GB2312" w:hAnsi="宋体" w:eastAsia="仿宋_GB2312" w:cs="宋体"/>
          <w:kern w:val="0"/>
          <w:sz w:val="32"/>
          <w:szCs w:val="32"/>
          <w:shd w:val="clear" w:color="auto" w:fill="FFFFFF"/>
          <w:lang w:val="zh-CN"/>
        </w:rPr>
      </w:pPr>
    </w:p>
    <w:p w14:paraId="470D7DEE">
      <w:pPr>
        <w:widowControl/>
        <w:adjustRightInd w:val="0"/>
        <w:snapToGrid w:val="0"/>
        <w:spacing w:line="580" w:lineRule="exact"/>
        <w:ind w:firstLine="640" w:firstLineChars="20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三、部门整体预算绩效管理情况</w:t>
      </w:r>
    </w:p>
    <w:p w14:paraId="6BA4E85A">
      <w:pPr>
        <w:widowControl/>
        <w:adjustRightInd w:val="0"/>
        <w:snapToGrid w:val="0"/>
        <w:spacing w:line="580"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（一）部门预算管理。</w:t>
      </w:r>
    </w:p>
    <w:p w14:paraId="3072BD2E">
      <w:pPr>
        <w:widowControl/>
        <w:adjustRightInd w:val="0"/>
        <w:snapToGrid w:val="0"/>
        <w:spacing w:line="572" w:lineRule="exact"/>
        <w:ind w:firstLine="960" w:firstLineChars="300"/>
        <w:jc w:val="left"/>
        <w:rPr>
          <w:rFonts w:ascii="仿宋_GB2312" w:hAnsi="宋体" w:eastAsia="仿宋_GB2312" w:cs="宋体"/>
          <w:kern w:val="0"/>
          <w:sz w:val="32"/>
          <w:szCs w:val="32"/>
          <w:shd w:val="clear" w:color="auto" w:fill="FFFFFF"/>
          <w:lang w:val="zh-CN"/>
        </w:rPr>
      </w:pPr>
      <w:r>
        <w:rPr>
          <w:rFonts w:hint="eastAsia" w:ascii="仿宋_GB2312" w:hAnsi="仿宋_GB2312" w:eastAsia="仿宋_GB2312" w:cs="仿宋_GB2312"/>
          <w:sz w:val="32"/>
          <w:szCs w:val="32"/>
        </w:rPr>
        <w:t>毛尔盖寺庙管理委员会按照县财</w:t>
      </w:r>
      <w:r>
        <w:rPr>
          <w:rFonts w:hint="eastAsia" w:ascii="仿宋_GB2312" w:hAnsi="仿宋_GB2312" w:eastAsia="仿宋_GB2312" w:cs="仿宋_GB2312"/>
          <w:sz w:val="32"/>
          <w:szCs w:val="32"/>
          <w:lang w:eastAsia="zh-CN"/>
        </w:rPr>
        <w:t>政局</w:t>
      </w:r>
      <w:r>
        <w:rPr>
          <w:rFonts w:hint="eastAsia" w:ascii="仿宋_GB2312" w:hAnsi="仿宋_GB2312" w:eastAsia="仿宋_GB2312" w:cs="仿宋_GB2312"/>
          <w:sz w:val="32"/>
          <w:szCs w:val="32"/>
        </w:rPr>
        <w:t>的要求及时组织财务人员进行</w:t>
      </w:r>
      <w:r>
        <w:rPr>
          <w:rFonts w:hint="eastAsia" w:ascii="仿宋_GB2312" w:hAnsi="仿宋_GB2312" w:eastAsia="仿宋_GB2312" w:cs="仿宋_GB2312"/>
          <w:sz w:val="32"/>
          <w:szCs w:val="32"/>
          <w:lang w:eastAsia="zh-CN"/>
        </w:rPr>
        <w:t>预算</w:t>
      </w:r>
      <w:r>
        <w:rPr>
          <w:rFonts w:hint="eastAsia" w:ascii="仿宋_GB2312" w:hAnsi="仿宋_GB2312" w:eastAsia="仿宋_GB2312" w:cs="仿宋_GB2312"/>
          <w:sz w:val="32"/>
          <w:szCs w:val="32"/>
        </w:rPr>
        <w:t>的编制，对本年度相应用款进行及时清理和处理，做到账账相符、账实相符、账证相符</w:t>
      </w:r>
      <w:bookmarkStart w:id="164" w:name="_GoBack"/>
      <w:r>
        <w:rPr>
          <w:rFonts w:hint="eastAsia" w:ascii="仿宋_GB2312" w:hAnsi="仿宋_GB2312" w:eastAsia="仿宋_GB2312" w:cs="仿宋_GB2312"/>
          <w:sz w:val="32"/>
          <w:szCs w:val="32"/>
          <w:lang w:eastAsia="zh-CN"/>
        </w:rPr>
        <w:t>，</w:t>
      </w:r>
      <w:bookmarkEnd w:id="164"/>
      <w:r>
        <w:rPr>
          <w:rFonts w:hint="eastAsia" w:ascii="仿宋_GB2312" w:hAnsi="仿宋_GB2312" w:eastAsia="仿宋_GB2312" w:cs="仿宋_GB2312"/>
          <w:sz w:val="32"/>
          <w:szCs w:val="32"/>
        </w:rPr>
        <w:t>先有预算再有支出的原则，及时处理相关事务；对绩效目标进行季度梳理和年度分析，及时上报相关报表；对专项预算提前细化，分科目上报，做到收支平衡。</w:t>
      </w:r>
    </w:p>
    <w:p w14:paraId="3CD06A8C">
      <w:pPr>
        <w:widowControl/>
        <w:adjustRightInd w:val="0"/>
        <w:snapToGrid w:val="0"/>
        <w:spacing w:line="580"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（二）结果应用情况。</w:t>
      </w:r>
    </w:p>
    <w:p w14:paraId="229458B9">
      <w:pPr>
        <w:widowControl/>
        <w:adjustRightInd w:val="0"/>
        <w:snapToGrid w:val="0"/>
        <w:spacing w:line="572"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本单位2020年绩效评价报告通过公示栏进行公开，各项支出都在县财政的监管下执行，手续齐全、合理、合法，公开的数据，不存在虚列支出的问题，按照实际支出填报。</w:t>
      </w:r>
    </w:p>
    <w:p w14:paraId="301C7F35">
      <w:pPr>
        <w:widowControl/>
        <w:adjustRightInd w:val="0"/>
        <w:snapToGrid w:val="0"/>
        <w:spacing w:line="580" w:lineRule="exact"/>
        <w:ind w:firstLine="640" w:firstLineChars="20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四、评价结论及建议</w:t>
      </w:r>
    </w:p>
    <w:p w14:paraId="5048F177">
      <w:pPr>
        <w:widowControl/>
        <w:adjustRightInd w:val="0"/>
        <w:snapToGrid w:val="0"/>
        <w:spacing w:line="580"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（一）评价结论。</w:t>
      </w:r>
    </w:p>
    <w:p w14:paraId="19643A93">
      <w:pPr>
        <w:widowControl/>
        <w:adjustRightInd w:val="0"/>
        <w:snapToGrid w:val="0"/>
        <w:spacing w:line="572" w:lineRule="exact"/>
        <w:ind w:firstLine="960" w:firstLineChars="300"/>
        <w:jc w:val="left"/>
        <w:rPr>
          <w:rFonts w:ascii="仿宋_GB2312" w:hAnsi="宋体" w:eastAsia="仿宋_GB2312" w:cs="宋体"/>
          <w:kern w:val="0"/>
          <w:sz w:val="32"/>
          <w:szCs w:val="32"/>
          <w:shd w:val="clear" w:color="auto" w:fill="FFFFFF"/>
        </w:rPr>
      </w:pPr>
      <w:r>
        <w:rPr>
          <w:rFonts w:hint="eastAsia" w:ascii="仿宋_GB2312" w:hAnsi="仿宋_GB2312" w:eastAsia="仿宋_GB2312" w:cs="仿宋_GB2312"/>
          <w:sz w:val="32"/>
          <w:szCs w:val="32"/>
        </w:rPr>
        <w:t>2020年，毛尔盖寺庙管理委员会认真落实县委、县政府决策部署，按照保进度、重质量、求实效的要求，全面推进各项重点工作，较好地完成了各项目标任务。整体支出绩效评价指标体系自评得分</w:t>
      </w:r>
      <w:r>
        <w:rPr>
          <w:rFonts w:hint="eastAsia" w:ascii="仿宋_GB2312" w:hAnsi="仿宋_GB2312" w:cs="仿宋_GB2312"/>
          <w:sz w:val="32"/>
          <w:szCs w:val="32"/>
        </w:rPr>
        <w:t>90.5</w:t>
      </w:r>
      <w:r>
        <w:rPr>
          <w:rFonts w:hint="eastAsia" w:ascii="仿宋_GB2312" w:hAnsi="仿宋_GB2312" w:eastAsia="仿宋_GB2312" w:cs="仿宋_GB2312"/>
          <w:sz w:val="32"/>
          <w:szCs w:val="32"/>
        </w:rPr>
        <w:t>分，部门整体支出绩效为“良好”。</w:t>
      </w:r>
    </w:p>
    <w:p w14:paraId="3527D2CC">
      <w:pPr>
        <w:widowControl/>
        <w:adjustRightInd w:val="0"/>
        <w:snapToGrid w:val="0"/>
        <w:spacing w:line="580" w:lineRule="exact"/>
        <w:contextualSpacing/>
        <w:jc w:val="left"/>
        <w:rPr>
          <w:rFonts w:ascii="仿宋_GB2312" w:hAnsi="宋体" w:eastAsia="仿宋_GB2312" w:cs="宋体"/>
          <w:kern w:val="0"/>
          <w:sz w:val="32"/>
          <w:szCs w:val="32"/>
          <w:shd w:val="clear" w:color="auto" w:fill="FFFFFF"/>
          <w:lang w:val="zh-CN"/>
        </w:rPr>
      </w:pPr>
    </w:p>
    <w:p w14:paraId="53CEBB31">
      <w:pPr>
        <w:widowControl/>
        <w:adjustRightInd w:val="0"/>
        <w:snapToGrid w:val="0"/>
        <w:spacing w:line="580"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w:t>
      </w:r>
      <w:r>
        <w:rPr>
          <w:rFonts w:hint="eastAsia" w:ascii="仿宋_GB2312" w:hAnsi="宋体" w:eastAsia="仿宋_GB2312" w:cs="宋体"/>
          <w:kern w:val="0"/>
          <w:sz w:val="32"/>
          <w:szCs w:val="32"/>
          <w:shd w:val="clear" w:color="auto" w:fill="FFFFFF"/>
        </w:rPr>
        <w:t>二</w:t>
      </w:r>
      <w:r>
        <w:rPr>
          <w:rFonts w:hint="eastAsia" w:ascii="仿宋_GB2312" w:hAnsi="宋体" w:eastAsia="仿宋_GB2312" w:cs="宋体"/>
          <w:kern w:val="0"/>
          <w:sz w:val="32"/>
          <w:szCs w:val="32"/>
          <w:shd w:val="clear" w:color="auto" w:fill="FFFFFF"/>
          <w:lang w:val="zh-CN"/>
        </w:rPr>
        <w:t>）改进建议。</w:t>
      </w:r>
    </w:p>
    <w:p w14:paraId="3CF033E6">
      <w:pPr>
        <w:widowControl/>
        <w:adjustRightInd w:val="0"/>
        <w:snapToGrid w:val="0"/>
        <w:spacing w:line="580"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仿宋_GB2312" w:eastAsia="仿宋_GB2312" w:cs="仿宋_GB2312"/>
          <w:sz w:val="32"/>
          <w:szCs w:val="32"/>
        </w:rPr>
        <w:t>科学合理编制预算，严格执行预算，规范账务处理，提高财务信息质量，完善管理制度，进一步加强资产管理。</w:t>
      </w:r>
    </w:p>
    <w:p w14:paraId="6603C403">
      <w:pPr>
        <w:spacing w:line="600" w:lineRule="exact"/>
        <w:rPr>
          <w:rStyle w:val="22"/>
          <w:rFonts w:ascii="黑体" w:hAnsi="黑体" w:eastAsia="黑体"/>
          <w:b w:val="0"/>
        </w:rPr>
      </w:pPr>
    </w:p>
    <w:p w14:paraId="39838F8A">
      <w:pPr>
        <w:spacing w:line="580" w:lineRule="exact"/>
        <w:ind w:firstLine="640" w:firstLineChars="200"/>
        <w:rPr>
          <w:rFonts w:ascii="仿宋_GB2312" w:hAnsi="仿宋_GB2312" w:eastAsia="仿宋_GB2312" w:cs="仿宋_GB2312"/>
          <w:sz w:val="32"/>
          <w:szCs w:val="32"/>
        </w:rPr>
      </w:pPr>
    </w:p>
    <w:p w14:paraId="072682EB">
      <w:pPr>
        <w:spacing w:line="580" w:lineRule="exact"/>
        <w:ind w:firstLine="640" w:firstLineChars="200"/>
        <w:rPr>
          <w:rFonts w:ascii="仿宋_GB2312" w:hAnsi="仿宋_GB2312" w:eastAsia="仿宋_GB2312" w:cs="仿宋_GB2312"/>
          <w:sz w:val="32"/>
          <w:szCs w:val="32"/>
        </w:rPr>
      </w:pPr>
    </w:p>
    <w:p w14:paraId="6B79266B">
      <w:pPr>
        <w:spacing w:line="580" w:lineRule="exact"/>
        <w:ind w:firstLine="640" w:firstLineChars="200"/>
        <w:rPr>
          <w:rFonts w:ascii="仿宋_GB2312" w:hAnsi="仿宋_GB2312" w:eastAsia="仿宋_GB2312" w:cs="仿宋_GB2312"/>
          <w:sz w:val="32"/>
          <w:szCs w:val="32"/>
        </w:rPr>
      </w:pPr>
    </w:p>
    <w:p w14:paraId="21C3C7CA">
      <w:pPr>
        <w:spacing w:line="580" w:lineRule="exact"/>
        <w:ind w:firstLine="640" w:firstLineChars="200"/>
        <w:rPr>
          <w:rFonts w:ascii="仿宋_GB2312" w:hAnsi="仿宋_GB2312" w:eastAsia="仿宋_GB2312" w:cs="仿宋_GB2312"/>
          <w:sz w:val="32"/>
          <w:szCs w:val="32"/>
        </w:rPr>
      </w:pPr>
    </w:p>
    <w:p w14:paraId="6ED46007">
      <w:pPr>
        <w:spacing w:line="580" w:lineRule="exact"/>
        <w:ind w:firstLine="640" w:firstLineChars="200"/>
        <w:rPr>
          <w:rFonts w:ascii="仿宋_GB2312" w:hAnsi="仿宋_GB2312" w:eastAsia="仿宋_GB2312" w:cs="仿宋_GB2312"/>
          <w:sz w:val="32"/>
          <w:szCs w:val="32"/>
        </w:rPr>
      </w:pPr>
    </w:p>
    <w:p w14:paraId="6474EFF7">
      <w:pPr>
        <w:spacing w:line="580" w:lineRule="exact"/>
        <w:ind w:firstLine="640" w:firstLineChars="200"/>
        <w:rPr>
          <w:rFonts w:ascii="仿宋_GB2312" w:hAnsi="仿宋_GB2312" w:eastAsia="仿宋_GB2312" w:cs="仿宋_GB2312"/>
          <w:sz w:val="32"/>
          <w:szCs w:val="32"/>
        </w:rPr>
      </w:pPr>
    </w:p>
    <w:p w14:paraId="7526C7A5">
      <w:pPr>
        <w:spacing w:line="580" w:lineRule="exact"/>
        <w:ind w:firstLine="640" w:firstLineChars="200"/>
        <w:rPr>
          <w:rFonts w:ascii="仿宋_GB2312" w:hAnsi="仿宋_GB2312" w:eastAsia="仿宋_GB2312" w:cs="仿宋_GB2312"/>
          <w:sz w:val="32"/>
          <w:szCs w:val="32"/>
        </w:rPr>
      </w:pPr>
    </w:p>
    <w:p w14:paraId="6BC5FAE0">
      <w:pPr>
        <w:spacing w:line="580" w:lineRule="exact"/>
        <w:ind w:firstLine="640" w:firstLineChars="200"/>
        <w:rPr>
          <w:rFonts w:ascii="仿宋_GB2312" w:hAnsi="仿宋_GB2312" w:eastAsia="仿宋_GB2312" w:cs="仿宋_GB2312"/>
          <w:sz w:val="32"/>
          <w:szCs w:val="32"/>
        </w:rPr>
      </w:pPr>
    </w:p>
    <w:p w14:paraId="25365FFC">
      <w:pPr>
        <w:spacing w:line="580" w:lineRule="exact"/>
        <w:ind w:firstLine="640" w:firstLineChars="200"/>
        <w:rPr>
          <w:rFonts w:ascii="仿宋_GB2312" w:hAnsi="仿宋_GB2312" w:eastAsia="仿宋_GB2312" w:cs="仿宋_GB2312"/>
          <w:sz w:val="32"/>
          <w:szCs w:val="32"/>
        </w:rPr>
      </w:pPr>
    </w:p>
    <w:p w14:paraId="320CFCB9">
      <w:pPr>
        <w:spacing w:line="580" w:lineRule="exact"/>
        <w:ind w:firstLine="640" w:firstLineChars="200"/>
        <w:rPr>
          <w:rFonts w:ascii="仿宋_GB2312" w:hAnsi="仿宋_GB2312" w:eastAsia="仿宋_GB2312" w:cs="仿宋_GB2312"/>
          <w:sz w:val="32"/>
          <w:szCs w:val="32"/>
        </w:rPr>
      </w:pPr>
    </w:p>
    <w:p w14:paraId="37480532">
      <w:pPr>
        <w:spacing w:line="580" w:lineRule="exact"/>
        <w:ind w:firstLine="640" w:firstLineChars="200"/>
        <w:rPr>
          <w:rFonts w:ascii="仿宋_GB2312" w:hAnsi="仿宋_GB2312" w:eastAsia="仿宋_GB2312" w:cs="仿宋_GB2312"/>
          <w:sz w:val="32"/>
          <w:szCs w:val="32"/>
        </w:rPr>
      </w:pPr>
    </w:p>
    <w:p w14:paraId="60FC2DA6">
      <w:pPr>
        <w:spacing w:line="580" w:lineRule="exact"/>
        <w:ind w:firstLine="640" w:firstLineChars="200"/>
        <w:rPr>
          <w:rFonts w:ascii="仿宋_GB2312" w:hAnsi="仿宋_GB2312" w:eastAsia="仿宋_GB2312" w:cs="仿宋_GB2312"/>
          <w:sz w:val="32"/>
          <w:szCs w:val="32"/>
        </w:rPr>
      </w:pPr>
    </w:p>
    <w:p w14:paraId="45701504">
      <w:pPr>
        <w:spacing w:line="580" w:lineRule="exact"/>
        <w:ind w:firstLine="640" w:firstLineChars="200"/>
        <w:rPr>
          <w:rFonts w:ascii="仿宋_GB2312" w:hAnsi="仿宋_GB2312" w:eastAsia="仿宋_GB2312" w:cs="仿宋_GB2312"/>
          <w:sz w:val="32"/>
          <w:szCs w:val="32"/>
        </w:rPr>
      </w:pPr>
    </w:p>
    <w:p w14:paraId="77E320E1">
      <w:pPr>
        <w:spacing w:line="580" w:lineRule="exact"/>
        <w:ind w:firstLine="640" w:firstLineChars="200"/>
        <w:rPr>
          <w:rFonts w:ascii="仿宋_GB2312" w:hAnsi="仿宋_GB2312" w:eastAsia="仿宋_GB2312" w:cs="仿宋_GB2312"/>
          <w:sz w:val="32"/>
          <w:szCs w:val="32"/>
        </w:rPr>
      </w:pPr>
    </w:p>
    <w:p w14:paraId="5F713D31">
      <w:pPr>
        <w:spacing w:line="580" w:lineRule="exact"/>
        <w:ind w:firstLine="640" w:firstLineChars="200"/>
        <w:rPr>
          <w:rFonts w:ascii="仿宋_GB2312" w:hAnsi="仿宋_GB2312" w:eastAsia="仿宋_GB2312" w:cs="仿宋_GB2312"/>
          <w:sz w:val="32"/>
          <w:szCs w:val="32"/>
        </w:rPr>
      </w:pPr>
    </w:p>
    <w:p w14:paraId="1645588B">
      <w:pPr>
        <w:spacing w:line="580" w:lineRule="exact"/>
        <w:ind w:firstLine="640" w:firstLineChars="200"/>
        <w:rPr>
          <w:rFonts w:ascii="仿宋_GB2312" w:hAnsi="仿宋_GB2312" w:eastAsia="仿宋_GB2312" w:cs="仿宋_GB2312"/>
          <w:sz w:val="32"/>
          <w:szCs w:val="32"/>
        </w:rPr>
      </w:pPr>
    </w:p>
    <w:p w14:paraId="7D629ADE">
      <w:pPr>
        <w:spacing w:line="580" w:lineRule="exact"/>
        <w:ind w:firstLine="640" w:firstLineChars="200"/>
        <w:rPr>
          <w:rFonts w:ascii="仿宋_GB2312" w:hAnsi="仿宋_GB2312" w:eastAsia="仿宋_GB2312" w:cs="仿宋_GB2312"/>
          <w:sz w:val="32"/>
          <w:szCs w:val="32"/>
        </w:rPr>
      </w:pPr>
    </w:p>
    <w:p w14:paraId="4ADC36B3">
      <w:pPr>
        <w:spacing w:line="580" w:lineRule="exact"/>
        <w:ind w:firstLine="640" w:firstLineChars="200"/>
        <w:rPr>
          <w:rFonts w:ascii="仿宋_GB2312" w:hAnsi="仿宋_GB2312" w:eastAsia="仿宋_GB2312" w:cs="仿宋_GB2312"/>
          <w:sz w:val="32"/>
          <w:szCs w:val="32"/>
        </w:rPr>
      </w:pPr>
    </w:p>
    <w:p w14:paraId="7D2B5B33">
      <w:pPr>
        <w:spacing w:line="580" w:lineRule="exact"/>
        <w:ind w:firstLine="640" w:firstLineChars="200"/>
        <w:rPr>
          <w:rFonts w:ascii="仿宋_GB2312" w:hAnsi="仿宋_GB2312" w:eastAsia="仿宋_GB2312" w:cs="仿宋_GB2312"/>
          <w:sz w:val="32"/>
          <w:szCs w:val="32"/>
        </w:rPr>
      </w:pPr>
    </w:p>
    <w:p w14:paraId="03569C22">
      <w:pPr>
        <w:spacing w:line="600" w:lineRule="exact"/>
        <w:jc w:val="center"/>
        <w:outlineLvl w:val="0"/>
        <w:rPr>
          <w:rStyle w:val="22"/>
          <w:rFonts w:ascii="黑体" w:hAnsi="黑体" w:eastAsia="黑体"/>
          <w:b w:val="0"/>
        </w:rPr>
      </w:pPr>
      <w:bookmarkStart w:id="120" w:name="_Toc15396618"/>
      <w:bookmarkStart w:id="121" w:name="_Toc79163885"/>
      <w:bookmarkStart w:id="122" w:name="_Toc79163635"/>
      <w:r>
        <w:rPr>
          <w:rFonts w:hint="eastAsia" w:ascii="黑体" w:hAnsi="黑体" w:eastAsia="黑体"/>
          <w:sz w:val="44"/>
          <w:szCs w:val="44"/>
        </w:rPr>
        <w:t>第</w:t>
      </w:r>
      <w:r>
        <w:rPr>
          <w:rStyle w:val="22"/>
          <w:rFonts w:hint="eastAsia" w:ascii="黑体" w:hAnsi="黑体" w:eastAsia="黑体"/>
          <w:b w:val="0"/>
        </w:rPr>
        <w:t>五部分</w:t>
      </w:r>
      <w:r>
        <w:rPr>
          <w:rStyle w:val="22"/>
          <w:rFonts w:ascii="黑体" w:hAnsi="黑体" w:eastAsia="黑体"/>
          <w:b w:val="0"/>
        </w:rPr>
        <w:t xml:space="preserve"> </w:t>
      </w:r>
      <w:r>
        <w:rPr>
          <w:rStyle w:val="22"/>
          <w:rFonts w:hint="eastAsia" w:ascii="黑体" w:hAnsi="黑体" w:eastAsia="黑体"/>
          <w:b w:val="0"/>
        </w:rPr>
        <w:t>附表</w:t>
      </w:r>
      <w:bookmarkEnd w:id="112"/>
      <w:bookmarkEnd w:id="120"/>
      <w:bookmarkEnd w:id="121"/>
      <w:bookmarkEnd w:id="122"/>
    </w:p>
    <w:p w14:paraId="2CB06758">
      <w:pPr>
        <w:pStyle w:val="3"/>
        <w:rPr>
          <w:rFonts w:ascii="仿宋" w:hAnsi="仿宋" w:eastAsia="仿宋"/>
        </w:rPr>
      </w:pPr>
      <w:bookmarkStart w:id="123" w:name="_Toc79163886"/>
      <w:bookmarkStart w:id="124" w:name="_Toc79163636"/>
      <w:bookmarkStart w:id="125" w:name="_Toc15396619"/>
      <w:r>
        <w:rPr>
          <w:rFonts w:hint="eastAsia" w:ascii="仿宋" w:hAnsi="仿宋" w:eastAsia="仿宋"/>
          <w:b w:val="0"/>
        </w:rPr>
        <w:t>一、收</w:t>
      </w:r>
      <w:r>
        <w:rPr>
          <w:rStyle w:val="23"/>
          <w:rFonts w:hint="eastAsia" w:ascii="仿宋" w:hAnsi="仿宋" w:eastAsia="仿宋"/>
          <w:b w:val="0"/>
          <w:bCs w:val="0"/>
        </w:rPr>
        <w:t>入支出决算总表</w:t>
      </w:r>
      <w:bookmarkEnd w:id="123"/>
      <w:bookmarkEnd w:id="124"/>
      <w:bookmarkEnd w:id="125"/>
    </w:p>
    <w:p w14:paraId="06796E25">
      <w:pPr>
        <w:pStyle w:val="3"/>
        <w:rPr>
          <w:rFonts w:ascii="仿宋" w:hAnsi="仿宋" w:eastAsia="仿宋"/>
        </w:rPr>
      </w:pPr>
      <w:bookmarkStart w:id="126" w:name="_Toc15396620"/>
      <w:bookmarkStart w:id="127" w:name="_Toc79163887"/>
      <w:bookmarkStart w:id="128" w:name="_Toc79163637"/>
      <w:r>
        <w:rPr>
          <w:rFonts w:hint="eastAsia" w:ascii="仿宋" w:hAnsi="仿宋" w:eastAsia="仿宋"/>
          <w:b w:val="0"/>
        </w:rPr>
        <w:t>二、收</w:t>
      </w:r>
      <w:r>
        <w:rPr>
          <w:rStyle w:val="23"/>
          <w:rFonts w:hint="eastAsia" w:ascii="仿宋" w:hAnsi="仿宋" w:eastAsia="仿宋"/>
          <w:b w:val="0"/>
          <w:bCs w:val="0"/>
        </w:rPr>
        <w:t>入决算表</w:t>
      </w:r>
      <w:bookmarkEnd w:id="126"/>
      <w:bookmarkEnd w:id="127"/>
      <w:bookmarkEnd w:id="128"/>
    </w:p>
    <w:p w14:paraId="7B832661">
      <w:pPr>
        <w:pStyle w:val="3"/>
        <w:rPr>
          <w:rFonts w:ascii="仿宋" w:hAnsi="仿宋" w:eastAsia="仿宋"/>
        </w:rPr>
      </w:pPr>
      <w:bookmarkStart w:id="129" w:name="_Toc15396621"/>
      <w:bookmarkStart w:id="130" w:name="_Toc79163888"/>
      <w:bookmarkStart w:id="131" w:name="_Toc79163638"/>
      <w:r>
        <w:rPr>
          <w:rStyle w:val="23"/>
          <w:rFonts w:hint="eastAsia" w:ascii="仿宋" w:hAnsi="仿宋" w:eastAsia="仿宋"/>
          <w:b w:val="0"/>
          <w:bCs w:val="0"/>
        </w:rPr>
        <w:t>三、</w:t>
      </w:r>
      <w:r>
        <w:rPr>
          <w:rFonts w:hint="eastAsia" w:ascii="仿宋" w:hAnsi="仿宋" w:eastAsia="仿宋"/>
          <w:b w:val="0"/>
        </w:rPr>
        <w:t>支</w:t>
      </w:r>
      <w:r>
        <w:rPr>
          <w:rStyle w:val="23"/>
          <w:rFonts w:hint="eastAsia" w:ascii="仿宋" w:hAnsi="仿宋" w:eastAsia="仿宋"/>
          <w:b w:val="0"/>
          <w:bCs w:val="0"/>
        </w:rPr>
        <w:t>出决算表</w:t>
      </w:r>
      <w:bookmarkEnd w:id="129"/>
      <w:bookmarkEnd w:id="130"/>
      <w:bookmarkEnd w:id="131"/>
    </w:p>
    <w:p w14:paraId="71644621">
      <w:pPr>
        <w:pStyle w:val="3"/>
        <w:rPr>
          <w:rFonts w:ascii="仿宋" w:hAnsi="仿宋" w:eastAsia="仿宋"/>
          <w:b w:val="0"/>
        </w:rPr>
      </w:pPr>
      <w:bookmarkStart w:id="132" w:name="_Toc79163889"/>
      <w:bookmarkStart w:id="133" w:name="_Toc79163639"/>
      <w:bookmarkStart w:id="134" w:name="_Toc15396622"/>
      <w:r>
        <w:rPr>
          <w:rStyle w:val="23"/>
          <w:rFonts w:hint="eastAsia" w:ascii="仿宋" w:hAnsi="仿宋" w:eastAsia="仿宋"/>
          <w:b w:val="0"/>
          <w:bCs w:val="0"/>
        </w:rPr>
        <w:t>四、</w:t>
      </w:r>
      <w:r>
        <w:rPr>
          <w:rFonts w:hint="eastAsia" w:ascii="仿宋" w:hAnsi="仿宋" w:eastAsia="仿宋"/>
          <w:b w:val="0"/>
        </w:rPr>
        <w:t>财</w:t>
      </w:r>
      <w:r>
        <w:rPr>
          <w:rStyle w:val="23"/>
          <w:rFonts w:hint="eastAsia" w:ascii="仿宋" w:hAnsi="仿宋" w:eastAsia="仿宋"/>
          <w:b w:val="0"/>
          <w:bCs w:val="0"/>
        </w:rPr>
        <w:t>政拨款收入支出决算总表</w:t>
      </w:r>
      <w:bookmarkEnd w:id="132"/>
      <w:bookmarkEnd w:id="133"/>
      <w:bookmarkEnd w:id="134"/>
    </w:p>
    <w:p w14:paraId="2EE35999">
      <w:pPr>
        <w:pStyle w:val="3"/>
        <w:rPr>
          <w:rStyle w:val="23"/>
          <w:rFonts w:ascii="仿宋" w:hAnsi="仿宋" w:eastAsia="仿宋"/>
          <w:b w:val="0"/>
          <w:bCs w:val="0"/>
        </w:rPr>
      </w:pPr>
      <w:bookmarkStart w:id="135" w:name="_Toc79163890"/>
      <w:bookmarkStart w:id="136" w:name="_Toc79163640"/>
      <w:bookmarkStart w:id="137" w:name="_Toc15396623"/>
      <w:r>
        <w:rPr>
          <w:rStyle w:val="23"/>
          <w:rFonts w:hint="eastAsia" w:ascii="仿宋" w:hAnsi="仿宋" w:eastAsia="仿宋"/>
          <w:b w:val="0"/>
          <w:bCs w:val="0"/>
        </w:rPr>
        <w:t>五、</w:t>
      </w:r>
      <w:r>
        <w:rPr>
          <w:rFonts w:hint="eastAsia" w:ascii="仿宋" w:hAnsi="仿宋" w:eastAsia="仿宋"/>
          <w:b w:val="0"/>
        </w:rPr>
        <w:t>财</w:t>
      </w:r>
      <w:r>
        <w:rPr>
          <w:rStyle w:val="23"/>
          <w:rFonts w:hint="eastAsia" w:ascii="仿宋" w:hAnsi="仿宋" w:eastAsia="仿宋"/>
          <w:b w:val="0"/>
          <w:bCs w:val="0"/>
        </w:rPr>
        <w:t>政拨款支出决算明细表</w:t>
      </w:r>
      <w:bookmarkEnd w:id="135"/>
      <w:bookmarkEnd w:id="136"/>
      <w:bookmarkEnd w:id="137"/>
      <w:bookmarkStart w:id="138" w:name="_Toc15396624"/>
    </w:p>
    <w:p w14:paraId="62F114ED">
      <w:pPr>
        <w:pStyle w:val="3"/>
        <w:rPr>
          <w:rFonts w:ascii="仿宋" w:hAnsi="仿宋" w:eastAsia="仿宋"/>
        </w:rPr>
      </w:pPr>
      <w:bookmarkStart w:id="139" w:name="_Toc79163641"/>
      <w:bookmarkStart w:id="140" w:name="_Toc79163891"/>
      <w:r>
        <w:rPr>
          <w:rStyle w:val="23"/>
          <w:rFonts w:hint="eastAsia" w:ascii="仿宋" w:hAnsi="仿宋" w:eastAsia="仿宋"/>
          <w:b w:val="0"/>
          <w:bCs w:val="0"/>
        </w:rPr>
        <w:t>六、</w:t>
      </w:r>
      <w:r>
        <w:rPr>
          <w:rFonts w:hint="eastAsia" w:ascii="仿宋" w:hAnsi="仿宋" w:eastAsia="仿宋"/>
          <w:b w:val="0"/>
        </w:rPr>
        <w:t>一</w:t>
      </w:r>
      <w:r>
        <w:rPr>
          <w:rStyle w:val="23"/>
          <w:rFonts w:hint="eastAsia" w:ascii="仿宋" w:hAnsi="仿宋" w:eastAsia="仿宋"/>
          <w:b w:val="0"/>
          <w:bCs w:val="0"/>
        </w:rPr>
        <w:t>般公共预算财政拨款支出决算表</w:t>
      </w:r>
      <w:bookmarkEnd w:id="138"/>
      <w:bookmarkEnd w:id="139"/>
      <w:bookmarkEnd w:id="140"/>
    </w:p>
    <w:p w14:paraId="55BCB9D6">
      <w:pPr>
        <w:pStyle w:val="3"/>
        <w:rPr>
          <w:rFonts w:ascii="仿宋" w:hAnsi="仿宋" w:eastAsia="仿宋"/>
        </w:rPr>
      </w:pPr>
      <w:bookmarkStart w:id="141" w:name="_Toc79163892"/>
      <w:bookmarkStart w:id="142" w:name="_Toc79163642"/>
      <w:bookmarkStart w:id="143" w:name="_Toc15396625"/>
      <w:r>
        <w:rPr>
          <w:rStyle w:val="23"/>
          <w:rFonts w:hint="eastAsia" w:ascii="仿宋" w:hAnsi="仿宋" w:eastAsia="仿宋"/>
          <w:b w:val="0"/>
          <w:bCs w:val="0"/>
        </w:rPr>
        <w:t>七、</w:t>
      </w:r>
      <w:r>
        <w:rPr>
          <w:rFonts w:hint="eastAsia" w:ascii="仿宋" w:hAnsi="仿宋" w:eastAsia="仿宋"/>
          <w:b w:val="0"/>
        </w:rPr>
        <w:t>一</w:t>
      </w:r>
      <w:r>
        <w:rPr>
          <w:rStyle w:val="23"/>
          <w:rFonts w:hint="eastAsia" w:ascii="仿宋" w:hAnsi="仿宋" w:eastAsia="仿宋"/>
          <w:b w:val="0"/>
          <w:bCs w:val="0"/>
        </w:rPr>
        <w:t>般公共预算财政拨款支出决算明细表</w:t>
      </w:r>
      <w:bookmarkEnd w:id="141"/>
      <w:bookmarkEnd w:id="142"/>
      <w:bookmarkEnd w:id="143"/>
    </w:p>
    <w:p w14:paraId="44323C9B">
      <w:pPr>
        <w:pStyle w:val="3"/>
        <w:rPr>
          <w:rFonts w:ascii="仿宋" w:hAnsi="仿宋" w:eastAsia="仿宋"/>
        </w:rPr>
      </w:pPr>
      <w:bookmarkStart w:id="144" w:name="_Toc79163893"/>
      <w:bookmarkStart w:id="145" w:name="_Toc79163643"/>
      <w:bookmarkStart w:id="146" w:name="_Toc15396626"/>
      <w:r>
        <w:rPr>
          <w:rStyle w:val="23"/>
          <w:rFonts w:hint="eastAsia" w:ascii="仿宋" w:hAnsi="仿宋" w:eastAsia="仿宋"/>
          <w:b w:val="0"/>
          <w:bCs w:val="0"/>
        </w:rPr>
        <w:t>八、</w:t>
      </w:r>
      <w:r>
        <w:rPr>
          <w:rFonts w:hint="eastAsia" w:ascii="仿宋" w:hAnsi="仿宋" w:eastAsia="仿宋"/>
          <w:b w:val="0"/>
        </w:rPr>
        <w:t>一</w:t>
      </w:r>
      <w:r>
        <w:rPr>
          <w:rStyle w:val="23"/>
          <w:rFonts w:hint="eastAsia" w:ascii="仿宋" w:hAnsi="仿宋" w:eastAsia="仿宋"/>
          <w:b w:val="0"/>
          <w:bCs w:val="0"/>
        </w:rPr>
        <w:t>般公共预算财政拨款基本支出决算表</w:t>
      </w:r>
      <w:bookmarkEnd w:id="144"/>
      <w:bookmarkEnd w:id="145"/>
      <w:bookmarkEnd w:id="146"/>
    </w:p>
    <w:p w14:paraId="564BD56F">
      <w:pPr>
        <w:pStyle w:val="3"/>
        <w:rPr>
          <w:rFonts w:ascii="仿宋" w:hAnsi="仿宋" w:eastAsia="仿宋"/>
        </w:rPr>
      </w:pPr>
      <w:bookmarkStart w:id="147" w:name="_Toc79163894"/>
      <w:bookmarkStart w:id="148" w:name="_Toc15396627"/>
      <w:bookmarkStart w:id="149" w:name="_Toc79163644"/>
      <w:r>
        <w:rPr>
          <w:rStyle w:val="23"/>
          <w:rFonts w:hint="eastAsia" w:ascii="仿宋" w:hAnsi="仿宋" w:eastAsia="仿宋"/>
          <w:b w:val="0"/>
          <w:bCs w:val="0"/>
        </w:rPr>
        <w:t>九、</w:t>
      </w:r>
      <w:r>
        <w:rPr>
          <w:rFonts w:hint="eastAsia" w:ascii="仿宋" w:hAnsi="仿宋" w:eastAsia="仿宋"/>
          <w:b w:val="0"/>
        </w:rPr>
        <w:t>一</w:t>
      </w:r>
      <w:r>
        <w:rPr>
          <w:rStyle w:val="23"/>
          <w:rFonts w:hint="eastAsia" w:ascii="仿宋" w:hAnsi="仿宋" w:eastAsia="仿宋"/>
          <w:b w:val="0"/>
          <w:bCs w:val="0"/>
        </w:rPr>
        <w:t>般公共预算财政拨款项目支出决算表</w:t>
      </w:r>
      <w:bookmarkEnd w:id="147"/>
      <w:bookmarkEnd w:id="148"/>
      <w:bookmarkEnd w:id="149"/>
    </w:p>
    <w:p w14:paraId="3647D5F9">
      <w:pPr>
        <w:pStyle w:val="3"/>
        <w:rPr>
          <w:rFonts w:ascii="仿宋" w:hAnsi="仿宋" w:eastAsia="仿宋"/>
        </w:rPr>
      </w:pPr>
      <w:bookmarkStart w:id="150" w:name="_Toc79163645"/>
      <w:bookmarkStart w:id="151" w:name="_Toc79163895"/>
      <w:bookmarkStart w:id="152" w:name="_Toc15396628"/>
      <w:r>
        <w:rPr>
          <w:rStyle w:val="23"/>
          <w:rFonts w:hint="eastAsia" w:ascii="仿宋" w:hAnsi="仿宋" w:eastAsia="仿宋"/>
          <w:b w:val="0"/>
          <w:bCs w:val="0"/>
        </w:rPr>
        <w:t>十、</w:t>
      </w:r>
      <w:r>
        <w:rPr>
          <w:rFonts w:hint="eastAsia" w:ascii="仿宋" w:hAnsi="仿宋" w:eastAsia="仿宋"/>
          <w:b w:val="0"/>
        </w:rPr>
        <w:t>一</w:t>
      </w:r>
      <w:r>
        <w:rPr>
          <w:rStyle w:val="23"/>
          <w:rFonts w:hint="eastAsia" w:ascii="仿宋" w:hAnsi="仿宋" w:eastAsia="仿宋"/>
          <w:b w:val="0"/>
          <w:bCs w:val="0"/>
        </w:rPr>
        <w:t>般公共预算财政拨款“三公”经费支出决算表</w:t>
      </w:r>
      <w:bookmarkEnd w:id="150"/>
      <w:bookmarkEnd w:id="151"/>
      <w:bookmarkEnd w:id="152"/>
    </w:p>
    <w:p w14:paraId="7CE87257">
      <w:pPr>
        <w:pStyle w:val="3"/>
        <w:rPr>
          <w:rFonts w:ascii="仿宋" w:hAnsi="仿宋" w:eastAsia="仿宋"/>
        </w:rPr>
      </w:pPr>
      <w:bookmarkStart w:id="153" w:name="_Toc79163646"/>
      <w:bookmarkStart w:id="154" w:name="_Toc79163896"/>
      <w:bookmarkStart w:id="155" w:name="_Toc15396629"/>
      <w:r>
        <w:rPr>
          <w:rStyle w:val="23"/>
          <w:rFonts w:hint="eastAsia" w:ascii="仿宋" w:hAnsi="仿宋" w:eastAsia="仿宋"/>
          <w:b w:val="0"/>
          <w:bCs w:val="0"/>
        </w:rPr>
        <w:t>十一、</w:t>
      </w:r>
      <w:r>
        <w:rPr>
          <w:rFonts w:hint="eastAsia" w:ascii="仿宋" w:hAnsi="仿宋" w:eastAsia="仿宋"/>
          <w:b w:val="0"/>
        </w:rPr>
        <w:t>政</w:t>
      </w:r>
      <w:r>
        <w:rPr>
          <w:rStyle w:val="23"/>
          <w:rFonts w:hint="eastAsia" w:ascii="仿宋" w:hAnsi="仿宋" w:eastAsia="仿宋"/>
          <w:b w:val="0"/>
          <w:bCs w:val="0"/>
        </w:rPr>
        <w:t>府性基金预算财政拨款收入支出决算表</w:t>
      </w:r>
      <w:bookmarkEnd w:id="153"/>
      <w:bookmarkEnd w:id="154"/>
      <w:bookmarkEnd w:id="155"/>
    </w:p>
    <w:p w14:paraId="7C777F58">
      <w:pPr>
        <w:pStyle w:val="3"/>
        <w:rPr>
          <w:rFonts w:ascii="仿宋" w:hAnsi="仿宋" w:eastAsia="仿宋"/>
        </w:rPr>
      </w:pPr>
      <w:bookmarkStart w:id="156" w:name="_Toc15396630"/>
      <w:bookmarkStart w:id="157" w:name="_Toc79163897"/>
      <w:bookmarkStart w:id="158" w:name="_Toc79163647"/>
      <w:r>
        <w:rPr>
          <w:rStyle w:val="23"/>
          <w:rFonts w:hint="eastAsia" w:ascii="仿宋" w:hAnsi="仿宋" w:eastAsia="仿宋"/>
          <w:b w:val="0"/>
          <w:bCs w:val="0"/>
        </w:rPr>
        <w:t>十二、</w:t>
      </w:r>
      <w:r>
        <w:rPr>
          <w:rFonts w:hint="eastAsia" w:ascii="仿宋" w:hAnsi="仿宋" w:eastAsia="仿宋"/>
          <w:b w:val="0"/>
        </w:rPr>
        <w:t>政</w:t>
      </w:r>
      <w:r>
        <w:rPr>
          <w:rStyle w:val="23"/>
          <w:rFonts w:hint="eastAsia" w:ascii="仿宋" w:hAnsi="仿宋" w:eastAsia="仿宋"/>
          <w:b w:val="0"/>
          <w:bCs w:val="0"/>
        </w:rPr>
        <w:t>府性基金预算财政拨款“三公”经费支出决算表</w:t>
      </w:r>
      <w:bookmarkEnd w:id="156"/>
      <w:bookmarkEnd w:id="157"/>
      <w:bookmarkEnd w:id="158"/>
    </w:p>
    <w:p w14:paraId="0F5D4A08">
      <w:pPr>
        <w:pStyle w:val="3"/>
        <w:rPr>
          <w:rStyle w:val="23"/>
          <w:rFonts w:ascii="仿宋" w:hAnsi="仿宋" w:eastAsia="仿宋"/>
          <w:b w:val="0"/>
          <w:bCs w:val="0"/>
        </w:rPr>
      </w:pPr>
      <w:bookmarkStart w:id="159" w:name="_Toc79163898"/>
      <w:bookmarkStart w:id="160" w:name="_Toc15396631"/>
      <w:bookmarkStart w:id="161" w:name="_Toc79163648"/>
      <w:r>
        <w:rPr>
          <w:rStyle w:val="23"/>
          <w:rFonts w:hint="eastAsia" w:ascii="仿宋" w:hAnsi="仿宋" w:eastAsia="仿宋"/>
          <w:b w:val="0"/>
          <w:bCs w:val="0"/>
        </w:rPr>
        <w:t>十三、</w:t>
      </w:r>
      <w:r>
        <w:rPr>
          <w:rFonts w:hint="eastAsia" w:ascii="仿宋" w:hAnsi="仿宋" w:eastAsia="仿宋"/>
          <w:b w:val="0"/>
        </w:rPr>
        <w:t>国</w:t>
      </w:r>
      <w:r>
        <w:rPr>
          <w:rStyle w:val="23"/>
          <w:rFonts w:hint="eastAsia" w:ascii="仿宋" w:hAnsi="仿宋" w:eastAsia="仿宋"/>
          <w:b w:val="0"/>
          <w:bCs w:val="0"/>
        </w:rPr>
        <w:t>有资本经营预算财政拨款收入支出决算表</w:t>
      </w:r>
      <w:bookmarkEnd w:id="159"/>
      <w:bookmarkEnd w:id="160"/>
      <w:bookmarkEnd w:id="161"/>
    </w:p>
    <w:p w14:paraId="08EDE083">
      <w:pPr>
        <w:pStyle w:val="3"/>
        <w:rPr>
          <w:rStyle w:val="23"/>
          <w:rFonts w:ascii="仿宋" w:hAnsi="仿宋" w:eastAsia="仿宋"/>
          <w:b w:val="0"/>
          <w:bCs w:val="0"/>
        </w:rPr>
      </w:pPr>
      <w:bookmarkStart w:id="162" w:name="_Toc79163899"/>
      <w:bookmarkStart w:id="163" w:name="_Toc79163649"/>
      <w:r>
        <w:rPr>
          <w:rStyle w:val="23"/>
          <w:rFonts w:hint="eastAsia" w:ascii="仿宋" w:hAnsi="仿宋" w:eastAsia="仿宋"/>
          <w:b w:val="0"/>
          <w:bCs w:val="0"/>
        </w:rPr>
        <w:t>十四、国有资本经营预算财政拨款支出决算表</w:t>
      </w:r>
      <w:bookmarkEnd w:id="162"/>
      <w:bookmarkEnd w:id="16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7AB9747-6759-4BAD-9F2A-D2FCB32BC32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A627118-735A-4D3C-9DBA-08253749D4DA}"/>
  </w:font>
  <w:font w:name="Cambria">
    <w:panose1 w:val="02040503050406030204"/>
    <w:charset w:val="00"/>
    <w:family w:val="roman"/>
    <w:pitch w:val="default"/>
    <w:sig w:usb0="E00006FF" w:usb1="420024FF" w:usb2="02000000" w:usb3="00000000" w:csb0="2000019F" w:csb1="00000000"/>
    <w:embedRegular r:id="rId3" w:fontKey="{3090C1C8-E149-490D-BA3D-A6387D98F2D1}"/>
  </w:font>
  <w:font w:name="等线">
    <w:panose1 w:val="02010600030101010101"/>
    <w:charset w:val="86"/>
    <w:family w:val="auto"/>
    <w:pitch w:val="default"/>
    <w:sig w:usb0="A00002BF" w:usb1="38CF7CFA" w:usb2="00000016" w:usb3="00000000" w:csb0="0004000F" w:csb1="00000000"/>
    <w:embedRegular r:id="rId4" w:fontKey="{DBB7C15D-FF9D-4AD1-AFC1-7017767CC2CD}"/>
  </w:font>
  <w:font w:name="仿宋_GB2312">
    <w:panose1 w:val="02010609030101010101"/>
    <w:charset w:val="86"/>
    <w:family w:val="modern"/>
    <w:pitch w:val="default"/>
    <w:sig w:usb0="00000001" w:usb1="080E0000" w:usb2="00000000" w:usb3="00000000" w:csb0="00040000" w:csb1="00000000"/>
    <w:embedRegular r:id="rId5" w:fontKey="{807C7C86-94F4-45A7-9B5A-773FEB2FEB0C}"/>
  </w:font>
  <w:font w:name="仿宋">
    <w:panose1 w:val="02010609060101010101"/>
    <w:charset w:val="86"/>
    <w:family w:val="modern"/>
    <w:pitch w:val="default"/>
    <w:sig w:usb0="800002BF" w:usb1="38CF7CFA" w:usb2="00000016" w:usb3="00000000" w:csb0="00040001" w:csb1="00000000"/>
    <w:embedRegular r:id="rId6" w:fontKey="{499DBE49-AF01-4293-9141-C66655C8CDAC}"/>
  </w:font>
  <w:font w:name="等线 Light">
    <w:panose1 w:val="02010600030101010101"/>
    <w:charset w:val="86"/>
    <w:family w:val="auto"/>
    <w:pitch w:val="default"/>
    <w:sig w:usb0="A00002BF" w:usb1="38CF7CFA" w:usb2="00000016" w:usb3="00000000" w:csb0="0004000F" w:csb1="00000000"/>
  </w:font>
  <w:font w:name="方正小标宋简体">
    <w:panose1 w:val="02010600010101010101"/>
    <w:charset w:val="86"/>
    <w:family w:val="auto"/>
    <w:pitch w:val="default"/>
    <w:sig w:usb0="00000001" w:usb1="080E0000" w:usb2="00000000" w:usb3="00000000" w:csb0="00040000" w:csb1="00000000"/>
    <w:embedRegular r:id="rId7" w:fontKey="{3E970962-5DB7-422D-A73E-CEC2B21491CD}"/>
  </w:font>
  <w:font w:name="楷体_GB2312">
    <w:panose1 w:val="02010609030101010101"/>
    <w:charset w:val="86"/>
    <w:family w:val="modern"/>
    <w:pitch w:val="default"/>
    <w:sig w:usb0="00000001" w:usb1="080E0000" w:usb2="00000000" w:usb3="00000000" w:csb0="00040000" w:csb1="00000000"/>
    <w:embedRegular r:id="rId8" w:fontKey="{43C8D37E-3545-4EBB-B0BE-AF70916EA05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6B7AD">
    <w:pPr>
      <w:pStyle w:val="11"/>
      <w:jc w:val="center"/>
    </w:pPr>
    <w:r>
      <w:fldChar w:fldCharType="begin"/>
    </w:r>
    <w:r>
      <w:instrText xml:space="preserve">PAGE   \* MERGEFORMAT</w:instrText>
    </w:r>
    <w:r>
      <w:fldChar w:fldCharType="separate"/>
    </w:r>
    <w:r>
      <w:t>3</w:t>
    </w:r>
    <w:r>
      <w:fldChar w:fldCharType="end"/>
    </w:r>
  </w:p>
  <w:p w14:paraId="16C13B8C">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08D9D">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B4B78A"/>
    <w:multiLevelType w:val="singleLevel"/>
    <w:tmpl w:val="8FB4B78A"/>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E4712206"/>
    <w:multiLevelType w:val="singleLevel"/>
    <w:tmpl w:val="E4712206"/>
    <w:lvl w:ilvl="0" w:tentative="0">
      <w:start w:val="2"/>
      <w:numFmt w:val="chineseCounting"/>
      <w:suff w:val="nothing"/>
      <w:lvlText w:val="（%1）"/>
      <w:lvlJc w:val="left"/>
      <w:pPr>
        <w:ind w:left="-10"/>
      </w:pPr>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15D6C"/>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7573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5F6D"/>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957511C"/>
    <w:rsid w:val="0A2032A3"/>
    <w:rsid w:val="0AE37C3B"/>
    <w:rsid w:val="0F6671BD"/>
    <w:rsid w:val="107453F3"/>
    <w:rsid w:val="10C055FF"/>
    <w:rsid w:val="118107EC"/>
    <w:rsid w:val="16BB723D"/>
    <w:rsid w:val="1965786E"/>
    <w:rsid w:val="1D155CEE"/>
    <w:rsid w:val="20283CF9"/>
    <w:rsid w:val="240371BF"/>
    <w:rsid w:val="29FD04D3"/>
    <w:rsid w:val="30886ED2"/>
    <w:rsid w:val="319F7F4E"/>
    <w:rsid w:val="33FA4BFA"/>
    <w:rsid w:val="49CD5F78"/>
    <w:rsid w:val="4ECE2238"/>
    <w:rsid w:val="69E57F31"/>
    <w:rsid w:val="6BFB3A43"/>
    <w:rsid w:val="6C4A05C8"/>
    <w:rsid w:val="6FE9150B"/>
    <w:rsid w:val="72734D90"/>
    <w:rsid w:val="75324707"/>
    <w:rsid w:val="7FA308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4"/>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1"/>
    <w:qFormat/>
    <w:uiPriority w:val="99"/>
    <w:pPr>
      <w:spacing w:beforeLines="30"/>
    </w:pPr>
    <w:rPr>
      <w:rFonts w:ascii="仿宋_GB2312" w:eastAsia="仿宋_GB2312"/>
      <w:kern w:val="0"/>
      <w:sz w:val="24"/>
      <w:szCs w:val="20"/>
      <w:lang w:val="zh-CN"/>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6"/>
    <w:unhideWhenUsed/>
    <w:qFormat/>
    <w:uiPriority w:val="99"/>
    <w:rPr>
      <w:sz w:val="18"/>
      <w:szCs w:val="18"/>
    </w:rPr>
  </w:style>
  <w:style w:type="paragraph" w:styleId="11">
    <w:name w:val="footer"/>
    <w:basedOn w:val="1"/>
    <w:link w:val="30"/>
    <w:qFormat/>
    <w:uiPriority w:val="99"/>
    <w:pPr>
      <w:tabs>
        <w:tab w:val="center" w:pos="4153"/>
        <w:tab w:val="right" w:pos="8306"/>
      </w:tabs>
      <w:snapToGrid w:val="0"/>
      <w:jc w:val="left"/>
    </w:pPr>
    <w:rPr>
      <w:rFonts w:ascii="Calibri" w:hAnsi="Calibri"/>
      <w:kern w:val="0"/>
      <w:sz w:val="18"/>
      <w:szCs w:val="20"/>
      <w:lang w:val="zh-CN"/>
    </w:rPr>
  </w:style>
  <w:style w:type="paragraph" w:styleId="12">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character" w:styleId="20">
    <w:name w:val="Strong"/>
    <w:basedOn w:val="19"/>
    <w:qFormat/>
    <w:uiPriority w:val="99"/>
    <w:rPr>
      <w:rFonts w:cs="Times New Roman"/>
      <w:b/>
    </w:rPr>
  </w:style>
  <w:style w:type="character" w:styleId="21">
    <w:name w:val="Hyperlink"/>
    <w:basedOn w:val="19"/>
    <w:unhideWhenUsed/>
    <w:qFormat/>
    <w:uiPriority w:val="99"/>
    <w:rPr>
      <w:rFonts w:cs="Times New Roman"/>
      <w:color w:val="0000FF"/>
      <w:u w:val="single"/>
    </w:rPr>
  </w:style>
  <w:style w:type="character" w:customStyle="1" w:styleId="22">
    <w:name w:val="标题 1 字符"/>
    <w:basedOn w:val="19"/>
    <w:link w:val="2"/>
    <w:qFormat/>
    <w:locked/>
    <w:uiPriority w:val="9"/>
    <w:rPr>
      <w:rFonts w:ascii="Times New Roman" w:hAnsi="Times New Roman" w:cs="Times New Roman"/>
      <w:b/>
      <w:bCs/>
      <w:kern w:val="44"/>
      <w:sz w:val="44"/>
      <w:szCs w:val="44"/>
    </w:rPr>
  </w:style>
  <w:style w:type="character" w:customStyle="1" w:styleId="23">
    <w:name w:val="标题 2 字符"/>
    <w:basedOn w:val="19"/>
    <w:link w:val="3"/>
    <w:qFormat/>
    <w:locked/>
    <w:uiPriority w:val="9"/>
    <w:rPr>
      <w:rFonts w:ascii="Cambria" w:hAnsi="Cambria" w:eastAsia="宋体" w:cs="Times New Roman"/>
      <w:b/>
      <w:bCs/>
      <w:kern w:val="2"/>
      <w:sz w:val="32"/>
      <w:szCs w:val="32"/>
    </w:rPr>
  </w:style>
  <w:style w:type="character" w:customStyle="1" w:styleId="24">
    <w:name w:val="标题 3 字符"/>
    <w:basedOn w:val="19"/>
    <w:link w:val="4"/>
    <w:qFormat/>
    <w:locked/>
    <w:uiPriority w:val="9"/>
    <w:rPr>
      <w:rFonts w:ascii="Times New Roman" w:hAnsi="Times New Roman" w:cs="Times New Roman"/>
      <w:b/>
      <w:bCs/>
      <w:kern w:val="2"/>
      <w:sz w:val="32"/>
      <w:szCs w:val="32"/>
    </w:rPr>
  </w:style>
  <w:style w:type="character" w:customStyle="1" w:styleId="25">
    <w:name w:val="Body Text Char"/>
    <w:basedOn w:val="19"/>
    <w:semiHidden/>
    <w:qFormat/>
    <w:uiPriority w:val="99"/>
    <w:rPr>
      <w:rFonts w:ascii="Times New Roman" w:hAnsi="Times New Roman" w:cs="Times New Roman"/>
      <w:sz w:val="24"/>
      <w:szCs w:val="24"/>
    </w:rPr>
  </w:style>
  <w:style w:type="character" w:customStyle="1" w:styleId="26">
    <w:name w:val="批注框文本 字符"/>
    <w:basedOn w:val="19"/>
    <w:link w:val="10"/>
    <w:semiHidden/>
    <w:qFormat/>
    <w:locked/>
    <w:uiPriority w:val="99"/>
    <w:rPr>
      <w:rFonts w:ascii="Times New Roman" w:hAnsi="Times New Roman" w:cs="Times New Roman"/>
      <w:kern w:val="2"/>
      <w:sz w:val="18"/>
      <w:szCs w:val="18"/>
    </w:rPr>
  </w:style>
  <w:style w:type="character" w:customStyle="1" w:styleId="27">
    <w:name w:val="Footer Char"/>
    <w:basedOn w:val="19"/>
    <w:semiHidden/>
    <w:qFormat/>
    <w:uiPriority w:val="99"/>
    <w:rPr>
      <w:rFonts w:ascii="Times New Roman" w:hAnsi="Times New Roman" w:cs="Times New Roman"/>
      <w:sz w:val="18"/>
      <w:szCs w:val="18"/>
    </w:rPr>
  </w:style>
  <w:style w:type="character" w:customStyle="1" w:styleId="28">
    <w:name w:val="Header Char"/>
    <w:basedOn w:val="19"/>
    <w:semiHidden/>
    <w:qFormat/>
    <w:uiPriority w:val="99"/>
    <w:rPr>
      <w:rFonts w:ascii="Times New Roman" w:hAnsi="Times New Roman" w:cs="Times New Roman"/>
      <w:sz w:val="18"/>
      <w:szCs w:val="18"/>
    </w:rPr>
  </w:style>
  <w:style w:type="character" w:customStyle="1" w:styleId="29">
    <w:name w:val="页眉 字符"/>
    <w:link w:val="12"/>
    <w:semiHidden/>
    <w:qFormat/>
    <w:locked/>
    <w:uiPriority w:val="99"/>
    <w:rPr>
      <w:sz w:val="18"/>
    </w:rPr>
  </w:style>
  <w:style w:type="character" w:customStyle="1" w:styleId="30">
    <w:name w:val="页脚 字符"/>
    <w:link w:val="11"/>
    <w:qFormat/>
    <w:locked/>
    <w:uiPriority w:val="99"/>
    <w:rPr>
      <w:sz w:val="18"/>
    </w:rPr>
  </w:style>
  <w:style w:type="character" w:customStyle="1" w:styleId="31">
    <w:name w:val="正文文本 字符"/>
    <w:link w:val="6"/>
    <w:qFormat/>
    <w:locked/>
    <w:uiPriority w:val="99"/>
    <w:rPr>
      <w:rFonts w:ascii="仿宋_GB2312" w:hAnsi="Times New Roman" w:eastAsia="仿宋_GB2312"/>
      <w:sz w:val="24"/>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列表段落1"/>
    <w:basedOn w:val="1"/>
    <w:qFormat/>
    <w:uiPriority w:val="34"/>
    <w:pPr>
      <w:ind w:firstLine="420" w:firstLineChars="200"/>
    </w:pPr>
  </w:style>
  <w:style w:type="paragraph" w:customStyle="1" w:styleId="34">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5">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dbf26105-6403-43b4-93f9-90233ff72ebe</errorID>
      <errorWord>十九大期间</errorWord>
      <group>L1_Word</group>
      <groupName>字词问题</groupName>
      <ability>L2_Typo</ability>
      <abilityName>字词错误</abilityName>
      <candidateList>
        <item>党的十九大期间</item>
      </candidateList>
      <explain/>
      <paraID>2FAF2E35</paraID>
      <start>50</start>
      <end>57</end>
      <status>modified</status>
      <modifiedWord>党的十九大期间</modifiedWord>
      <trackRevisions>false</trackRevisions>
    </reviewItem>
    <reviewItem>
      <errorID>72340a88-bdb9-4106-ac20-630deaafa943</errorID>
      <errorWord>:</errorWord>
      <group>L1_Format</group>
      <groupName>格式问题</groupName>
      <ability>L2_HalfPunc</ability>
      <abilityName>全半角检查</abilityName>
      <candidateList>
        <item>：</item>
      </candidateList>
      <explain>文本全半角错误。</explain>
      <paraID>2799A641</paraID>
      <start>34</start>
      <end>35</end>
      <status>modified</status>
      <modifiedWord>：</modifiedWord>
      <trackRevisions>false</trackRevisions>
    </reviewItem>
    <reviewItem>
      <errorID>653de064-a11a-49bd-873e-03a8592b72ee</errorID>
      <errorWord>；；</errorWord>
      <group>L1_Punc</group>
      <groupName>标点问题</groupName>
      <ability>L2_Punc</ability>
      <abilityName>标点符号检查</abilityName>
      <candidateList>
        <item>；</item>
      </candidateList>
      <explain/>
      <paraID>2799A641</paraID>
      <start>59</start>
      <end>60</end>
      <status>modified</status>
      <modifiedWord>；</modifiedWord>
      <trackRevisions>false</trackRevisions>
    </reviewItem>
    <reviewItem>
      <errorID>069fd00c-ecfd-4696-9ac7-4ec0303b97a4</errorID>
      <errorWord>；。</errorWord>
      <group>L1_Punc</group>
      <groupName>标点问题</groupName>
      <ability>L2_Punc</ability>
      <abilityName>标点符号检查</abilityName>
      <candidateList>
        <item>；</item>
      </candidateList>
      <explain/>
      <paraID>2799A641</paraID>
      <start>124</start>
      <end>125</end>
      <status>modified</status>
      <modifiedWord>；</modifiedWord>
      <trackRevisions>false</trackRevisions>
    </reviewItem>
    <reviewItem>
      <errorID>6bb12d94-7cdd-45c8-b746-c01d96b73be7</errorID>
      <errorWord>:</errorWord>
      <group>L1_Format</group>
      <groupName>格式问题</groupName>
      <ability>L2_HalfPunc</ability>
      <abilityName>全半角检查</abilityName>
      <candidateList>
        <item>：</item>
      </candidateList>
      <explain>文本全半角错误。</explain>
      <paraID> E39AC99</paraID>
      <start>21</start>
      <end>22</end>
      <status>modified</status>
      <modifiedWord>：</modifiedWord>
      <trackRevisions>false</trackRevisions>
    </reviewItem>
    <reviewItem>
      <errorID>64fc628c-7806-4ba0-944a-7dadeec209d3</errorID>
      <errorWord>:</errorWord>
      <group>L1_Format</group>
      <groupName>格式问题</groupName>
      <ability>L2_HalfPunc</ability>
      <abilityName>全半角检查</abilityName>
      <candidateList>
        <item>：</item>
      </candidateList>
      <explain>文本全半角错误。</explain>
      <paraID>63ECB220</paraID>
      <start>22</start>
      <end>23</end>
      <status>modified</status>
      <modifiedWord>：</modifiedWord>
      <trackRevisions>false</trackRevisions>
    </reviewItem>
    <reviewItem>
      <errorID>80123aec-be2b-473a-b6d8-38629e380df0</errorID>
      <errorWord>:</errorWord>
      <group>L1_Format</group>
      <groupName>格式问题</groupName>
      <ability>L2_HalfPunc</ability>
      <abilityName>全半角检查</abilityName>
      <candidateList>
        <item>：</item>
      </candidateList>
      <explain>文本全半角错误。</explain>
      <paraID> A7A6CD7</paraID>
      <start>21</start>
      <end>22</end>
      <status>modified</status>
      <modifiedWord>：</modifiedWord>
      <trackRevisions>false</trackRevisions>
    </reviewItem>
    <reviewItem>
      <errorID>882a0568-c0d0-4344-82bb-bc1752bd607e</errorID>
      <errorWord>,</errorWord>
      <group>L1_Format</group>
      <groupName>格式问题</groupName>
      <ability>L2_HalfPunc</ability>
      <abilityName>全半角检查</abilityName>
      <candidateList>
        <item>，</item>
      </candidateList>
      <explain>文本全半角错误。</explain>
      <paraID> BD07242</paraID>
      <start>22</start>
      <end>23</end>
      <status>modified</status>
      <modifiedWord>，</modifiedWord>
      <trackRevisions>false</trackRevisions>
    </reviewItem>
    <reviewItem>
      <errorID>da447dba-44c9-4e4a-a99f-4410e055d2ea</errorID>
      <errorWord>主要是</errorWord>
      <group>L1_Word</group>
      <groupName>字词问题</groupName>
      <ability>L2_Typo</ability>
      <abilityName>字词错误</abilityName>
      <candidateList>
        <item>主要</item>
      </candidateList>
      <explain>〈形〉属性词。有关事物中最重要的；起决定作用的：～原因｜～目的｜～人物。</explain>
      <paraID>402852B9</paraID>
      <start>48</start>
      <end>50</end>
      <status>modified</status>
      <modifiedWord>主要</modifiedWord>
      <trackRevisions>false</trackRevisions>
    </reviewItem>
    <reviewItem>
      <errorID>01b29ce1-9b08-49f6-a784-dff9702848fe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2D1467B4</paraID>
      <start>0</start>
      <end>2</end>
      <status>modified</status>
      <modifiedWord>8.</modifiedWord>
      <trackRevisions>false</trackRevisions>
    </reviewItem>
    <reviewItem>
      <errorID>5ed4f7aa-7702-41eb-8e0c-03fea5fe2cb9</errorID>
      <errorWord>。</errorWord>
      <group>L1_Format</group>
      <groupName>格式问题</groupName>
      <ability>L2_HalfPunc</ability>
      <abilityName>全半角检查</abilityName>
      <candidateList>
        <item>.</item>
      </candidateList>
      <explain>文本全半角错误。</explain>
      <paraID> 88377C3</paraID>
      <start>5</start>
      <end>6</end>
      <status>modified</status>
      <modifiedWord>.</modifiedWord>
      <trackRevisions>false</trackRevisions>
    </reviewItem>
    <reviewItem>
      <errorID>5f1e1a16-2afc-4e6c-adae-003ecf8c0ee3</errorID>
      <errorWord>政</errorWord>
      <group>L1_Word</group>
      <groupName>字词问题</groupName>
      <ability>L2_Typo</ability>
      <abilityName>字词错误</abilityName>
      <candidateList>
        <item>政局</item>
      </candidateList>
      <explain/>
      <paraID>3072BD2E</paraID>
      <start>14</start>
      <end>16</end>
      <status>modified</status>
      <modifiedWord>政局</modifiedWord>
      <trackRevisions>false</trackRevisions>
    </reviewItem>
    <reviewItem>
      <errorID>c0827b9b-01c0-41c6-8633-fb417e9853c4</errorID>
      <errorWord>预决</errorWord>
      <group>L1_Word</group>
      <groupName>字词问题</groupName>
      <ability>L2_Typo</ability>
      <abilityName>字词错误</abilityName>
      <candidateList>
        <item>预算</item>
      </candidateList>
      <explain/>
      <paraID>3072BD2E</paraID>
      <start>29</start>
      <end>31</end>
      <status>modified</status>
      <modifiedWord>预算</modifiedWord>
      <trackRevisions>false</trackRevisions>
    </reviewItem>
    <reviewItem>
      <errorID>8d57de47-94a3-45d9-b0fa-bd3bea9baa7f</errorID>
      <errorWord>,</errorWord>
      <group>L1_Format</group>
      <groupName>格式问题</groupName>
      <ability>L2_HalfPunc</ability>
      <abilityName>全半角检查</abilityName>
      <candidateList>
        <item>，</item>
      </candidateList>
      <explain>文本全半角错误。</explain>
      <paraID>3072BD2E</paraID>
      <start>69</start>
      <end>70</end>
      <status>modified</status>
      <modifiedWord>，</modifiedWord>
      <trackRevisions>false</trackRevisions>
    </reviewItem>
  </reviewItems>
  <config/>
</contractReview>
</file>

<file path=customXml/itemProps1.xml><?xml version="1.0" encoding="utf-8"?>
<ds:datastoreItem xmlns:ds="http://schemas.openxmlformats.org/officeDocument/2006/customXml" ds:itemID="{9E9CAE55-CD1B-4B4A-B759-66D9AAD6058A}">
  <ds:schemaRefs/>
</ds:datastoreItem>
</file>

<file path=customXml/itemProps2.xml><?xml version="1.0" encoding="utf-8"?>
<ds:datastoreItem xmlns:ds="http://schemas.openxmlformats.org/officeDocument/2006/customXml" ds:itemID="{b01b6c8f-a24f-4ba7-a796-b3b7257f3cef}">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16</Pages>
  <Words>1036</Words>
  <Characters>1077</Characters>
  <Lines>52</Lines>
  <Paragraphs>14</Paragraphs>
  <TotalTime>2</TotalTime>
  <ScaleCrop>false</ScaleCrop>
  <LinksUpToDate>false</LinksUpToDate>
  <CharactersWithSpaces>1143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奕夕^_^</cp:lastModifiedBy>
  <cp:lastPrinted>2021-09-17T07:26:00Z</cp:lastPrinted>
  <dcterms:modified xsi:type="dcterms:W3CDTF">2026-05-15T02:24:37Z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DC537B5BB5224656ADA1DD24385712FD</vt:lpwstr>
  </property>
  <property fmtid="{D5CDD505-2E9C-101B-9397-08002B2CF9AE}" pid="4" name="KSOTemplateDocerSaveRecord">
    <vt:lpwstr>eyJoZGlkIjoiNTU1MWNhN2ZmY2ZhZmY3ODhlYTg0MWU5OGMyY2QwZmUiLCJ1c2VySWQiOiI0MzQ2NTM0NzEifQ==</vt:lpwstr>
  </property>
</Properties>
</file>