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16FE0">
      <w:pPr>
        <w:spacing w:line="600" w:lineRule="exact"/>
        <w:jc w:val="center"/>
        <w:outlineLvl w:val="0"/>
        <w:rPr>
          <w:rFonts w:ascii="方正小标宋简体" w:hAnsi="宋体" w:eastAsia="方正小标宋简体"/>
          <w:color w:val="000000"/>
          <w:sz w:val="72"/>
          <w:szCs w:val="72"/>
        </w:rPr>
      </w:pPr>
      <w:bookmarkStart w:id="0" w:name="_Toc15306267"/>
      <w:bookmarkStart w:id="165" w:name="_GoBack"/>
      <w:bookmarkEnd w:id="165"/>
    </w:p>
    <w:p w14:paraId="3D7781E8">
      <w:pPr>
        <w:spacing w:line="600" w:lineRule="exact"/>
        <w:jc w:val="center"/>
        <w:outlineLvl w:val="0"/>
        <w:rPr>
          <w:rFonts w:ascii="方正小标宋简体" w:hAnsi="宋体" w:eastAsia="方正小标宋简体"/>
          <w:color w:val="000000"/>
          <w:sz w:val="72"/>
          <w:szCs w:val="72"/>
        </w:rPr>
      </w:pPr>
    </w:p>
    <w:p w14:paraId="1742CAFD">
      <w:pPr>
        <w:spacing w:line="600" w:lineRule="exact"/>
        <w:jc w:val="center"/>
        <w:outlineLvl w:val="0"/>
        <w:rPr>
          <w:rFonts w:ascii="方正小标宋简体" w:hAnsi="宋体" w:eastAsia="方正小标宋简体"/>
          <w:color w:val="000000"/>
          <w:sz w:val="72"/>
          <w:szCs w:val="72"/>
        </w:rPr>
      </w:pPr>
    </w:p>
    <w:p w14:paraId="51BF0DCD">
      <w:pPr>
        <w:jc w:val="center"/>
        <w:rPr>
          <w:rFonts w:hint="eastAsia" w:ascii="黑体" w:hAnsi="黑体" w:eastAsia="黑体"/>
          <w:sz w:val="72"/>
          <w:szCs w:val="72"/>
        </w:rPr>
      </w:pPr>
      <w:bookmarkStart w:id="1" w:name="_Toc15396597"/>
      <w:bookmarkStart w:id="2" w:name="_Toc15378441"/>
      <w:bookmarkStart w:id="3" w:name="_Toc15377193"/>
      <w:bookmarkStart w:id="4" w:name="_Toc15377425"/>
      <w:bookmarkStart w:id="5" w:name="_Toc15396475"/>
      <w:r>
        <w:rPr>
          <w:rFonts w:ascii="黑体" w:hAnsi="黑体" w:eastAsia="黑体"/>
          <w:sz w:val="72"/>
          <w:szCs w:val="72"/>
        </w:rPr>
        <w:t>2020</w:t>
      </w:r>
      <w:r>
        <w:rPr>
          <w:rFonts w:hint="eastAsia" w:ascii="黑体" w:hAnsi="黑体" w:eastAsia="黑体"/>
          <w:sz w:val="72"/>
          <w:szCs w:val="72"/>
        </w:rPr>
        <w:t>年度</w:t>
      </w:r>
      <w:bookmarkEnd w:id="1"/>
      <w:bookmarkEnd w:id="2"/>
      <w:bookmarkEnd w:id="3"/>
      <w:bookmarkEnd w:id="4"/>
      <w:bookmarkEnd w:id="5"/>
      <w:bookmarkStart w:id="6" w:name="_Toc15378442"/>
      <w:bookmarkStart w:id="7" w:name="_Toc15377426"/>
      <w:bookmarkStart w:id="8" w:name="_Toc15396598"/>
      <w:bookmarkStart w:id="9" w:name="_Toc15396476"/>
      <w:bookmarkStart w:id="10" w:name="_Toc15377194"/>
    </w:p>
    <w:p w14:paraId="7EF9EBF6">
      <w:pPr>
        <w:jc w:val="center"/>
        <w:rPr>
          <w:rFonts w:hint="eastAsia" w:ascii="方正小标宋简体" w:eastAsia="方正小标宋简体"/>
          <w:sz w:val="72"/>
          <w:szCs w:val="72"/>
        </w:rPr>
      </w:pPr>
      <w:r>
        <w:rPr>
          <w:rFonts w:hint="eastAsia" w:ascii="方正小标宋简体" w:eastAsia="方正小标宋简体"/>
          <w:sz w:val="72"/>
          <w:szCs w:val="72"/>
        </w:rPr>
        <w:t>四川省阿坝州松潘县</w:t>
      </w:r>
      <w:bookmarkEnd w:id="0"/>
      <w:bookmarkStart w:id="11" w:name="_Toc15306268"/>
    </w:p>
    <w:p w14:paraId="5CA15117">
      <w:pPr>
        <w:jc w:val="center"/>
        <w:rPr>
          <w:rFonts w:hint="eastAsia" w:ascii="方正小标宋简体" w:eastAsia="方正小标宋简体"/>
          <w:sz w:val="72"/>
          <w:szCs w:val="72"/>
          <w:lang w:eastAsia="zh-CN"/>
        </w:rPr>
      </w:pPr>
      <w:r>
        <w:rPr>
          <w:rFonts w:hint="eastAsia" w:ascii="方正小标宋简体" w:eastAsia="方正小标宋简体"/>
          <w:sz w:val="72"/>
          <w:szCs w:val="72"/>
          <w:lang w:eastAsia="zh-CN"/>
        </w:rPr>
        <w:t>文化体育和旅游局</w:t>
      </w:r>
    </w:p>
    <w:p w14:paraId="1026E22A">
      <w:pPr>
        <w:jc w:val="center"/>
        <w:rPr>
          <w:rFonts w:ascii="方正小标宋简体" w:eastAsia="方正小标宋简体"/>
          <w:sz w:val="72"/>
          <w:szCs w:val="72"/>
        </w:rPr>
      </w:pPr>
      <w:r>
        <w:rPr>
          <w:rFonts w:hint="eastAsia" w:ascii="方正小标宋简体" w:eastAsia="方正小标宋简体"/>
          <w:sz w:val="72"/>
          <w:szCs w:val="72"/>
          <w:lang w:eastAsia="zh-CN"/>
        </w:rPr>
        <w:t>部</w:t>
      </w:r>
      <w:r>
        <w:rPr>
          <w:rFonts w:hint="eastAsia" w:ascii="方正小标宋简体" w:eastAsia="方正小标宋简体"/>
          <w:sz w:val="72"/>
          <w:szCs w:val="72"/>
        </w:rPr>
        <w:t>门决算</w:t>
      </w:r>
      <w:bookmarkEnd w:id="6"/>
      <w:bookmarkEnd w:id="7"/>
      <w:bookmarkEnd w:id="8"/>
      <w:bookmarkEnd w:id="9"/>
      <w:bookmarkEnd w:id="10"/>
      <w:bookmarkEnd w:id="11"/>
    </w:p>
    <w:p w14:paraId="076AB66B">
      <w:pPr>
        <w:widowControl/>
        <w:jc w:val="center"/>
        <w:rPr>
          <w:rFonts w:ascii="方正小标宋简体" w:hAnsi="宋体" w:eastAsia="方正小标宋简体"/>
          <w:color w:val="000000"/>
          <w:sz w:val="36"/>
          <w:szCs w:val="36"/>
        </w:rPr>
      </w:pPr>
    </w:p>
    <w:p w14:paraId="7FFAD904">
      <w:pPr>
        <w:rPr>
          <w:rFonts w:ascii="方正小标宋简体" w:hAnsi="宋体" w:eastAsia="方正小标宋简体"/>
          <w:sz w:val="36"/>
          <w:szCs w:val="36"/>
        </w:rPr>
      </w:pPr>
    </w:p>
    <w:p w14:paraId="2083832E">
      <w:pPr>
        <w:rPr>
          <w:rFonts w:ascii="方正小标宋简体" w:hAnsi="宋体" w:eastAsia="方正小标宋简体"/>
          <w:sz w:val="36"/>
          <w:szCs w:val="36"/>
        </w:rPr>
      </w:pPr>
    </w:p>
    <w:p w14:paraId="5481D8E1">
      <w:pPr>
        <w:rPr>
          <w:rFonts w:ascii="方正小标宋简体" w:hAnsi="宋体" w:eastAsia="方正小标宋简体"/>
          <w:sz w:val="36"/>
          <w:szCs w:val="36"/>
        </w:rPr>
      </w:pPr>
    </w:p>
    <w:p w14:paraId="00887076">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14:paraId="704437B4">
      <w:pPr>
        <w:autoSpaceDE w:val="0"/>
        <w:autoSpaceDN w:val="0"/>
        <w:adjustRightInd w:val="0"/>
        <w:ind w:left="420" w:leftChars="200"/>
        <w:jc w:val="left"/>
        <w:rPr>
          <w:rFonts w:ascii="黑体" w:hAnsi="黑体" w:eastAsia="黑体"/>
          <w:color w:val="000000"/>
          <w:sz w:val="48"/>
          <w:szCs w:val="48"/>
        </w:rPr>
      </w:pPr>
      <w:r>
        <w:rPr>
          <w:rFonts w:hint="eastAsia" w:ascii="宋体" w:hAnsi="宋体" w:cs="仿宋_GB2312"/>
          <w:sz w:val="32"/>
          <w:szCs w:val="32"/>
        </w:rPr>
        <w:t>部门主要负责人审签情况：已审签，同意对外公开</w:t>
      </w:r>
      <w:r>
        <w:rPr>
          <w:rFonts w:hint="eastAsia" w:ascii="宋体" w:hAnsi="宋体" w:cs="仿宋_GB2312"/>
          <w:sz w:val="32"/>
          <w:szCs w:val="32"/>
          <w:lang w:eastAsia="zh-CN"/>
        </w:rPr>
        <w:t>。</w:t>
      </w:r>
      <w:r>
        <w:rPr>
          <w:rFonts w:ascii="方正小标宋简体" w:hAnsi="宋体" w:eastAsia="方正小标宋简体"/>
          <w:sz w:val="36"/>
          <w:szCs w:val="36"/>
        </w:rPr>
        <w:br w:type="page"/>
      </w:r>
      <w:r>
        <w:rPr>
          <w:rFonts w:hint="eastAsia" w:ascii="方正小标宋简体" w:hAnsi="宋体" w:eastAsia="方正小标宋简体"/>
          <w:sz w:val="36"/>
          <w:szCs w:val="36"/>
          <w:lang w:val="en-US" w:eastAsia="zh-CN"/>
        </w:rPr>
        <w:t xml:space="preserve">                 </w:t>
      </w:r>
      <w:r>
        <w:rPr>
          <w:rFonts w:hint="eastAsia" w:ascii="黑体" w:hAnsi="黑体" w:eastAsia="黑体"/>
          <w:color w:val="000000"/>
          <w:sz w:val="48"/>
          <w:szCs w:val="48"/>
        </w:rPr>
        <w:t>目录</w:t>
      </w:r>
    </w:p>
    <w:p w14:paraId="44EB15E6">
      <w:pPr>
        <w:pStyle w:val="8"/>
        <w:jc w:val="center"/>
        <w:rPr>
          <w:rFonts w:hAnsiTheme="minorHAnsi"/>
          <w:b w:val="0"/>
          <w:bCs w:val="0"/>
          <w:sz w:val="24"/>
          <w:szCs w:val="24"/>
        </w:rPr>
      </w:pPr>
      <w:r>
        <w:rPr>
          <w:rFonts w:hint="eastAsia" w:hAnsiTheme="minorHAnsi"/>
          <w:b w:val="0"/>
          <w:bCs w:val="0"/>
          <w:sz w:val="24"/>
          <w:szCs w:val="24"/>
        </w:rPr>
        <w:t xml:space="preserve">公开时间：2021年 </w:t>
      </w:r>
      <w:r>
        <w:rPr>
          <w:rFonts w:hint="eastAsia" w:eastAsia="宋体" w:hAnsiTheme="minorHAnsi"/>
          <w:b w:val="0"/>
          <w:bCs w:val="0"/>
          <w:sz w:val="24"/>
          <w:szCs w:val="24"/>
          <w:lang w:val="en-US" w:eastAsia="zh-CN"/>
        </w:rPr>
        <w:t>9</w:t>
      </w:r>
      <w:r>
        <w:rPr>
          <w:rFonts w:hint="eastAsia" w:hAnsiTheme="minorHAnsi"/>
          <w:b w:val="0"/>
          <w:bCs w:val="0"/>
          <w:sz w:val="24"/>
          <w:szCs w:val="24"/>
        </w:rPr>
        <w:t>月</w:t>
      </w:r>
      <w:r>
        <w:rPr>
          <w:rFonts w:hint="eastAsia" w:eastAsia="宋体" w:hAnsiTheme="minorHAnsi"/>
          <w:b w:val="0"/>
          <w:bCs w:val="0"/>
          <w:sz w:val="24"/>
          <w:szCs w:val="24"/>
          <w:lang w:val="en-US" w:eastAsia="zh-CN"/>
        </w:rPr>
        <w:t>24</w:t>
      </w:r>
      <w:r>
        <w:rPr>
          <w:rFonts w:hint="eastAsia" w:hAnsiTheme="minorHAnsi"/>
          <w:b w:val="0"/>
          <w:bCs w:val="0"/>
          <w:sz w:val="24"/>
          <w:szCs w:val="24"/>
        </w:rPr>
        <w:t>日</w:t>
      </w:r>
    </w:p>
    <w:p w14:paraId="255923AA">
      <w:pPr>
        <w:pStyle w:val="8"/>
        <w:tabs>
          <w:tab w:val="right" w:leader="dot" w:pos="8296"/>
        </w:tabs>
        <w:rPr>
          <w:rFonts w:hAnsiTheme="minorHAnsi" w:eastAsiaTheme="minorEastAsia" w:cstheme="minorBidi"/>
          <w:b w:val="0"/>
          <w:bCs w:val="0"/>
          <w:caps w:val="0"/>
          <w:sz w:val="21"/>
          <w:szCs w:val="22"/>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fldChar w:fldCharType="begin"/>
      </w:r>
      <w:r>
        <w:instrText xml:space="preserve"> PAGEREF _Toc79163851 \h </w:instrText>
      </w:r>
      <w:r>
        <w:fldChar w:fldCharType="separate"/>
      </w:r>
      <w:r>
        <w:t>4</w:t>
      </w:r>
      <w:r>
        <w:fldChar w:fldCharType="end"/>
      </w:r>
    </w:p>
    <w:p w14:paraId="2D9F0071">
      <w:pPr>
        <w:pStyle w:val="9"/>
        <w:tabs>
          <w:tab w:val="right" w:leader="dot" w:pos="8296"/>
        </w:tabs>
        <w:rPr>
          <w:rFonts w:hAnsiTheme="minorHAnsi" w:eastAsiaTheme="minorEastAsia" w:cstheme="minorBidi"/>
          <w:smallCaps w:val="0"/>
          <w:sz w:val="21"/>
          <w:szCs w:val="22"/>
        </w:rPr>
      </w:pPr>
      <w:r>
        <w:rPr>
          <w:rFonts w:ascii="黑体" w:hAnsi="黑体" w:eastAsia="黑体"/>
          <w:color w:val="000000"/>
        </w:rPr>
        <w:t>一、基</w:t>
      </w:r>
      <w:r>
        <w:rPr>
          <w:rFonts w:ascii="黑体" w:hAnsi="黑体" w:eastAsia="黑体"/>
        </w:rPr>
        <w:t>本职能及主要工作</w:t>
      </w:r>
      <w:r>
        <w:tab/>
      </w:r>
      <w:r>
        <w:fldChar w:fldCharType="begin"/>
      </w:r>
      <w:r>
        <w:instrText xml:space="preserve"> PAGEREF _Toc79163852 \h </w:instrText>
      </w:r>
      <w:r>
        <w:fldChar w:fldCharType="separate"/>
      </w:r>
      <w:r>
        <w:t>4</w:t>
      </w:r>
      <w:r>
        <w:fldChar w:fldCharType="end"/>
      </w:r>
    </w:p>
    <w:p w14:paraId="3EC8395B">
      <w:pPr>
        <w:pStyle w:val="5"/>
        <w:tabs>
          <w:tab w:val="right" w:leader="dot" w:pos="8296"/>
        </w:tabs>
        <w:rPr>
          <w:rFonts w:hAnsiTheme="minorHAnsi" w:eastAsiaTheme="minorEastAsia" w:cstheme="minorBidi"/>
          <w:i w:val="0"/>
          <w:iCs w:val="0"/>
          <w:sz w:val="21"/>
          <w:szCs w:val="22"/>
        </w:rPr>
      </w:pPr>
      <w:r>
        <w:rPr>
          <w:rFonts w:ascii="仿宋" w:hAnsi="仿宋" w:eastAsia="仿宋"/>
          <w:bCs/>
          <w:color w:val="000000"/>
        </w:rPr>
        <w:t>（一）主要职能。</w:t>
      </w:r>
      <w:r>
        <w:tab/>
      </w:r>
      <w:r>
        <w:fldChar w:fldCharType="begin"/>
      </w:r>
      <w:r>
        <w:instrText xml:space="preserve"> PAGEREF _Toc79163853 \h </w:instrText>
      </w:r>
      <w:r>
        <w:fldChar w:fldCharType="separate"/>
      </w:r>
      <w:r>
        <w:t>4</w:t>
      </w:r>
      <w:r>
        <w:fldChar w:fldCharType="end"/>
      </w:r>
    </w:p>
    <w:p w14:paraId="7D9E5806">
      <w:pPr>
        <w:pStyle w:val="5"/>
        <w:tabs>
          <w:tab w:val="right" w:leader="dot" w:pos="8296"/>
        </w:tabs>
        <w:rPr>
          <w:rFonts w:hAnsiTheme="minorHAnsi" w:eastAsiaTheme="minorEastAsia" w:cstheme="minorBidi"/>
          <w:i w:val="0"/>
          <w:iCs w:val="0"/>
          <w:sz w:val="21"/>
          <w:szCs w:val="22"/>
        </w:rPr>
      </w:pPr>
      <w:r>
        <w:rPr>
          <w:rFonts w:ascii="仿宋" w:hAnsi="仿宋" w:eastAsia="仿宋"/>
          <w:bCs/>
          <w:color w:val="000000"/>
        </w:rPr>
        <w:t>（二）2020年重点工作完成情况。</w:t>
      </w:r>
      <w:r>
        <w:tab/>
      </w:r>
      <w:r>
        <w:fldChar w:fldCharType="begin"/>
      </w:r>
      <w:r>
        <w:instrText xml:space="preserve"> PAGEREF _Toc79163854 \h </w:instrText>
      </w:r>
      <w:r>
        <w:fldChar w:fldCharType="separate"/>
      </w:r>
      <w:r>
        <w:t>4</w:t>
      </w:r>
      <w:r>
        <w:fldChar w:fldCharType="end"/>
      </w:r>
    </w:p>
    <w:p w14:paraId="7A1508FE">
      <w:pPr>
        <w:pStyle w:val="9"/>
        <w:tabs>
          <w:tab w:val="right" w:leader="dot" w:pos="8296"/>
        </w:tabs>
        <w:rPr>
          <w:rFonts w:hAnsiTheme="minorHAnsi" w:eastAsiaTheme="minorEastAsia" w:cstheme="minorBidi"/>
          <w:smallCaps w:val="0"/>
          <w:sz w:val="21"/>
          <w:szCs w:val="22"/>
        </w:rPr>
      </w:pPr>
      <w:r>
        <w:rPr>
          <w:rFonts w:ascii="黑体" w:eastAsia="黑体"/>
          <w:color w:val="000000"/>
        </w:rPr>
        <w:t>二、</w:t>
      </w:r>
      <w:r>
        <w:rPr>
          <w:rFonts w:ascii="黑体" w:hAnsi="黑体" w:eastAsia="黑体"/>
          <w:color w:val="000000"/>
        </w:rPr>
        <w:t>机</w:t>
      </w:r>
      <w:r>
        <w:rPr>
          <w:rFonts w:ascii="黑体" w:hAnsi="黑体" w:eastAsia="黑体"/>
        </w:rPr>
        <w:t>构设置</w:t>
      </w:r>
      <w:r>
        <w:tab/>
      </w:r>
      <w:r>
        <w:fldChar w:fldCharType="begin"/>
      </w:r>
      <w:r>
        <w:instrText xml:space="preserve"> PAGEREF _Toc79163855 \h </w:instrText>
      </w:r>
      <w:r>
        <w:fldChar w:fldCharType="separate"/>
      </w:r>
      <w:r>
        <w:t>4</w:t>
      </w:r>
      <w:r>
        <w:fldChar w:fldCharType="end"/>
      </w:r>
    </w:p>
    <w:p w14:paraId="53513346">
      <w:pPr>
        <w:pStyle w:val="8"/>
        <w:tabs>
          <w:tab w:val="right" w:leader="dot" w:pos="8296"/>
        </w:tabs>
        <w:rPr>
          <w:rFonts w:hAnsiTheme="minorHAnsi" w:eastAsiaTheme="minorEastAsia" w:cstheme="minorBidi"/>
          <w:b w:val="0"/>
          <w:bCs w:val="0"/>
          <w:caps w:val="0"/>
          <w:sz w:val="21"/>
          <w:szCs w:val="22"/>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2020年度部门决算情况说明</w:t>
      </w:r>
      <w:r>
        <w:tab/>
      </w:r>
      <w:r>
        <w:fldChar w:fldCharType="begin"/>
      </w:r>
      <w:r>
        <w:instrText xml:space="preserve"> PAGEREF _Toc79163859 \h </w:instrText>
      </w:r>
      <w:r>
        <w:fldChar w:fldCharType="separate"/>
      </w:r>
      <w:r>
        <w:t>5</w:t>
      </w:r>
      <w:r>
        <w:fldChar w:fldCharType="end"/>
      </w:r>
    </w:p>
    <w:p w14:paraId="47F6036F">
      <w:pPr>
        <w:pStyle w:val="9"/>
        <w:tabs>
          <w:tab w:val="left" w:pos="840"/>
          <w:tab w:val="right" w:leader="dot" w:pos="8296"/>
        </w:tabs>
        <w:rPr>
          <w:rFonts w:hAnsiTheme="minorHAnsi" w:eastAsiaTheme="minorEastAsia" w:cstheme="minorBidi"/>
          <w:smallCaps w:val="0"/>
          <w:sz w:val="21"/>
          <w:szCs w:val="22"/>
        </w:rPr>
      </w:pPr>
      <w:r>
        <w:rPr>
          <w:rFonts w:ascii="黑体" w:hAnsi="黑体" w:eastAsia="黑体"/>
          <w:bCs/>
        </w:rPr>
        <w:t>一、</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入支出决算总体情况说明</w:t>
      </w:r>
      <w:r>
        <w:tab/>
      </w:r>
      <w:r>
        <w:fldChar w:fldCharType="begin"/>
      </w:r>
      <w:r>
        <w:instrText xml:space="preserve"> PAGEREF _Toc79163860 \h </w:instrText>
      </w:r>
      <w:r>
        <w:fldChar w:fldCharType="separate"/>
      </w:r>
      <w:r>
        <w:t>5</w:t>
      </w:r>
      <w:r>
        <w:fldChar w:fldCharType="end"/>
      </w:r>
    </w:p>
    <w:p w14:paraId="7BDC8962">
      <w:pPr>
        <w:pStyle w:val="9"/>
        <w:tabs>
          <w:tab w:val="left" w:pos="840"/>
          <w:tab w:val="right" w:leader="dot" w:pos="8296"/>
        </w:tabs>
        <w:rPr>
          <w:rFonts w:hAnsiTheme="minorHAnsi" w:eastAsiaTheme="minorEastAsia" w:cstheme="minorBidi"/>
          <w:smallCaps w:val="0"/>
          <w:sz w:val="21"/>
          <w:szCs w:val="22"/>
        </w:rPr>
      </w:pPr>
      <w:r>
        <w:rPr>
          <w:rFonts w:ascii="黑体" w:hAnsi="黑体" w:eastAsia="黑体"/>
          <w:bCs/>
        </w:rPr>
        <w:t>二、</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入决算情况说明</w:t>
      </w:r>
      <w:r>
        <w:tab/>
      </w:r>
      <w:r>
        <w:fldChar w:fldCharType="begin"/>
      </w:r>
      <w:r>
        <w:instrText xml:space="preserve"> PAGEREF _Toc79163861 \h </w:instrText>
      </w:r>
      <w:r>
        <w:fldChar w:fldCharType="separate"/>
      </w:r>
      <w:r>
        <w:t>5</w:t>
      </w:r>
      <w:r>
        <w:fldChar w:fldCharType="end"/>
      </w:r>
    </w:p>
    <w:p w14:paraId="7CC65FEE">
      <w:pPr>
        <w:pStyle w:val="9"/>
        <w:tabs>
          <w:tab w:val="left" w:pos="840"/>
          <w:tab w:val="right" w:leader="dot" w:pos="8296"/>
        </w:tabs>
        <w:rPr>
          <w:rFonts w:hAnsiTheme="minorHAnsi" w:eastAsiaTheme="minorEastAsia" w:cstheme="minorBidi"/>
          <w:smallCaps w:val="0"/>
          <w:sz w:val="21"/>
          <w:szCs w:val="22"/>
        </w:rPr>
      </w:pPr>
      <w:r>
        <w:rPr>
          <w:rFonts w:ascii="黑体" w:hAnsi="黑体" w:eastAsia="黑体"/>
          <w:bCs/>
        </w:rPr>
        <w:t>三、</w:t>
      </w:r>
      <w:r>
        <w:rPr>
          <w:rFonts w:hAnsiTheme="minorHAnsi" w:eastAsiaTheme="minorEastAsia" w:cstheme="minorBidi"/>
          <w:smallCaps w:val="0"/>
          <w:sz w:val="21"/>
          <w:szCs w:val="22"/>
        </w:rPr>
        <w:tab/>
      </w:r>
      <w:r>
        <w:rPr>
          <w:rFonts w:ascii="黑体" w:hAnsi="黑体" w:eastAsia="黑体"/>
          <w:color w:val="000000"/>
        </w:rPr>
        <w:t>支</w:t>
      </w:r>
      <w:r>
        <w:rPr>
          <w:rFonts w:ascii="黑体" w:hAnsi="黑体" w:eastAsia="黑体"/>
          <w:bCs/>
        </w:rPr>
        <w:t>出决算情况说明</w:t>
      </w:r>
      <w:r>
        <w:tab/>
      </w:r>
      <w:r>
        <w:fldChar w:fldCharType="begin"/>
      </w:r>
      <w:r>
        <w:instrText xml:space="preserve"> PAGEREF _Toc79163862 \h </w:instrText>
      </w:r>
      <w:r>
        <w:fldChar w:fldCharType="separate"/>
      </w:r>
      <w:r>
        <w:t>5</w:t>
      </w:r>
      <w:r>
        <w:fldChar w:fldCharType="end"/>
      </w:r>
    </w:p>
    <w:p w14:paraId="21272AEF">
      <w:pPr>
        <w:pStyle w:val="9"/>
        <w:tabs>
          <w:tab w:val="right" w:leader="dot" w:pos="8296"/>
        </w:tabs>
        <w:rPr>
          <w:rFonts w:hAnsiTheme="minorHAnsi" w:eastAsiaTheme="minorEastAsia" w:cstheme="minorBidi"/>
          <w:smallCaps w:val="0"/>
          <w:sz w:val="21"/>
          <w:szCs w:val="22"/>
        </w:rPr>
      </w:pPr>
      <w:r>
        <w:rPr>
          <w:rFonts w:ascii="黑体" w:hAnsi="黑体" w:eastAsia="黑体"/>
          <w:color w:val="000000"/>
        </w:rPr>
        <w:t>四、财</w:t>
      </w:r>
      <w:r>
        <w:rPr>
          <w:rFonts w:ascii="黑体" w:hAnsi="黑体" w:eastAsia="黑体"/>
          <w:bCs/>
        </w:rPr>
        <w:t>政拨款收入支出决算总体情况说明</w:t>
      </w:r>
      <w:r>
        <w:tab/>
      </w:r>
      <w:r>
        <w:fldChar w:fldCharType="begin"/>
      </w:r>
      <w:r>
        <w:instrText xml:space="preserve"> PAGEREF _Toc79163863 \h </w:instrText>
      </w:r>
      <w:r>
        <w:fldChar w:fldCharType="separate"/>
      </w:r>
      <w:r>
        <w:t>6</w:t>
      </w:r>
      <w:r>
        <w:fldChar w:fldCharType="end"/>
      </w:r>
    </w:p>
    <w:p w14:paraId="4C213091">
      <w:pPr>
        <w:pStyle w:val="9"/>
        <w:tabs>
          <w:tab w:val="right" w:leader="dot" w:pos="8296"/>
        </w:tabs>
        <w:rPr>
          <w:rFonts w:hAnsiTheme="minorHAnsi" w:eastAsiaTheme="minorEastAsia" w:cstheme="minorBidi"/>
          <w:smallCaps w:val="0"/>
          <w:sz w:val="21"/>
          <w:szCs w:val="22"/>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fldChar w:fldCharType="begin"/>
      </w:r>
      <w:r>
        <w:instrText xml:space="preserve"> PAGEREF _Toc79163864 \h </w:instrText>
      </w:r>
      <w:r>
        <w:fldChar w:fldCharType="separate"/>
      </w:r>
      <w:r>
        <w:t>6</w:t>
      </w:r>
      <w:r>
        <w:fldChar w:fldCharType="end"/>
      </w:r>
    </w:p>
    <w:p w14:paraId="68633981">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（一）一般公共预算财政拨款支出决算总体情况</w:t>
      </w:r>
      <w:r>
        <w:tab/>
      </w:r>
      <w:r>
        <w:fldChar w:fldCharType="begin"/>
      </w:r>
      <w:r>
        <w:instrText xml:space="preserve"> PAGEREF _Toc79163865 \h </w:instrText>
      </w:r>
      <w:r>
        <w:fldChar w:fldCharType="separate"/>
      </w:r>
      <w:r>
        <w:t>6</w:t>
      </w:r>
      <w:r>
        <w:fldChar w:fldCharType="end"/>
      </w:r>
    </w:p>
    <w:p w14:paraId="4A934941">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（二）一般公共预算财政拨款支出决算结构情况</w:t>
      </w:r>
      <w:r>
        <w:tab/>
      </w:r>
      <w:r>
        <w:fldChar w:fldCharType="begin"/>
      </w:r>
      <w:r>
        <w:instrText xml:space="preserve"> PAGEREF _Toc79163866 \h </w:instrText>
      </w:r>
      <w:r>
        <w:fldChar w:fldCharType="separate"/>
      </w:r>
      <w:r>
        <w:t>7</w:t>
      </w:r>
      <w:r>
        <w:fldChar w:fldCharType="end"/>
      </w:r>
    </w:p>
    <w:p w14:paraId="7ACE11E9">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（三）一般公共预算财政拨款支出决算具体情况</w:t>
      </w:r>
      <w:r>
        <w:tab/>
      </w:r>
      <w:r>
        <w:fldChar w:fldCharType="begin"/>
      </w:r>
      <w:r>
        <w:instrText xml:space="preserve"> PAGEREF _Toc79163867 \h </w:instrText>
      </w:r>
      <w:r>
        <w:fldChar w:fldCharType="separate"/>
      </w:r>
      <w:r>
        <w:t>7</w:t>
      </w:r>
      <w:r>
        <w:fldChar w:fldCharType="end"/>
      </w:r>
    </w:p>
    <w:p w14:paraId="282BF51D">
      <w:pPr>
        <w:pStyle w:val="9"/>
        <w:tabs>
          <w:tab w:val="right" w:leader="dot" w:pos="8296"/>
        </w:tabs>
        <w:rPr>
          <w:rFonts w:hAnsiTheme="minorHAnsi" w:eastAsiaTheme="minorEastAsia" w:cstheme="minorBidi"/>
          <w:smallCaps w:val="0"/>
          <w:sz w:val="21"/>
          <w:szCs w:val="22"/>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fldChar w:fldCharType="begin"/>
      </w:r>
      <w:r>
        <w:instrText xml:space="preserve"> PAGEREF _Toc79163868 \h </w:instrText>
      </w:r>
      <w:r>
        <w:fldChar w:fldCharType="separate"/>
      </w:r>
      <w:r>
        <w:t>8</w:t>
      </w:r>
      <w:r>
        <w:fldChar w:fldCharType="end"/>
      </w:r>
    </w:p>
    <w:p w14:paraId="6251DBFF">
      <w:pPr>
        <w:pStyle w:val="9"/>
        <w:tabs>
          <w:tab w:val="right" w:leader="dot" w:pos="8296"/>
        </w:tabs>
        <w:rPr>
          <w:rFonts w:hAnsiTheme="minorHAnsi" w:eastAsiaTheme="minorEastAsia" w:cstheme="minorBidi"/>
          <w:smallCaps w:val="0"/>
          <w:sz w:val="21"/>
          <w:szCs w:val="22"/>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fldChar w:fldCharType="begin"/>
      </w:r>
      <w:r>
        <w:instrText xml:space="preserve"> PAGEREF _Toc79163869 \h </w:instrText>
      </w:r>
      <w:r>
        <w:fldChar w:fldCharType="separate"/>
      </w:r>
      <w:r>
        <w:t>9</w:t>
      </w:r>
      <w:r>
        <w:fldChar w:fldCharType="end"/>
      </w:r>
    </w:p>
    <w:p w14:paraId="019C560C">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（一）“三公”经费财政拨款支出决算总体情况说明</w:t>
      </w:r>
      <w:r>
        <w:tab/>
      </w:r>
      <w:r>
        <w:fldChar w:fldCharType="begin"/>
      </w:r>
      <w:r>
        <w:instrText xml:space="preserve"> PAGEREF _Toc79163870 \h </w:instrText>
      </w:r>
      <w:r>
        <w:fldChar w:fldCharType="separate"/>
      </w:r>
      <w:r>
        <w:t>9</w:t>
      </w:r>
      <w:r>
        <w:fldChar w:fldCharType="end"/>
      </w:r>
    </w:p>
    <w:p w14:paraId="5E9DEA3D">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（二）“三公”经费财政拨款支出决算具体情况说明</w:t>
      </w:r>
      <w:r>
        <w:tab/>
      </w:r>
      <w:r>
        <w:fldChar w:fldCharType="begin"/>
      </w:r>
      <w:r>
        <w:instrText xml:space="preserve"> PAGEREF _Toc79163871 \h </w:instrText>
      </w:r>
      <w:r>
        <w:fldChar w:fldCharType="separate"/>
      </w:r>
      <w:r>
        <w:t>9</w:t>
      </w:r>
      <w:r>
        <w:fldChar w:fldCharType="end"/>
      </w:r>
    </w:p>
    <w:p w14:paraId="2A1C2D85">
      <w:pPr>
        <w:pStyle w:val="9"/>
        <w:tabs>
          <w:tab w:val="right" w:leader="dot" w:pos="8296"/>
        </w:tabs>
        <w:rPr>
          <w:rFonts w:hAnsiTheme="minorHAnsi" w:eastAsiaTheme="minorEastAsia" w:cstheme="minorBidi"/>
          <w:smallCaps w:val="0"/>
          <w:sz w:val="21"/>
          <w:szCs w:val="22"/>
        </w:rPr>
      </w:pPr>
      <w:r>
        <w:rPr>
          <w:rFonts w:ascii="黑体" w:eastAsia="黑体"/>
          <w:color w:val="000000"/>
        </w:rPr>
        <w:t>八、</w:t>
      </w:r>
      <w:r>
        <w:rPr>
          <w:rFonts w:ascii="黑体" w:hAnsi="黑体" w:eastAsia="黑体"/>
          <w:bCs/>
        </w:rPr>
        <w:t>政府性基金预算支出决算情况说明</w:t>
      </w:r>
      <w:r>
        <w:tab/>
      </w:r>
      <w:r>
        <w:fldChar w:fldCharType="begin"/>
      </w:r>
      <w:r>
        <w:instrText xml:space="preserve"> PAGEREF _Toc79163872 \h </w:instrText>
      </w:r>
      <w:r>
        <w:fldChar w:fldCharType="separate"/>
      </w:r>
      <w:r>
        <w:t>11</w:t>
      </w:r>
      <w:r>
        <w:fldChar w:fldCharType="end"/>
      </w:r>
    </w:p>
    <w:p w14:paraId="785B6E42">
      <w:pPr>
        <w:pStyle w:val="9"/>
        <w:tabs>
          <w:tab w:val="right" w:leader="dot" w:pos="8296"/>
        </w:tabs>
        <w:rPr>
          <w:rFonts w:hAnsiTheme="minorHAnsi" w:eastAsiaTheme="minorEastAsia" w:cstheme="minorBidi"/>
          <w:smallCaps w:val="0"/>
          <w:sz w:val="21"/>
          <w:szCs w:val="22"/>
        </w:rPr>
      </w:pPr>
      <w:r>
        <w:rPr>
          <w:rFonts w:ascii="黑体" w:hAnsi="黑体" w:eastAsia="黑体"/>
          <w:bCs/>
        </w:rPr>
        <w:t>九、 国有资本经营预算支出决算情况说明</w:t>
      </w:r>
      <w:r>
        <w:tab/>
      </w:r>
      <w:r>
        <w:fldChar w:fldCharType="begin"/>
      </w:r>
      <w:r>
        <w:instrText xml:space="preserve"> PAGEREF _Toc79163873 \h </w:instrText>
      </w:r>
      <w:r>
        <w:fldChar w:fldCharType="separate"/>
      </w:r>
      <w:r>
        <w:t>11</w:t>
      </w:r>
      <w:r>
        <w:fldChar w:fldCharType="end"/>
      </w:r>
    </w:p>
    <w:p w14:paraId="70804141">
      <w:pPr>
        <w:pStyle w:val="9"/>
        <w:tabs>
          <w:tab w:val="right" w:leader="dot" w:pos="8296"/>
        </w:tabs>
        <w:rPr>
          <w:rFonts w:hAnsiTheme="minorHAnsi" w:eastAsiaTheme="minorEastAsia" w:cstheme="minorBidi"/>
          <w:smallCaps w:val="0"/>
          <w:sz w:val="21"/>
          <w:szCs w:val="22"/>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fldChar w:fldCharType="begin"/>
      </w:r>
      <w:r>
        <w:instrText xml:space="preserve"> PAGEREF _Toc79163874 \h </w:instrText>
      </w:r>
      <w:r>
        <w:fldChar w:fldCharType="separate"/>
      </w:r>
      <w:r>
        <w:t>11</w:t>
      </w:r>
      <w:r>
        <w:fldChar w:fldCharType="end"/>
      </w:r>
    </w:p>
    <w:p w14:paraId="45773774">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（一）机关运行经费支出情况</w:t>
      </w:r>
      <w:r>
        <w:tab/>
      </w:r>
      <w:r>
        <w:fldChar w:fldCharType="begin"/>
      </w:r>
      <w:r>
        <w:instrText xml:space="preserve"> PAGEREF _Toc79163875 \h </w:instrText>
      </w:r>
      <w:r>
        <w:fldChar w:fldCharType="separate"/>
      </w:r>
      <w:r>
        <w:t>11</w:t>
      </w:r>
      <w:r>
        <w:fldChar w:fldCharType="end"/>
      </w:r>
    </w:p>
    <w:p w14:paraId="431BFC76">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（二）政府采购支出情况</w:t>
      </w:r>
      <w:r>
        <w:tab/>
      </w:r>
      <w:r>
        <w:fldChar w:fldCharType="begin"/>
      </w:r>
      <w:r>
        <w:instrText xml:space="preserve"> PAGEREF _Toc79163876 \h </w:instrText>
      </w:r>
      <w:r>
        <w:fldChar w:fldCharType="separate"/>
      </w:r>
      <w:r>
        <w:t>11</w:t>
      </w:r>
      <w:r>
        <w:fldChar w:fldCharType="end"/>
      </w:r>
    </w:p>
    <w:p w14:paraId="0CBE873B">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（三）国有资产占有使用情况</w:t>
      </w:r>
      <w:r>
        <w:tab/>
      </w:r>
      <w:r>
        <w:fldChar w:fldCharType="begin"/>
      </w:r>
      <w:r>
        <w:instrText xml:space="preserve"> PAGEREF _Toc79163877 \h </w:instrText>
      </w:r>
      <w:r>
        <w:fldChar w:fldCharType="separate"/>
      </w:r>
      <w:r>
        <w:t>11</w:t>
      </w:r>
      <w:r>
        <w:fldChar w:fldCharType="end"/>
      </w:r>
    </w:p>
    <w:p w14:paraId="0CA34E4F">
      <w:pPr>
        <w:pStyle w:val="5"/>
        <w:tabs>
          <w:tab w:val="right" w:leader="dot" w:pos="8296"/>
        </w:tabs>
        <w:rPr>
          <w:rFonts w:hAnsiTheme="minorHAnsi" w:eastAsiaTheme="minorEastAsia" w:cstheme="minorBidi"/>
          <w:i w:val="0"/>
          <w:iCs w:val="0"/>
          <w:sz w:val="21"/>
          <w:szCs w:val="22"/>
        </w:rPr>
      </w:pPr>
      <w:r>
        <w:rPr>
          <w:rFonts w:ascii="仿宋" w:hAnsi="仿宋" w:eastAsia="仿宋"/>
          <w:b/>
          <w:color w:val="000000"/>
        </w:rPr>
        <w:t>（四）预算绩效管理情况。</w:t>
      </w:r>
      <w:r>
        <w:tab/>
      </w:r>
      <w:r>
        <w:fldChar w:fldCharType="begin"/>
      </w:r>
      <w:r>
        <w:instrText xml:space="preserve"> PAGEREF _Toc79163878 \h </w:instrText>
      </w:r>
      <w:r>
        <w:fldChar w:fldCharType="separate"/>
      </w:r>
      <w:r>
        <w:t>12</w:t>
      </w:r>
      <w:r>
        <w:fldChar w:fldCharType="end"/>
      </w:r>
    </w:p>
    <w:p w14:paraId="444791A9">
      <w:pPr>
        <w:pStyle w:val="8"/>
        <w:tabs>
          <w:tab w:val="right" w:leader="dot" w:pos="8296"/>
        </w:tabs>
        <w:rPr>
          <w:rFonts w:hAnsiTheme="minorHAnsi" w:eastAsiaTheme="minorEastAsia" w:cstheme="minorBidi"/>
          <w:b w:val="0"/>
          <w:bCs w:val="0"/>
          <w:caps w:val="0"/>
          <w:sz w:val="21"/>
          <w:szCs w:val="22"/>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fldChar w:fldCharType="begin"/>
      </w:r>
      <w:r>
        <w:instrText xml:space="preserve"> PAGEREF _Toc79163879 \h </w:instrText>
      </w:r>
      <w:r>
        <w:fldChar w:fldCharType="separate"/>
      </w:r>
      <w:r>
        <w:t>16</w:t>
      </w:r>
      <w:r>
        <w:fldChar w:fldCharType="end"/>
      </w:r>
    </w:p>
    <w:p w14:paraId="43E0DA2F">
      <w:pPr>
        <w:pStyle w:val="8"/>
        <w:tabs>
          <w:tab w:val="right" w:leader="dot" w:pos="8296"/>
        </w:tabs>
        <w:rPr>
          <w:rFonts w:hAnsiTheme="minorHAnsi" w:eastAsiaTheme="minorEastAsia" w:cstheme="minorBidi"/>
          <w:b w:val="0"/>
          <w:bCs w:val="0"/>
          <w:caps w:val="0"/>
          <w:sz w:val="21"/>
          <w:szCs w:val="22"/>
        </w:rPr>
      </w:pPr>
      <w:r>
        <w:rPr>
          <w:rFonts w:ascii="黑体" w:hAnsi="黑体" w:eastAsia="黑体"/>
          <w:color w:val="000000"/>
        </w:rPr>
        <w:t>第</w:t>
      </w:r>
      <w:r>
        <w:rPr>
          <w:rFonts w:ascii="黑体" w:hAnsi="黑体" w:eastAsia="黑体"/>
          <w:kern w:val="44"/>
        </w:rPr>
        <w:t>四部分 附件</w:t>
      </w:r>
      <w:r>
        <w:tab/>
      </w:r>
      <w:r>
        <w:fldChar w:fldCharType="begin"/>
      </w:r>
      <w:r>
        <w:instrText xml:space="preserve"> PAGEREF _Toc79163880 \h </w:instrText>
      </w:r>
      <w:r>
        <w:fldChar w:fldCharType="separate"/>
      </w:r>
      <w:r>
        <w:t>19</w:t>
      </w:r>
      <w:r>
        <w:fldChar w:fldCharType="end"/>
      </w:r>
    </w:p>
    <w:p w14:paraId="089023DB">
      <w:pPr>
        <w:pStyle w:val="8"/>
        <w:tabs>
          <w:tab w:val="right" w:leader="dot" w:pos="8296"/>
        </w:tabs>
        <w:rPr>
          <w:rFonts w:hAnsiTheme="minorHAnsi" w:eastAsiaTheme="minorEastAsia" w:cstheme="minorBidi"/>
          <w:b w:val="0"/>
          <w:bCs w:val="0"/>
          <w:caps w:val="0"/>
          <w:sz w:val="21"/>
          <w:szCs w:val="22"/>
        </w:rPr>
      </w:pPr>
      <w:r>
        <w:rPr>
          <w:rFonts w:ascii="黑体" w:hAnsi="黑体" w:eastAsia="黑体" w:cs="黑体"/>
        </w:rPr>
        <w:t>附件1</w:t>
      </w:r>
      <w:r>
        <w:tab/>
      </w:r>
      <w:r>
        <w:fldChar w:fldCharType="begin"/>
      </w:r>
      <w:r>
        <w:instrText xml:space="preserve"> PAGEREF _Toc79163881 \h </w:instrText>
      </w:r>
      <w:r>
        <w:fldChar w:fldCharType="separate"/>
      </w:r>
      <w:r>
        <w:t>19</w:t>
      </w:r>
      <w:r>
        <w:fldChar w:fldCharType="end"/>
      </w:r>
    </w:p>
    <w:p w14:paraId="264D449D">
      <w:pPr>
        <w:pStyle w:val="8"/>
        <w:tabs>
          <w:tab w:val="right" w:leader="dot" w:pos="8296"/>
        </w:tabs>
        <w:rPr>
          <w:rFonts w:hAnsiTheme="minorHAnsi" w:eastAsiaTheme="minorEastAsia" w:cstheme="minorBidi"/>
          <w:b w:val="0"/>
          <w:bCs w:val="0"/>
          <w:caps w:val="0"/>
          <w:sz w:val="21"/>
          <w:szCs w:val="22"/>
        </w:rPr>
      </w:pPr>
      <w:r>
        <w:rPr>
          <w:rFonts w:ascii="方正小标宋简体" w:hAnsi="黑体" w:eastAsia="方正小标宋简体" w:cs="黑体"/>
        </w:rPr>
        <w:t>XX部门2020年部门整体支出绩效评价报告</w:t>
      </w:r>
      <w:r>
        <w:tab/>
      </w:r>
      <w:r>
        <w:fldChar w:fldCharType="begin"/>
      </w:r>
      <w:r>
        <w:instrText xml:space="preserve"> PAGEREF _Toc79163882 \h </w:instrText>
      </w:r>
      <w:r>
        <w:fldChar w:fldCharType="separate"/>
      </w:r>
      <w:r>
        <w:t>19</w:t>
      </w:r>
      <w:r>
        <w:fldChar w:fldCharType="end"/>
      </w:r>
    </w:p>
    <w:p w14:paraId="689D8736">
      <w:pPr>
        <w:pStyle w:val="8"/>
        <w:tabs>
          <w:tab w:val="right" w:leader="dot" w:pos="8296"/>
        </w:tabs>
        <w:rPr>
          <w:rFonts w:hAnsiTheme="minorHAnsi" w:eastAsiaTheme="minorEastAsia" w:cstheme="minorBidi"/>
          <w:b w:val="0"/>
          <w:bCs w:val="0"/>
          <w:caps w:val="0"/>
          <w:sz w:val="21"/>
          <w:szCs w:val="22"/>
        </w:rPr>
      </w:pPr>
      <w:r>
        <w:rPr>
          <w:rFonts w:ascii="黑体" w:hAnsi="黑体" w:eastAsia="黑体" w:cs="黑体"/>
        </w:rPr>
        <w:t>附件2</w:t>
      </w:r>
      <w:r>
        <w:tab/>
      </w:r>
      <w:r>
        <w:fldChar w:fldCharType="begin"/>
      </w:r>
      <w:r>
        <w:instrText xml:space="preserve"> PAGEREF _Toc79163883 \h </w:instrText>
      </w:r>
      <w:r>
        <w:fldChar w:fldCharType="separate"/>
      </w:r>
      <w:r>
        <w:t>20</w:t>
      </w:r>
      <w:r>
        <w:fldChar w:fldCharType="end"/>
      </w:r>
    </w:p>
    <w:p w14:paraId="0C458090">
      <w:pPr>
        <w:pStyle w:val="8"/>
        <w:tabs>
          <w:tab w:val="right" w:leader="dot" w:pos="8296"/>
        </w:tabs>
        <w:rPr>
          <w:rFonts w:hAnsiTheme="minorHAnsi" w:eastAsiaTheme="minorEastAsia" w:cstheme="minorBidi"/>
          <w:b w:val="0"/>
          <w:bCs w:val="0"/>
          <w:caps w:val="0"/>
          <w:sz w:val="21"/>
          <w:szCs w:val="22"/>
        </w:rPr>
      </w:pPr>
      <w:r>
        <w:rPr>
          <w:rFonts w:ascii="方正小标宋简体" w:hAnsi="黑体" w:eastAsia="方正小标宋简体" w:cs="黑体"/>
        </w:rPr>
        <w:t>XXX项目2020年绩效评价报告</w:t>
      </w:r>
      <w:r>
        <w:tab/>
      </w:r>
      <w:r>
        <w:fldChar w:fldCharType="begin"/>
      </w:r>
      <w:r>
        <w:instrText xml:space="preserve"> PAGEREF _Toc79163884 \h </w:instrText>
      </w:r>
      <w:r>
        <w:fldChar w:fldCharType="separate"/>
      </w:r>
      <w:r>
        <w:t>20</w:t>
      </w:r>
      <w:r>
        <w:fldChar w:fldCharType="end"/>
      </w:r>
    </w:p>
    <w:p w14:paraId="5EAA5D51">
      <w:pPr>
        <w:pStyle w:val="8"/>
        <w:tabs>
          <w:tab w:val="right" w:leader="dot" w:pos="8296"/>
        </w:tabs>
        <w:rPr>
          <w:rFonts w:hAnsiTheme="minorHAnsi" w:eastAsiaTheme="minorEastAsia" w:cstheme="minorBidi"/>
          <w:b w:val="0"/>
          <w:bCs w:val="0"/>
          <w:caps w:val="0"/>
          <w:sz w:val="21"/>
          <w:szCs w:val="22"/>
        </w:rPr>
      </w:pPr>
      <w:r>
        <w:rPr>
          <w:rFonts w:ascii="黑体" w:hAnsi="黑体" w:eastAsia="黑体"/>
          <w:color w:val="000000"/>
        </w:rPr>
        <w:t>第</w:t>
      </w:r>
      <w:r>
        <w:rPr>
          <w:rFonts w:ascii="黑体" w:hAnsi="黑体" w:eastAsia="黑体"/>
          <w:kern w:val="44"/>
        </w:rPr>
        <w:t>五部分 附表</w:t>
      </w:r>
      <w:r>
        <w:tab/>
      </w:r>
      <w:r>
        <w:fldChar w:fldCharType="begin"/>
      </w:r>
      <w:r>
        <w:instrText xml:space="preserve"> PAGEREF _Toc79163885 \h </w:instrText>
      </w:r>
      <w:r>
        <w:fldChar w:fldCharType="separate"/>
      </w:r>
      <w:r>
        <w:t>24</w:t>
      </w:r>
      <w:r>
        <w:fldChar w:fldCharType="end"/>
      </w:r>
    </w:p>
    <w:p w14:paraId="669E65C9">
      <w:pPr>
        <w:pStyle w:val="9"/>
        <w:tabs>
          <w:tab w:val="right" w:leader="dot" w:pos="8296"/>
        </w:tabs>
        <w:rPr>
          <w:rFonts w:hAnsiTheme="minorHAnsi" w:eastAsiaTheme="minorEastAsia" w:cstheme="minorBidi"/>
          <w:smallCaps w:val="0"/>
          <w:sz w:val="21"/>
          <w:szCs w:val="22"/>
        </w:rPr>
      </w:pPr>
      <w:r>
        <w:rPr>
          <w:rFonts w:ascii="仿宋" w:hAnsi="仿宋" w:eastAsia="仿宋"/>
          <w:color w:val="000000"/>
        </w:rPr>
        <w:t>一、收</w:t>
      </w:r>
      <w:r>
        <w:rPr>
          <w:rFonts w:ascii="仿宋" w:hAnsi="仿宋" w:eastAsia="仿宋"/>
        </w:rPr>
        <w:t>入支出决算总表</w:t>
      </w:r>
      <w:r>
        <w:tab/>
      </w:r>
      <w:r>
        <w:fldChar w:fldCharType="begin"/>
      </w:r>
      <w:r>
        <w:instrText xml:space="preserve"> PAGEREF _Toc79163886 \h </w:instrText>
      </w:r>
      <w:r>
        <w:fldChar w:fldCharType="separate"/>
      </w:r>
      <w:r>
        <w:t>24</w:t>
      </w:r>
      <w:r>
        <w:fldChar w:fldCharType="end"/>
      </w:r>
    </w:p>
    <w:p w14:paraId="742F0B90">
      <w:pPr>
        <w:pStyle w:val="9"/>
        <w:tabs>
          <w:tab w:val="right" w:leader="dot" w:pos="8296"/>
        </w:tabs>
        <w:rPr>
          <w:rFonts w:hAnsiTheme="minorHAnsi" w:eastAsiaTheme="minorEastAsia" w:cstheme="minorBidi"/>
          <w:smallCaps w:val="0"/>
          <w:sz w:val="21"/>
          <w:szCs w:val="22"/>
        </w:rPr>
      </w:pPr>
      <w:r>
        <w:rPr>
          <w:rFonts w:ascii="仿宋" w:hAnsi="仿宋" w:eastAsia="仿宋"/>
          <w:color w:val="000000"/>
        </w:rPr>
        <w:t>二、收</w:t>
      </w:r>
      <w:r>
        <w:rPr>
          <w:rFonts w:ascii="仿宋" w:hAnsi="仿宋" w:eastAsia="仿宋"/>
        </w:rPr>
        <w:t>入决算表</w:t>
      </w:r>
      <w:r>
        <w:tab/>
      </w:r>
      <w:r>
        <w:fldChar w:fldCharType="begin"/>
      </w:r>
      <w:r>
        <w:instrText xml:space="preserve"> PAGEREF _Toc79163887 \h </w:instrText>
      </w:r>
      <w:r>
        <w:fldChar w:fldCharType="separate"/>
      </w:r>
      <w:r>
        <w:t>24</w:t>
      </w:r>
      <w:r>
        <w:fldChar w:fldCharType="end"/>
      </w:r>
    </w:p>
    <w:p w14:paraId="639517CC">
      <w:pPr>
        <w:pStyle w:val="9"/>
        <w:tabs>
          <w:tab w:val="right" w:leader="dot" w:pos="8296"/>
        </w:tabs>
        <w:rPr>
          <w:rFonts w:hAnsiTheme="minorHAnsi" w:eastAsiaTheme="minorEastAsia" w:cstheme="minorBidi"/>
          <w:smallCaps w:val="0"/>
          <w:sz w:val="21"/>
          <w:szCs w:val="22"/>
        </w:rPr>
      </w:pPr>
      <w:r>
        <w:rPr>
          <w:rFonts w:ascii="仿宋" w:hAnsi="仿宋" w:eastAsia="仿宋"/>
        </w:rPr>
        <w:t>三、</w:t>
      </w:r>
      <w:r>
        <w:rPr>
          <w:rFonts w:ascii="仿宋" w:hAnsi="仿宋" w:eastAsia="仿宋"/>
          <w:color w:val="000000"/>
        </w:rPr>
        <w:t>支</w:t>
      </w:r>
      <w:r>
        <w:rPr>
          <w:rFonts w:ascii="仿宋" w:hAnsi="仿宋" w:eastAsia="仿宋"/>
        </w:rPr>
        <w:t>出决算表</w:t>
      </w:r>
      <w:r>
        <w:tab/>
      </w:r>
      <w:r>
        <w:fldChar w:fldCharType="begin"/>
      </w:r>
      <w:r>
        <w:instrText xml:space="preserve"> PAGEREF _Toc79163888 \h </w:instrText>
      </w:r>
      <w:r>
        <w:fldChar w:fldCharType="separate"/>
      </w:r>
      <w:r>
        <w:t>24</w:t>
      </w:r>
      <w:r>
        <w:fldChar w:fldCharType="end"/>
      </w:r>
    </w:p>
    <w:p w14:paraId="236E9EDE">
      <w:pPr>
        <w:pStyle w:val="9"/>
        <w:tabs>
          <w:tab w:val="right" w:leader="dot" w:pos="8296"/>
        </w:tabs>
        <w:rPr>
          <w:rFonts w:hAnsiTheme="minorHAnsi" w:eastAsiaTheme="minorEastAsia" w:cstheme="minorBidi"/>
          <w:smallCaps w:val="0"/>
          <w:sz w:val="21"/>
          <w:szCs w:val="22"/>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fldChar w:fldCharType="begin"/>
      </w:r>
      <w:r>
        <w:instrText xml:space="preserve"> PAGEREF _Toc79163889 \h </w:instrText>
      </w:r>
      <w:r>
        <w:fldChar w:fldCharType="separate"/>
      </w:r>
      <w:r>
        <w:t>24</w:t>
      </w:r>
      <w:r>
        <w:fldChar w:fldCharType="end"/>
      </w:r>
    </w:p>
    <w:p w14:paraId="642FB0F6">
      <w:pPr>
        <w:pStyle w:val="9"/>
        <w:tabs>
          <w:tab w:val="right" w:leader="dot" w:pos="8296"/>
        </w:tabs>
        <w:rPr>
          <w:rFonts w:hAnsiTheme="minorHAnsi" w:eastAsiaTheme="minorEastAsia" w:cstheme="minorBidi"/>
          <w:smallCaps w:val="0"/>
          <w:sz w:val="21"/>
          <w:szCs w:val="22"/>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fldChar w:fldCharType="begin"/>
      </w:r>
      <w:r>
        <w:instrText xml:space="preserve"> PAGEREF _Toc79163890 \h </w:instrText>
      </w:r>
      <w:r>
        <w:fldChar w:fldCharType="separate"/>
      </w:r>
      <w:r>
        <w:t>24</w:t>
      </w:r>
      <w:r>
        <w:fldChar w:fldCharType="end"/>
      </w:r>
    </w:p>
    <w:p w14:paraId="67DD40BC">
      <w:pPr>
        <w:pStyle w:val="9"/>
        <w:tabs>
          <w:tab w:val="right" w:leader="dot" w:pos="8296"/>
        </w:tabs>
        <w:rPr>
          <w:rFonts w:hAnsiTheme="minorHAnsi" w:eastAsiaTheme="minorEastAsia" w:cstheme="minorBidi"/>
          <w:smallCaps w:val="0"/>
          <w:sz w:val="21"/>
          <w:szCs w:val="22"/>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fldChar w:fldCharType="begin"/>
      </w:r>
      <w:r>
        <w:instrText xml:space="preserve"> PAGEREF _Toc79163891 \h </w:instrText>
      </w:r>
      <w:r>
        <w:fldChar w:fldCharType="separate"/>
      </w:r>
      <w:r>
        <w:t>24</w:t>
      </w:r>
      <w:r>
        <w:fldChar w:fldCharType="end"/>
      </w:r>
    </w:p>
    <w:p w14:paraId="64C8B0CE">
      <w:pPr>
        <w:pStyle w:val="9"/>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24</w:t>
      </w:r>
      <w:r>
        <w:fldChar w:fldCharType="end"/>
      </w:r>
    </w:p>
    <w:p w14:paraId="225911A8">
      <w:pPr>
        <w:pStyle w:val="9"/>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24</w:t>
      </w:r>
      <w:r>
        <w:fldChar w:fldCharType="end"/>
      </w:r>
    </w:p>
    <w:p w14:paraId="05D0737F">
      <w:pPr>
        <w:pStyle w:val="9"/>
        <w:tabs>
          <w:tab w:val="right" w:leader="dot" w:pos="8296"/>
        </w:tabs>
        <w:rPr>
          <w:rFonts w:hAnsiTheme="minorHAnsi" w:eastAsiaTheme="minorEastAsia" w:cstheme="minorBidi"/>
          <w:smallCaps w:val="0"/>
          <w:sz w:val="21"/>
          <w:szCs w:val="22"/>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fldChar w:fldCharType="begin"/>
      </w:r>
      <w:r>
        <w:instrText xml:space="preserve"> PAGEREF _Toc79163894 \h </w:instrText>
      </w:r>
      <w:r>
        <w:fldChar w:fldCharType="separate"/>
      </w:r>
      <w:r>
        <w:t>24</w:t>
      </w:r>
      <w:r>
        <w:fldChar w:fldCharType="end"/>
      </w:r>
    </w:p>
    <w:p w14:paraId="0F9E4CFB">
      <w:pPr>
        <w:pStyle w:val="9"/>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24</w:t>
      </w:r>
      <w:r>
        <w:fldChar w:fldCharType="end"/>
      </w:r>
    </w:p>
    <w:p w14:paraId="253548BD">
      <w:pPr>
        <w:pStyle w:val="9"/>
        <w:tabs>
          <w:tab w:val="right" w:leader="dot" w:pos="8296"/>
        </w:tabs>
        <w:rPr>
          <w:rFonts w:hAnsiTheme="minorHAnsi" w:eastAsiaTheme="minorEastAsia" w:cstheme="minorBidi"/>
          <w:smallCaps w:val="0"/>
          <w:sz w:val="21"/>
          <w:szCs w:val="22"/>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fldChar w:fldCharType="begin"/>
      </w:r>
      <w:r>
        <w:instrText xml:space="preserve"> PAGEREF _Toc79163896 \h </w:instrText>
      </w:r>
      <w:r>
        <w:fldChar w:fldCharType="separate"/>
      </w:r>
      <w:r>
        <w:t>24</w:t>
      </w:r>
      <w:r>
        <w:fldChar w:fldCharType="end"/>
      </w:r>
    </w:p>
    <w:p w14:paraId="6381ADF6">
      <w:pPr>
        <w:pStyle w:val="9"/>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24</w:t>
      </w:r>
      <w:r>
        <w:fldChar w:fldCharType="end"/>
      </w:r>
    </w:p>
    <w:p w14:paraId="1E482DFB">
      <w:pPr>
        <w:pStyle w:val="9"/>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w:t>
      </w:r>
      <w:r>
        <w:rPr>
          <w:rFonts w:hint="eastAsia" w:ascii="仿宋" w:hAnsi="仿宋" w:eastAsia="仿宋"/>
          <w:lang w:eastAsia="zh-CN"/>
        </w:rPr>
        <w:t>收入</w:t>
      </w:r>
      <w:r>
        <w:rPr>
          <w:rFonts w:ascii="仿宋" w:hAnsi="仿宋" w:eastAsia="仿宋"/>
        </w:rPr>
        <w:t>支出决算表</w:t>
      </w:r>
      <w:r>
        <w:tab/>
      </w:r>
      <w:r>
        <w:fldChar w:fldCharType="begin"/>
      </w:r>
      <w:r>
        <w:instrText xml:space="preserve"> PAGEREF _Toc79163898 \h </w:instrText>
      </w:r>
      <w:r>
        <w:fldChar w:fldCharType="separate"/>
      </w:r>
      <w:r>
        <w:t>24</w:t>
      </w:r>
      <w:r>
        <w:fldChar w:fldCharType="end"/>
      </w:r>
    </w:p>
    <w:p w14:paraId="0CB7ADF6">
      <w:pPr>
        <w:pStyle w:val="9"/>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24</w:t>
      </w:r>
      <w:r>
        <w:fldChar w:fldCharType="end"/>
      </w:r>
    </w:p>
    <w:p w14:paraId="4AC579CF">
      <w:r>
        <w:rPr>
          <w:rFonts w:asciiTheme="minorHAnsi" w:eastAsiaTheme="minorHAnsi"/>
          <w:b/>
          <w:bCs/>
          <w:caps/>
          <w:sz w:val="20"/>
          <w:szCs w:val="20"/>
        </w:rPr>
        <w:fldChar w:fldCharType="end"/>
      </w:r>
    </w:p>
    <w:p w14:paraId="3D51404C">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738200A2">
      <w:pPr>
        <w:pStyle w:val="2"/>
        <w:pageBreakBefore w:val="0"/>
        <w:kinsoku/>
        <w:wordWrap/>
        <w:overflowPunct/>
        <w:topLinePunct w:val="0"/>
        <w:bidi w:val="0"/>
        <w:spacing w:before="0" w:after="0" w:line="578" w:lineRule="exact"/>
        <w:ind w:left="0" w:leftChars="0" w:right="0"/>
        <w:jc w:val="center"/>
        <w:rPr>
          <w:rStyle w:val="14"/>
          <w:rFonts w:hint="eastAsia" w:ascii="方正小标宋简体" w:hAnsi="方正小标宋简体" w:eastAsia="方正小标宋简体" w:cs="方正小标宋简体"/>
          <w:b/>
          <w:bCs w:val="0"/>
          <w:color w:val="auto"/>
        </w:rPr>
      </w:pPr>
      <w:bookmarkStart w:id="14" w:name="_Toc79163851"/>
      <w:bookmarkStart w:id="15" w:name="_Toc79163601"/>
      <w:r>
        <w:rPr>
          <w:rFonts w:hint="eastAsia" w:ascii="方正小标宋简体" w:hAnsi="方正小标宋简体" w:eastAsia="方正小标宋简体" w:cs="方正小标宋简体"/>
          <w:b w:val="0"/>
          <w:color w:val="auto"/>
        </w:rPr>
        <w:t xml:space="preserve">第一部分 </w:t>
      </w:r>
      <w:r>
        <w:rPr>
          <w:rStyle w:val="14"/>
          <w:rFonts w:hint="eastAsia" w:ascii="方正小标宋简体" w:hAnsi="方正小标宋简体" w:eastAsia="方正小标宋简体" w:cs="方正小标宋简体"/>
          <w:b w:val="0"/>
          <w:bCs w:val="0"/>
          <w:color w:val="auto"/>
        </w:rPr>
        <w:t>部门概况</w:t>
      </w:r>
      <w:bookmarkEnd w:id="12"/>
      <w:bookmarkEnd w:id="13"/>
      <w:bookmarkEnd w:id="14"/>
      <w:bookmarkEnd w:id="15"/>
    </w:p>
    <w:p w14:paraId="2EDA5AF6">
      <w:pPr>
        <w:pageBreakBefore w:val="0"/>
        <w:widowControl/>
        <w:kinsoku/>
        <w:wordWrap/>
        <w:overflowPunct/>
        <w:topLinePunct w:val="0"/>
        <w:bidi w:val="0"/>
        <w:spacing w:line="578" w:lineRule="exact"/>
        <w:ind w:left="0" w:leftChars="0" w:right="0"/>
        <w:jc w:val="left"/>
        <w:rPr>
          <w:rFonts w:ascii="黑体" w:eastAsia="黑体"/>
          <w:color w:val="auto"/>
          <w:sz w:val="32"/>
          <w:szCs w:val="32"/>
        </w:rPr>
      </w:pPr>
    </w:p>
    <w:p w14:paraId="4C7A29CE">
      <w:pPr>
        <w:pStyle w:val="3"/>
        <w:pageBreakBefore w:val="0"/>
        <w:kinsoku/>
        <w:wordWrap/>
        <w:overflowPunct/>
        <w:topLinePunct w:val="0"/>
        <w:bidi w:val="0"/>
        <w:spacing w:before="0" w:after="0" w:line="578" w:lineRule="exact"/>
        <w:ind w:left="0" w:leftChars="0" w:right="0" w:firstLine="640" w:firstLineChars="200"/>
        <w:rPr>
          <w:rStyle w:val="15"/>
          <w:rFonts w:ascii="仿宋" w:hAnsi="仿宋" w:eastAsia="仿宋"/>
          <w:b w:val="0"/>
          <w:bCs w:val="0"/>
          <w:color w:val="auto"/>
        </w:rPr>
      </w:pPr>
      <w:bookmarkStart w:id="16" w:name="_Toc79163852"/>
      <w:bookmarkStart w:id="17" w:name="_Toc15396600"/>
      <w:bookmarkStart w:id="18" w:name="_Toc15377197"/>
      <w:bookmarkStart w:id="19" w:name="_Toc79163602"/>
      <w:r>
        <w:rPr>
          <w:rFonts w:hint="eastAsia" w:ascii="黑体" w:hAnsi="黑体" w:eastAsia="黑体"/>
          <w:b w:val="0"/>
          <w:color w:val="auto"/>
        </w:rPr>
        <w:t>一、基</w:t>
      </w:r>
      <w:r>
        <w:rPr>
          <w:rStyle w:val="15"/>
          <w:rFonts w:hint="eastAsia" w:ascii="黑体" w:hAnsi="黑体" w:eastAsia="黑体"/>
          <w:b w:val="0"/>
          <w:bCs w:val="0"/>
          <w:color w:val="auto"/>
        </w:rPr>
        <w:t>本职能及主要工作</w:t>
      </w:r>
      <w:bookmarkEnd w:id="16"/>
      <w:bookmarkEnd w:id="17"/>
      <w:bookmarkEnd w:id="18"/>
      <w:bookmarkEnd w:id="19"/>
    </w:p>
    <w:p w14:paraId="02DAB9ED">
      <w:pPr>
        <w:pStyle w:val="4"/>
        <w:pageBreakBefore w:val="0"/>
        <w:kinsoku/>
        <w:wordWrap/>
        <w:overflowPunct/>
        <w:topLinePunct w:val="0"/>
        <w:bidi w:val="0"/>
        <w:adjustRightInd w:val="0"/>
        <w:snapToGrid w:val="0"/>
        <w:spacing w:beforeLines="0" w:line="578" w:lineRule="exact"/>
        <w:ind w:left="0" w:leftChars="0" w:right="0" w:firstLine="675" w:firstLineChars="210"/>
        <w:outlineLvl w:val="2"/>
        <w:rPr>
          <w:rFonts w:hint="eastAsia" w:ascii="楷体_GB2312" w:hAnsi="楷体_GB2312" w:eastAsia="楷体_GB2312" w:cs="楷体_GB2312"/>
          <w:b/>
          <w:bCs w:val="0"/>
          <w:color w:val="auto"/>
          <w:sz w:val="32"/>
          <w:szCs w:val="32"/>
        </w:rPr>
      </w:pPr>
      <w:bookmarkStart w:id="20" w:name="_Toc79163603"/>
      <w:bookmarkStart w:id="21" w:name="_Toc79163853"/>
      <w:bookmarkStart w:id="22" w:name="_Toc15378445"/>
      <w:bookmarkStart w:id="23" w:name="_Toc15377198"/>
      <w:r>
        <w:rPr>
          <w:rFonts w:hint="eastAsia" w:ascii="楷体_GB2312" w:hAnsi="楷体_GB2312" w:eastAsia="楷体_GB2312" w:cs="楷体_GB2312"/>
          <w:b/>
          <w:bCs w:val="0"/>
          <w:color w:val="auto"/>
          <w:sz w:val="32"/>
          <w:szCs w:val="32"/>
        </w:rPr>
        <w:t>（一）主要职能。</w:t>
      </w:r>
      <w:bookmarkEnd w:id="20"/>
      <w:bookmarkEnd w:id="21"/>
    </w:p>
    <w:bookmarkEnd w:id="22"/>
    <w:bookmarkEnd w:id="23"/>
    <w:p w14:paraId="02888450">
      <w:pPr>
        <w:pageBreakBefore w:val="0"/>
        <w:kinsoku/>
        <w:wordWrap/>
        <w:overflowPunct/>
        <w:topLinePunct w:val="0"/>
        <w:autoSpaceDN w:val="0"/>
        <w:bidi w:val="0"/>
        <w:spacing w:line="578" w:lineRule="exact"/>
        <w:ind w:left="0" w:leftChars="0" w:right="0" w:firstLine="640" w:firstLineChars="200"/>
        <w:rPr>
          <w:rFonts w:ascii="仿宋" w:hAnsi="仿宋" w:eastAsia="仿宋" w:cs="仿宋"/>
          <w:color w:val="auto"/>
          <w:sz w:val="32"/>
          <w:szCs w:val="32"/>
        </w:rPr>
      </w:pPr>
      <w:bookmarkStart w:id="24" w:name="_Toc15378446"/>
      <w:bookmarkStart w:id="25" w:name="_Toc15377199"/>
      <w:bookmarkStart w:id="26" w:name="_Toc79163854"/>
      <w:bookmarkStart w:id="27" w:name="_Toc79163604"/>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1</w:t>
      </w:r>
      <w:r>
        <w:rPr>
          <w:rFonts w:ascii="仿宋" w:hAnsi="仿宋" w:eastAsia="仿宋" w:cs="仿宋"/>
          <w:color w:val="auto"/>
          <w:sz w:val="32"/>
          <w:szCs w:val="32"/>
        </w:rPr>
        <w:t>）贯彻落实党和国家关于文化、体育、旅游、广播电视的方针政策和省委、州委、县委的决策部署；拟订相关规范性文件草案；负责本部门依法行政工作。</w:t>
      </w:r>
    </w:p>
    <w:p w14:paraId="1AC824A6">
      <w:pPr>
        <w:pStyle w:val="4"/>
        <w:pageBreakBefore w:val="0"/>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2</w:t>
      </w:r>
      <w:r>
        <w:rPr>
          <w:rFonts w:ascii="仿宋" w:hAnsi="仿宋" w:eastAsia="仿宋" w:cs="仿宋"/>
          <w:color w:val="auto"/>
          <w:sz w:val="32"/>
          <w:szCs w:val="32"/>
        </w:rPr>
        <w:t>）推进文化、体育、旅游、广播电视体制机制改革；组织推动全县文化、体育、旅游、广播电视事业和产业发展，拟订相关发展规划并组织实施；推进文化、体育和旅游与相关产业融合发展。</w:t>
      </w:r>
    </w:p>
    <w:p w14:paraId="35ED3ACD">
      <w:pPr>
        <w:pStyle w:val="4"/>
        <w:pageBreakBefore w:val="0"/>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3</w:t>
      </w:r>
      <w:r>
        <w:rPr>
          <w:rFonts w:ascii="仿宋" w:hAnsi="仿宋" w:eastAsia="仿宋" w:cs="仿宋"/>
          <w:color w:val="auto"/>
          <w:sz w:val="32"/>
          <w:szCs w:val="32"/>
        </w:rPr>
        <w:t>）组织实施全县文化、体育和旅游资源的普查、保护与利用；管理全县性重大文化、体育和旅游活动，指导全县重点文化、体育、旅游、广播电视设施建设，组织全县文化、体育和旅游整体形象推广，促进文化、体育和旅游产业市场推广和文化体育、旅游对外合作交流，制定文化、体育和旅游市场开发战略并组织实施，推进全域旅游。</w:t>
      </w:r>
    </w:p>
    <w:p w14:paraId="4B722445">
      <w:pPr>
        <w:pStyle w:val="4"/>
        <w:pageBreakBefore w:val="0"/>
        <w:tabs>
          <w:tab w:val="left" w:pos="6988"/>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4</w:t>
      </w:r>
      <w:r>
        <w:rPr>
          <w:rFonts w:ascii="仿宋" w:hAnsi="仿宋" w:eastAsia="仿宋" w:cs="仿宋"/>
          <w:color w:val="auto"/>
          <w:sz w:val="32"/>
          <w:szCs w:val="32"/>
        </w:rPr>
        <w:t>）指导管理文艺事业，把握正确的创作导向，推动文化艺术创作生产，扶持体现社会主义核心价值观、具有导向性代表性示范性的文化艺术作品；推动各门类艺术、各艺术品种发展；推动中华优秀传统文化和本地特色文化传承发展</w:t>
      </w:r>
      <w:r>
        <w:rPr>
          <w:rFonts w:hint="eastAsia" w:ascii="仿宋" w:hAnsi="仿宋" w:eastAsia="仿宋" w:cs="仿宋"/>
          <w:color w:val="auto"/>
          <w:sz w:val="32"/>
          <w:szCs w:val="32"/>
        </w:rPr>
        <w:t>。</w:t>
      </w:r>
    </w:p>
    <w:p w14:paraId="010A16D1">
      <w:pPr>
        <w:pStyle w:val="4"/>
        <w:pageBreakBefore w:val="0"/>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5</w:t>
      </w:r>
      <w:r>
        <w:rPr>
          <w:rFonts w:ascii="仿宋" w:hAnsi="仿宋" w:eastAsia="仿宋" w:cs="仿宋"/>
          <w:color w:val="auto"/>
          <w:sz w:val="32"/>
          <w:szCs w:val="32"/>
        </w:rPr>
        <w:t>）负责公共文化、体育、旅游、广播电视事业发展，推进全县公共文化、体育、广播电视</w:t>
      </w:r>
      <w:r>
        <w:rPr>
          <w:rFonts w:hint="eastAsia" w:ascii="仿宋" w:hAnsi="仿宋" w:eastAsia="仿宋" w:cs="仿宋"/>
          <w:color w:val="auto"/>
          <w:sz w:val="32"/>
          <w:szCs w:val="32"/>
          <w:lang w:eastAsia="zh-CN"/>
        </w:rPr>
        <w:t>服务体系</w:t>
      </w:r>
      <w:r>
        <w:rPr>
          <w:rFonts w:ascii="仿宋" w:hAnsi="仿宋" w:eastAsia="仿宋" w:cs="仿宋"/>
          <w:color w:val="auto"/>
          <w:sz w:val="32"/>
          <w:szCs w:val="32"/>
        </w:rPr>
        <w:t>建设和旅游公共服务建设，深入实施惠民工程，统筹推进文化、体育</w:t>
      </w:r>
      <w:r>
        <w:rPr>
          <w:rFonts w:hint="eastAsia" w:ascii="仿宋" w:hAnsi="仿宋" w:eastAsia="仿宋" w:cs="仿宋"/>
          <w:color w:val="auto"/>
          <w:sz w:val="32"/>
          <w:szCs w:val="32"/>
        </w:rPr>
        <w:t>、</w:t>
      </w:r>
      <w:r>
        <w:rPr>
          <w:rFonts w:ascii="仿宋" w:hAnsi="仿宋" w:eastAsia="仿宋" w:cs="仿宋"/>
          <w:color w:val="auto"/>
          <w:sz w:val="32"/>
          <w:szCs w:val="32"/>
        </w:rPr>
        <w:t>旅游、广播电视基本公共服务标准化、均等化。</w:t>
      </w:r>
    </w:p>
    <w:p w14:paraId="559082C0">
      <w:pPr>
        <w:pStyle w:val="4"/>
        <w:pageBreakBefore w:val="0"/>
        <w:tabs>
          <w:tab w:val="left" w:pos="3407"/>
          <w:tab w:val="left" w:pos="5371"/>
          <w:tab w:val="left" w:pos="7909"/>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6</w:t>
      </w:r>
      <w:r>
        <w:rPr>
          <w:rFonts w:ascii="仿宋" w:hAnsi="仿宋" w:eastAsia="仿宋" w:cs="仿宋"/>
          <w:color w:val="auto"/>
          <w:sz w:val="32"/>
          <w:szCs w:val="32"/>
        </w:rPr>
        <w:t>）负责文化、体育和旅游行业信息化、标准化建设。推进文化和旅游科技创新。</w:t>
      </w:r>
    </w:p>
    <w:p w14:paraId="2C28BE0E">
      <w:pPr>
        <w:pStyle w:val="4"/>
        <w:pageBreakBefore w:val="0"/>
        <w:tabs>
          <w:tab w:val="left" w:pos="3425"/>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7</w:t>
      </w:r>
      <w:r>
        <w:rPr>
          <w:rFonts w:ascii="仿宋" w:hAnsi="仿宋" w:eastAsia="仿宋" w:cs="仿宋"/>
          <w:color w:val="auto"/>
          <w:sz w:val="32"/>
          <w:szCs w:val="32"/>
        </w:rPr>
        <w:t>）负责非物质文化遗产保护工作</w:t>
      </w:r>
      <w:r>
        <w:rPr>
          <w:rFonts w:hint="eastAsia" w:ascii="仿宋" w:hAnsi="仿宋" w:eastAsia="仿宋" w:cs="仿宋"/>
          <w:color w:val="auto"/>
          <w:sz w:val="32"/>
          <w:szCs w:val="32"/>
        </w:rPr>
        <w:t>，</w:t>
      </w:r>
      <w:r>
        <w:rPr>
          <w:rFonts w:ascii="仿宋" w:hAnsi="仿宋" w:eastAsia="仿宋" w:cs="仿宋"/>
          <w:color w:val="auto"/>
          <w:sz w:val="32"/>
          <w:szCs w:val="32"/>
        </w:rPr>
        <w:t>推动非物质文化遗产的保护、传承、普及、弘扬和振兴。</w:t>
      </w:r>
    </w:p>
    <w:p w14:paraId="5926AA68">
      <w:pPr>
        <w:pStyle w:val="4"/>
        <w:pageBreakBefore w:val="0"/>
        <w:tabs>
          <w:tab w:val="left" w:pos="3978"/>
          <w:tab w:val="left" w:pos="6542"/>
          <w:tab w:val="left" w:pos="8108"/>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8</w:t>
      </w:r>
      <w:r>
        <w:rPr>
          <w:rFonts w:ascii="仿宋" w:hAnsi="仿宋" w:eastAsia="仿宋" w:cs="仿宋"/>
          <w:color w:val="auto"/>
          <w:sz w:val="32"/>
          <w:szCs w:val="32"/>
        </w:rPr>
        <w:t>）管理和指导全县文物保护利用和考古工作</w:t>
      </w:r>
      <w:r>
        <w:rPr>
          <w:rFonts w:hint="eastAsia" w:ascii="仿宋" w:hAnsi="仿宋" w:eastAsia="仿宋" w:cs="仿宋"/>
          <w:color w:val="auto"/>
          <w:sz w:val="32"/>
          <w:szCs w:val="32"/>
        </w:rPr>
        <w:t>，</w:t>
      </w:r>
      <w:r>
        <w:rPr>
          <w:rFonts w:ascii="仿宋" w:hAnsi="仿宋" w:eastAsia="仿宋" w:cs="仿宋"/>
          <w:color w:val="auto"/>
          <w:sz w:val="32"/>
          <w:szCs w:val="32"/>
        </w:rPr>
        <w:t>组织开展</w:t>
      </w:r>
      <w:r>
        <w:rPr>
          <w:rFonts w:hint="eastAsia" w:ascii="仿宋" w:hAnsi="仿宋" w:eastAsia="仿宋" w:cs="仿宋"/>
          <w:color w:val="auto"/>
          <w:sz w:val="32"/>
          <w:szCs w:val="32"/>
          <w:lang w:eastAsia="zh-CN"/>
        </w:rPr>
        <w:t>文物</w:t>
      </w:r>
      <w:r>
        <w:rPr>
          <w:rFonts w:ascii="仿宋" w:hAnsi="仿宋" w:eastAsia="仿宋" w:cs="仿宋"/>
          <w:color w:val="auto"/>
          <w:sz w:val="32"/>
          <w:szCs w:val="32"/>
        </w:rPr>
        <w:t>资源调查工作；协调、指导和监督全县文物安全工作，履行文物行政督察职能，负责全县世界文化遗产保护和管理工作，协同相关部门开展世界文化与自然遗产、历史文化名城（乡镇、村）申报和管理工作，负责全县文物和博物馆公共服务体系建</w:t>
      </w:r>
      <w:r>
        <w:rPr>
          <w:rFonts w:hint="eastAsia" w:ascii="仿宋" w:hAnsi="仿宋" w:eastAsia="仿宋" w:cs="仿宋"/>
          <w:color w:val="auto"/>
          <w:sz w:val="32"/>
          <w:szCs w:val="32"/>
        </w:rPr>
        <w:t>设。</w:t>
      </w:r>
    </w:p>
    <w:p w14:paraId="112B7267">
      <w:pPr>
        <w:pStyle w:val="4"/>
        <w:pageBreakBefore w:val="0"/>
        <w:tabs>
          <w:tab w:val="left" w:pos="3978"/>
          <w:tab w:val="left" w:pos="6542"/>
          <w:tab w:val="left" w:pos="8108"/>
        </w:tabs>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ascii="仿宋" w:hAnsi="仿宋" w:eastAsia="仿宋" w:cs="仿宋"/>
          <w:color w:val="auto"/>
          <w:sz w:val="32"/>
          <w:szCs w:val="32"/>
        </w:rPr>
        <w:t>（</w:t>
      </w:r>
      <w:r>
        <w:rPr>
          <w:rFonts w:hint="eastAsia" w:ascii="仿宋" w:hAnsi="仿宋" w:eastAsia="仿宋" w:cs="仿宋"/>
          <w:color w:val="auto"/>
          <w:sz w:val="32"/>
          <w:szCs w:val="32"/>
          <w:lang w:val="en-US" w:eastAsia="zh-CN"/>
        </w:rPr>
        <w:t>9</w:t>
      </w:r>
      <w:r>
        <w:rPr>
          <w:rFonts w:ascii="仿宋" w:hAnsi="仿宋" w:eastAsia="仿宋" w:cs="仿宋"/>
          <w:color w:val="auto"/>
          <w:sz w:val="32"/>
          <w:szCs w:val="32"/>
        </w:rPr>
        <w:t>）负责拟订全县群众体育发展规划并组织实施；贯彻落实全民健身计划，建立和完善全民健身服务体系，指导和开展群众性体育活动；负责社会体育指导员培训、国民体质监测和高危体育项目管理；负责挖掘、传承、保护全县少</w:t>
      </w:r>
      <w:r>
        <w:rPr>
          <w:rFonts w:hint="eastAsia" w:ascii="仿宋_GB2312" w:hAnsi="仿宋_GB2312" w:eastAsia="仿宋_GB2312" w:cs="仿宋_GB2312"/>
          <w:color w:val="auto"/>
          <w:sz w:val="32"/>
          <w:szCs w:val="32"/>
        </w:rPr>
        <w:t>数民族传统体育项目；协助体育彩票销售的监督管理。</w:t>
      </w:r>
    </w:p>
    <w:p w14:paraId="08E6EC2E">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）负责拟订全县</w:t>
      </w:r>
      <w:r>
        <w:rPr>
          <w:rFonts w:hint="eastAsia" w:hAnsi="仿宋_GB2312" w:cs="仿宋_GB2312"/>
          <w:color w:val="auto"/>
          <w:sz w:val="32"/>
          <w:szCs w:val="32"/>
          <w:lang w:eastAsia="zh-CN"/>
        </w:rPr>
        <w:t>竞技体育</w:t>
      </w:r>
      <w:r>
        <w:rPr>
          <w:rFonts w:hint="eastAsia" w:ascii="仿宋_GB2312" w:hAnsi="仿宋_GB2312" w:eastAsia="仿宋_GB2312" w:cs="仿宋_GB2312"/>
          <w:color w:val="auto"/>
          <w:sz w:val="32"/>
          <w:szCs w:val="32"/>
        </w:rPr>
        <w:t>发展规划并组织实施；指导体育训练和运动员队伍建设，协调运动员社会保障工作，统筹组织全县综合性运动会、参加州级以上</w:t>
      </w:r>
      <w:r>
        <w:rPr>
          <w:rFonts w:hint="eastAsia" w:hAnsi="仿宋_GB2312" w:cs="仿宋_GB2312"/>
          <w:color w:val="auto"/>
          <w:sz w:val="32"/>
          <w:szCs w:val="32"/>
          <w:lang w:eastAsia="zh-CN"/>
        </w:rPr>
        <w:t>体育竞赛</w:t>
      </w:r>
      <w:r>
        <w:rPr>
          <w:rFonts w:hint="eastAsia" w:ascii="仿宋_GB2312" w:hAnsi="仿宋_GB2312" w:eastAsia="仿宋_GB2312" w:cs="仿宋_GB2312"/>
          <w:color w:val="auto"/>
          <w:sz w:val="32"/>
          <w:szCs w:val="32"/>
        </w:rPr>
        <w:t>和综合性运动会。负责反兴奋剂监督工作。</w:t>
      </w:r>
    </w:p>
    <w:p w14:paraId="020ED3C4">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）负责拟订全县青少年（学校）体育工作发展规划并组织实施；负责青少年体育锻炼标准的组织实施，指导各级各类体育学校的建设和青少年业余训练及相关活动。</w:t>
      </w:r>
    </w:p>
    <w:p w14:paraId="00D9FC56">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）推动全县文化、体育和旅游市场发展，对全县文化、体育和旅游市场依法进行行业监管，依法规范文化、体育和旅游市场；推进文化、体育和旅游行业信用体系建设。</w:t>
      </w:r>
    </w:p>
    <w:p w14:paraId="456ADD17">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）负责全县旅游景区管理机构、文旅企业的行业管理和标准化建设。</w:t>
      </w:r>
    </w:p>
    <w:p w14:paraId="706AE2E9">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）统筹全县文化、文物、体育、旅游、广播电视市场综合行政执法，组织查处全县性、跨区域文化、文物、体育、旅游、广播电视等市场的违法行为，督察督办大案要案，维护市场秩序。</w:t>
      </w:r>
    </w:p>
    <w:p w14:paraId="7CBC08C9">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）负责管理文化、体育和旅游对外及对港澳台交流合作与宣传推广工作，组织大型文化和旅游对外及对港澳台交流活动。</w:t>
      </w:r>
    </w:p>
    <w:p w14:paraId="05E1AE37">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负责文化、体育、旅游和广播电视行业安全生产工作的综合协调与监督管理，制定职责范围内的安全生产年度监督检查计划并组织实施；依法履行行业职业健康监管职责，承担职责范围内生态环境保护、公共机构节能减排、审批服务便民化等工作。</w:t>
      </w:r>
    </w:p>
    <w:p w14:paraId="4D497901">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）负责对县内广播电视机构进行业务指导和行业监管，监督管理县内重大广播电视活动；监督审查广播电视和网络视听节目的内容和质量，指导监管广播电视安全播出和广告安全播放；指导广播电视技术创新。</w:t>
      </w:r>
    </w:p>
    <w:p w14:paraId="7F997B0A">
      <w:pPr>
        <w:pStyle w:val="4"/>
        <w:pageBreakBefore w:val="0"/>
        <w:tabs>
          <w:tab w:val="left" w:pos="6920"/>
        </w:tabs>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rPr>
        <w:t>）完成县委、县政府交办的其他任务。</w:t>
      </w:r>
    </w:p>
    <w:p w14:paraId="0394CA89">
      <w:pPr>
        <w:pStyle w:val="4"/>
        <w:pageBreakBefore w:val="0"/>
        <w:kinsoku/>
        <w:wordWrap/>
        <w:overflowPunct/>
        <w:topLinePunct w:val="0"/>
        <w:bidi w:val="0"/>
        <w:spacing w:beforeLines="0"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松潘文化软实力，建设体育强县，努力开创文化、体育和旅游工作新局面。</w:t>
      </w:r>
    </w:p>
    <w:p w14:paraId="6EB5E1A4">
      <w:pPr>
        <w:pageBreakBefore w:val="0"/>
        <w:kinsoku/>
        <w:wordWrap/>
        <w:overflowPunct/>
        <w:topLinePunct w:val="0"/>
        <w:bidi w:val="0"/>
        <w:adjustRightInd/>
        <w:spacing w:line="578" w:lineRule="exact"/>
        <w:ind w:left="0" w:leftChars="0" w:right="0"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）有关职责分工。县文体旅游局会同县科技农牧局建立健全协同配合机制，推动乡村旅游工作。县科技农牧局负责休闲农业推动工作。</w:t>
      </w:r>
    </w:p>
    <w:p w14:paraId="6982FAA3">
      <w:pPr>
        <w:pStyle w:val="4"/>
        <w:pageBreakBefore w:val="0"/>
        <w:kinsoku/>
        <w:wordWrap/>
        <w:overflowPunct/>
        <w:topLinePunct w:val="0"/>
        <w:bidi w:val="0"/>
        <w:adjustRightInd w:val="0"/>
        <w:snapToGrid w:val="0"/>
        <w:spacing w:beforeLines="0" w:line="578" w:lineRule="exact"/>
        <w:ind w:left="0" w:leftChars="0" w:right="0" w:firstLine="675" w:firstLineChars="210"/>
        <w:outlineLvl w:val="2"/>
        <w:rPr>
          <w:rFonts w:hint="eastAsia" w:ascii="楷体_GB2312" w:hAnsi="楷体_GB2312" w:eastAsia="楷体_GB2312" w:cs="楷体_GB2312"/>
          <w:b/>
          <w:bCs w:val="0"/>
          <w:color w:val="auto"/>
          <w:sz w:val="32"/>
          <w:szCs w:val="32"/>
        </w:rPr>
      </w:pPr>
      <w:r>
        <w:rPr>
          <w:rFonts w:hint="eastAsia" w:ascii="楷体_GB2312" w:hAnsi="楷体_GB2312" w:eastAsia="楷体_GB2312" w:cs="楷体_GB2312"/>
          <w:b/>
          <w:bCs w:val="0"/>
          <w:color w:val="auto"/>
          <w:sz w:val="32"/>
          <w:szCs w:val="32"/>
        </w:rPr>
        <w:t>（二）2020年重点工作完成情况。</w:t>
      </w:r>
      <w:bookmarkEnd w:id="24"/>
      <w:bookmarkEnd w:id="25"/>
      <w:bookmarkEnd w:id="26"/>
      <w:bookmarkEnd w:id="27"/>
    </w:p>
    <w:p w14:paraId="5BFFA467">
      <w:pPr>
        <w:pageBreakBefore w:val="0"/>
        <w:kinsoku/>
        <w:wordWrap/>
        <w:overflowPunct/>
        <w:topLinePunct w:val="0"/>
        <w:bidi w:val="0"/>
        <w:spacing w:line="578" w:lineRule="exact"/>
        <w:ind w:left="0" w:leftChars="0" w:right="0" w:firstLine="643" w:firstLineChars="200"/>
        <w:rPr>
          <w:rFonts w:ascii="仿宋" w:hAnsi="仿宋" w:eastAsia="仿宋" w:cstheme="minorBidi"/>
          <w:color w:val="auto"/>
          <w:kern w:val="2"/>
          <w:sz w:val="32"/>
          <w:szCs w:val="32"/>
        </w:rPr>
      </w:pPr>
      <w:r>
        <w:rPr>
          <w:rFonts w:hint="eastAsia" w:ascii="仿宋" w:hAnsi="仿宋" w:eastAsia="仿宋"/>
          <w:b/>
          <w:bCs/>
          <w:color w:val="auto"/>
          <w:sz w:val="32"/>
          <w:szCs w:val="32"/>
          <w:lang w:val="en-US" w:eastAsia="zh-CN"/>
        </w:rPr>
        <w:t>1、项目工作。</w:t>
      </w:r>
      <w:r>
        <w:rPr>
          <w:rFonts w:hint="eastAsia" w:ascii="仿宋" w:hAnsi="仿宋" w:eastAsia="仿宋"/>
          <w:b w:val="0"/>
          <w:bCs w:val="0"/>
          <w:color w:val="auto"/>
          <w:sz w:val="32"/>
          <w:szCs w:val="32"/>
          <w:lang w:val="en-US" w:eastAsia="zh-CN"/>
        </w:rPr>
        <w:t>一是完成</w:t>
      </w:r>
      <w:r>
        <w:rPr>
          <w:rFonts w:hint="eastAsia" w:ascii="仿宋" w:hAnsi="仿宋" w:eastAsia="仿宋"/>
          <w:color w:val="auto"/>
          <w:sz w:val="32"/>
          <w:szCs w:val="32"/>
        </w:rPr>
        <w:t>阿坝州松潘县西山景区旅游基础设施建设项目和阿坝州松潘县东平塔山景区</w:t>
      </w:r>
      <w:r>
        <w:rPr>
          <w:rFonts w:hint="eastAsia" w:ascii="仿宋" w:hAnsi="仿宋" w:eastAsia="仿宋"/>
          <w:color w:val="auto"/>
          <w:sz w:val="32"/>
          <w:szCs w:val="32"/>
          <w:lang w:eastAsia="zh-CN"/>
        </w:rPr>
        <w:t>建设项目</w:t>
      </w:r>
      <w:r>
        <w:rPr>
          <w:rFonts w:hint="eastAsia" w:ascii="仿宋" w:hAnsi="仿宋" w:eastAsia="仿宋"/>
          <w:color w:val="auto"/>
          <w:sz w:val="32"/>
          <w:szCs w:val="32"/>
        </w:rPr>
        <w:t>。</w:t>
      </w:r>
      <w:r>
        <w:rPr>
          <w:rFonts w:hint="eastAsia" w:ascii="仿宋" w:hAnsi="仿宋" w:eastAsia="仿宋"/>
          <w:b/>
          <w:bCs/>
          <w:color w:val="auto"/>
          <w:sz w:val="32"/>
          <w:szCs w:val="32"/>
          <w:lang w:eastAsia="zh-CN"/>
        </w:rPr>
        <w:t>二是</w:t>
      </w:r>
      <w:r>
        <w:rPr>
          <w:rFonts w:hint="eastAsia" w:ascii="仿宋" w:hAnsi="仿宋" w:eastAsia="仿宋"/>
          <w:color w:val="auto"/>
          <w:sz w:val="32"/>
          <w:szCs w:val="32"/>
          <w:lang w:eastAsia="zh-CN"/>
        </w:rPr>
        <w:t>完成</w:t>
      </w:r>
      <w:r>
        <w:rPr>
          <w:rFonts w:hint="eastAsia" w:ascii="仿宋" w:hAnsi="仿宋" w:eastAsia="仿宋"/>
          <w:color w:val="auto"/>
          <w:sz w:val="32"/>
          <w:szCs w:val="32"/>
        </w:rPr>
        <w:t>五人制足球场建设。</w:t>
      </w:r>
      <w:r>
        <w:rPr>
          <w:rFonts w:hint="eastAsia" w:ascii="仿宋" w:hAnsi="仿宋" w:eastAsia="仿宋"/>
          <w:b/>
          <w:bCs/>
          <w:color w:val="auto"/>
          <w:sz w:val="32"/>
          <w:szCs w:val="32"/>
          <w:lang w:eastAsia="zh-CN"/>
        </w:rPr>
        <w:t>三是</w:t>
      </w:r>
      <w:r>
        <w:rPr>
          <w:rFonts w:hint="eastAsia" w:ascii="仿宋" w:hAnsi="仿宋" w:eastAsia="仿宋" w:cstheme="minorBidi"/>
          <w:color w:val="auto"/>
          <w:kern w:val="2"/>
          <w:sz w:val="32"/>
          <w:szCs w:val="32"/>
        </w:rPr>
        <w:t>督促加快七藏沟景区建设、黄龙复华度假世界、川主印象酒店等项目取得实质性进展。</w:t>
      </w:r>
    </w:p>
    <w:p w14:paraId="54E7042D">
      <w:pPr>
        <w:pStyle w:val="10"/>
        <w:pageBreakBefore w:val="0"/>
        <w:shd w:val="clear" w:color="auto" w:fill="FFFFFF"/>
        <w:kinsoku/>
        <w:wordWrap/>
        <w:overflowPunct/>
        <w:topLinePunct w:val="0"/>
        <w:bidi w:val="0"/>
        <w:spacing w:beforeAutospacing="0" w:afterAutospacing="0" w:line="578" w:lineRule="exact"/>
        <w:ind w:left="0" w:leftChars="0" w:right="0" w:firstLine="643" w:firstLineChars="200"/>
        <w:rPr>
          <w:rFonts w:ascii="仿宋" w:hAnsi="仿宋" w:eastAsia="仿宋"/>
          <w:color w:val="auto"/>
          <w:sz w:val="32"/>
          <w:szCs w:val="32"/>
        </w:rPr>
      </w:pPr>
      <w:r>
        <w:rPr>
          <w:rFonts w:hint="eastAsia" w:ascii="仿宋_GB2312" w:hAnsi="仿宋_GB2312" w:eastAsia="仿宋_GB2312" w:cs="仿宋_GB2312"/>
          <w:b/>
          <w:bCs/>
          <w:color w:val="auto"/>
          <w:kern w:val="2"/>
          <w:sz w:val="32"/>
          <w:szCs w:val="32"/>
          <w:lang w:val="en-US" w:eastAsia="zh-CN"/>
        </w:rPr>
        <w:t>2、</w:t>
      </w:r>
      <w:r>
        <w:rPr>
          <w:rFonts w:hint="eastAsia" w:ascii="仿宋_GB2312" w:hAnsi="仿宋_GB2312" w:eastAsia="仿宋_GB2312" w:cs="仿宋_GB2312"/>
          <w:b/>
          <w:bCs/>
          <w:color w:val="auto"/>
          <w:kern w:val="2"/>
          <w:sz w:val="32"/>
          <w:szCs w:val="32"/>
        </w:rPr>
        <w:t>文化体育惠民工作</w:t>
      </w:r>
      <w:r>
        <w:rPr>
          <w:rFonts w:hint="eastAsia" w:ascii="仿宋_GB2312" w:hAnsi="仿宋_GB2312" w:eastAsia="仿宋_GB2312" w:cs="仿宋_GB2312"/>
          <w:b/>
          <w:bCs/>
          <w:color w:val="auto"/>
          <w:kern w:val="2"/>
          <w:sz w:val="32"/>
          <w:szCs w:val="32"/>
          <w:lang w:eastAsia="zh-CN"/>
        </w:rPr>
        <w:t>。</w:t>
      </w:r>
      <w:r>
        <w:rPr>
          <w:rFonts w:hint="eastAsia" w:ascii="仿宋" w:hAnsi="仿宋" w:eastAsia="仿宋"/>
          <w:color w:val="auto"/>
          <w:sz w:val="32"/>
          <w:szCs w:val="32"/>
        </w:rPr>
        <w:t>成功在松潘县奇侠沟景区举办了第二届中国阿坝冰雪节；“清凉黄龙•相约松州”为主题民俗风情展演</w:t>
      </w:r>
      <w:r>
        <w:rPr>
          <w:rFonts w:hint="eastAsia" w:ascii="仿宋" w:hAnsi="仿宋" w:eastAsia="仿宋"/>
          <w:color w:val="auto"/>
          <w:sz w:val="32"/>
          <w:szCs w:val="32"/>
          <w:lang w:eastAsia="zh-CN"/>
        </w:rPr>
        <w:t>活动</w:t>
      </w:r>
      <w:r>
        <w:rPr>
          <w:rFonts w:hint="eastAsia" w:ascii="仿宋" w:hAnsi="仿宋" w:eastAsia="仿宋"/>
          <w:color w:val="auto"/>
          <w:sz w:val="32"/>
          <w:szCs w:val="32"/>
        </w:rPr>
        <w:t>；第四届古城花灯会、第三届黄龙极限耐力赛；参加“净土阿坝·2020阿坝州群文新创文艺作品大赛”我县选送自创、自行收集整理群舞作品《细说松潘》获得了二等奖，音乐节目《砸酒里的歌》获得了三等奖。参加了阿坝州第三届职工篮球赛并获得第二名。组织举办好了全年到各乡镇、社区开展“送戏下乡，送书下乡”等文化惠民活动150次。</w:t>
      </w:r>
    </w:p>
    <w:p w14:paraId="75744714">
      <w:pPr>
        <w:pageBreakBefore w:val="0"/>
        <w:kinsoku/>
        <w:wordWrap/>
        <w:overflowPunct/>
        <w:topLinePunct w:val="0"/>
        <w:bidi w:val="0"/>
        <w:spacing w:line="578" w:lineRule="exact"/>
        <w:ind w:left="0" w:leftChars="0" w:right="0" w:firstLine="643" w:firstLineChars="200"/>
        <w:rPr>
          <w:rFonts w:ascii="仿宋" w:hAnsi="仿宋" w:eastAsia="仿宋"/>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文化遗产保护工作</w:t>
      </w:r>
      <w:r>
        <w:rPr>
          <w:rFonts w:hint="eastAsia" w:ascii="仿宋_GB2312" w:hAnsi="仿宋_GB2312" w:eastAsia="仿宋_GB2312" w:cs="仿宋_GB2312"/>
          <w:b/>
          <w:bCs/>
          <w:color w:val="auto"/>
          <w:sz w:val="32"/>
          <w:szCs w:val="32"/>
          <w:lang w:eastAsia="zh-CN"/>
        </w:rPr>
        <w:t>。</w:t>
      </w:r>
      <w:r>
        <w:rPr>
          <w:rFonts w:hint="eastAsia" w:ascii="仿宋" w:hAnsi="仿宋" w:eastAsia="仿宋"/>
          <w:color w:val="auto"/>
          <w:sz w:val="32"/>
          <w:szCs w:val="32"/>
        </w:rPr>
        <w:t>组织落实好文物安全日常巡查及专项检查，特别是古城墙监控防护。对东门城墙进行了抢救性维修；争取上级资金15万元对县级文物单位城隍庙进行保护维修；组织完成塔坪山战斗遗址升级省级文物保护单位；完成31处县级文物保护单位公布。完成全县4处非遗生产传习基地复核验收。</w:t>
      </w:r>
    </w:p>
    <w:p w14:paraId="6F5B09CD">
      <w:pPr>
        <w:pageBreakBefore w:val="0"/>
        <w:kinsoku/>
        <w:wordWrap/>
        <w:overflowPunct/>
        <w:topLinePunct w:val="0"/>
        <w:bidi w:val="0"/>
        <w:spacing w:line="578" w:lineRule="exact"/>
        <w:ind w:left="0" w:leftChars="0" w:right="0" w:firstLine="643" w:firstLineChars="200"/>
        <w:jc w:val="left"/>
        <w:rPr>
          <w:rFonts w:ascii="仿宋" w:hAnsi="仿宋" w:eastAsia="仿宋" w:cstheme="minorBidi"/>
          <w:b w:val="0"/>
          <w:bCs w:val="0"/>
          <w:color w:val="auto"/>
          <w:kern w:val="2"/>
          <w:sz w:val="32"/>
          <w:szCs w:val="32"/>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旅游品牌建设</w:t>
      </w:r>
      <w:r>
        <w:rPr>
          <w:rFonts w:hint="eastAsia" w:ascii="仿宋_GB2312" w:hAnsi="仿宋_GB2312" w:eastAsia="仿宋_GB2312" w:cs="仿宋_GB2312"/>
          <w:b/>
          <w:bCs/>
          <w:color w:val="auto"/>
          <w:sz w:val="32"/>
          <w:szCs w:val="32"/>
          <w:lang w:eastAsia="zh-CN"/>
        </w:rPr>
        <w:t>。一是</w:t>
      </w:r>
      <w:r>
        <w:rPr>
          <w:rFonts w:hint="eastAsia" w:ascii="仿宋" w:hAnsi="仿宋" w:eastAsia="仿宋" w:cstheme="minorBidi"/>
          <w:color w:val="auto"/>
          <w:kern w:val="2"/>
          <w:sz w:val="32"/>
          <w:szCs w:val="32"/>
        </w:rPr>
        <w:t>完成</w:t>
      </w:r>
      <w:r>
        <w:rPr>
          <w:rFonts w:ascii="仿宋" w:hAnsi="仿宋" w:eastAsia="仿宋" w:cstheme="minorBidi"/>
          <w:color w:val="auto"/>
          <w:kern w:val="2"/>
          <w:sz w:val="32"/>
          <w:szCs w:val="32"/>
        </w:rPr>
        <w:t>新（改）建旅游厕所30个</w:t>
      </w:r>
      <w:r>
        <w:rPr>
          <w:rFonts w:hint="eastAsia" w:ascii="仿宋" w:hAnsi="仿宋" w:eastAsia="仿宋" w:cstheme="minorBidi"/>
          <w:color w:val="auto"/>
          <w:kern w:val="2"/>
          <w:sz w:val="32"/>
          <w:szCs w:val="32"/>
        </w:rPr>
        <w:t>；制作“全域全景图”；</w:t>
      </w:r>
      <w:r>
        <w:rPr>
          <w:rFonts w:ascii="仿宋" w:hAnsi="仿宋" w:eastAsia="仿宋" w:cstheme="minorBidi"/>
          <w:color w:val="auto"/>
          <w:kern w:val="2"/>
          <w:sz w:val="32"/>
          <w:szCs w:val="32"/>
        </w:rPr>
        <w:t>开发“一部手机游松潘”、全域旅游导览系统</w:t>
      </w:r>
      <w:r>
        <w:rPr>
          <w:rFonts w:hint="eastAsia" w:ascii="仿宋" w:hAnsi="仿宋" w:eastAsia="仿宋" w:cstheme="minorBidi"/>
          <w:color w:val="auto"/>
          <w:kern w:val="2"/>
          <w:sz w:val="32"/>
          <w:szCs w:val="32"/>
        </w:rPr>
        <w:t>等。成功创建川主寺、牟尼沟、松州古城景区3处州级度假区。</w:t>
      </w:r>
      <w:r>
        <w:rPr>
          <w:rFonts w:hint="eastAsia" w:ascii="仿宋" w:hAnsi="仿宋" w:eastAsia="仿宋" w:cstheme="minorBidi"/>
          <w:b/>
          <w:bCs/>
          <w:color w:val="auto"/>
          <w:kern w:val="2"/>
          <w:sz w:val="32"/>
          <w:szCs w:val="32"/>
          <w:lang w:eastAsia="zh-CN"/>
        </w:rPr>
        <w:t>二是</w:t>
      </w:r>
      <w:r>
        <w:rPr>
          <w:rFonts w:hint="eastAsia" w:ascii="仿宋" w:hAnsi="仿宋" w:eastAsia="仿宋" w:cstheme="minorBidi"/>
          <w:color w:val="auto"/>
          <w:kern w:val="2"/>
          <w:sz w:val="32"/>
          <w:szCs w:val="32"/>
        </w:rPr>
        <w:t>开展“熊猫级标杆民宿”评定工作。共评出金熊猫级酒店2家，民宿11家；银熊猫级酒店4家，民宿6家；铜熊猫级酒店7家，民宿5家。</w:t>
      </w:r>
      <w:r>
        <w:rPr>
          <w:rFonts w:hint="eastAsia" w:ascii="仿宋" w:hAnsi="仿宋" w:eastAsia="仿宋" w:cstheme="minorBidi"/>
          <w:b/>
          <w:bCs/>
          <w:color w:val="auto"/>
          <w:kern w:val="2"/>
          <w:sz w:val="32"/>
          <w:szCs w:val="32"/>
          <w:lang w:eastAsia="zh-CN"/>
        </w:rPr>
        <w:t>三是</w:t>
      </w:r>
      <w:r>
        <w:rPr>
          <w:rFonts w:hint="eastAsia" w:ascii="仿宋" w:hAnsi="仿宋" w:eastAsia="仿宋" w:cstheme="minorBidi"/>
          <w:color w:val="auto"/>
          <w:kern w:val="2"/>
          <w:sz w:val="32"/>
          <w:szCs w:val="32"/>
        </w:rPr>
        <w:t>针对浙江对口援建制订《东西部协作浙江干部疗休养方案》，组织浙江台州市黄岩区和临海市考察团到我县勘踏设计疗休养线路。对接旅游消费扶贫。</w:t>
      </w:r>
      <w:r>
        <w:rPr>
          <w:rFonts w:hint="eastAsia" w:ascii="仿宋" w:hAnsi="仿宋" w:eastAsia="仿宋" w:cstheme="minorBidi"/>
          <w:b/>
          <w:bCs/>
          <w:color w:val="auto"/>
          <w:kern w:val="2"/>
          <w:sz w:val="32"/>
          <w:szCs w:val="32"/>
          <w:lang w:eastAsia="zh-CN"/>
        </w:rPr>
        <w:t>四是</w:t>
      </w:r>
      <w:r>
        <w:rPr>
          <w:rFonts w:hint="eastAsia" w:ascii="仿宋" w:hAnsi="仿宋" w:eastAsia="仿宋"/>
          <w:color w:val="auto"/>
          <w:sz w:val="32"/>
          <w:szCs w:val="32"/>
        </w:rPr>
        <w:t>开展旅游住宿行业服务技能培训和涉旅人员理论提升培训，全年培训240人参加了培训。</w:t>
      </w:r>
      <w:r>
        <w:rPr>
          <w:rFonts w:hint="eastAsia" w:ascii="仿宋" w:hAnsi="仿宋" w:eastAsia="仿宋"/>
          <w:b/>
          <w:bCs/>
          <w:color w:val="auto"/>
          <w:sz w:val="32"/>
          <w:szCs w:val="32"/>
          <w:lang w:eastAsia="zh-CN"/>
        </w:rPr>
        <w:t>五是</w:t>
      </w:r>
      <w:r>
        <w:rPr>
          <w:rFonts w:hint="eastAsia" w:ascii="仿宋" w:hAnsi="仿宋" w:eastAsia="仿宋"/>
          <w:color w:val="auto"/>
          <w:sz w:val="32"/>
          <w:szCs w:val="32"/>
        </w:rPr>
        <w:t>推进“法律政策进景区”宣传工作，每月在景区进行一次法律宣传工作。积极创建川主寺、松州古城、牟尼沟·复华州级旅游度假区。</w:t>
      </w:r>
      <w:r>
        <w:rPr>
          <w:rFonts w:hint="eastAsia" w:ascii="仿宋" w:hAnsi="仿宋" w:eastAsia="仿宋"/>
          <w:b/>
          <w:bCs/>
          <w:color w:val="auto"/>
          <w:sz w:val="32"/>
          <w:szCs w:val="32"/>
          <w:lang w:eastAsia="zh-CN"/>
        </w:rPr>
        <w:t>六是</w:t>
      </w:r>
      <w:r>
        <w:rPr>
          <w:rFonts w:hint="eastAsia" w:ascii="仿宋" w:hAnsi="仿宋" w:eastAsia="仿宋" w:cstheme="minorBidi"/>
          <w:b w:val="0"/>
          <w:bCs w:val="0"/>
          <w:color w:val="auto"/>
          <w:kern w:val="2"/>
          <w:sz w:val="32"/>
          <w:szCs w:val="32"/>
        </w:rPr>
        <w:t>编制《松潘县全域旅游发展规划》，实现文化旅游供给品质化、效益最大化、要素齐全、结构完善、规模壮大；</w:t>
      </w:r>
      <w:r>
        <w:rPr>
          <w:rFonts w:ascii="仿宋" w:hAnsi="仿宋" w:eastAsia="仿宋" w:cstheme="minorBidi"/>
          <w:b w:val="0"/>
          <w:bCs w:val="0"/>
          <w:color w:val="auto"/>
          <w:kern w:val="2"/>
          <w:sz w:val="32"/>
          <w:szCs w:val="32"/>
        </w:rPr>
        <w:t>为摸清</w:t>
      </w:r>
      <w:r>
        <w:rPr>
          <w:rFonts w:hint="eastAsia" w:ascii="仿宋" w:hAnsi="仿宋" w:eastAsia="仿宋" w:cstheme="minorBidi"/>
          <w:b w:val="0"/>
          <w:bCs w:val="0"/>
          <w:color w:val="auto"/>
          <w:kern w:val="2"/>
          <w:sz w:val="32"/>
          <w:szCs w:val="32"/>
        </w:rPr>
        <w:t>我县</w:t>
      </w:r>
      <w:r>
        <w:rPr>
          <w:rFonts w:ascii="仿宋" w:hAnsi="仿宋" w:eastAsia="仿宋" w:cstheme="minorBidi"/>
          <w:b w:val="0"/>
          <w:bCs w:val="0"/>
          <w:color w:val="auto"/>
          <w:kern w:val="2"/>
          <w:sz w:val="32"/>
          <w:szCs w:val="32"/>
        </w:rPr>
        <w:t>文化旅游资源家底，全力推进文化和旅游资源普查工作</w:t>
      </w:r>
      <w:r>
        <w:rPr>
          <w:rFonts w:hint="eastAsia" w:ascii="仿宋" w:hAnsi="仿宋" w:eastAsia="仿宋" w:cstheme="minorBidi"/>
          <w:b w:val="0"/>
          <w:bCs w:val="0"/>
          <w:color w:val="auto"/>
          <w:kern w:val="2"/>
          <w:sz w:val="32"/>
          <w:szCs w:val="32"/>
        </w:rPr>
        <w:t>，</w:t>
      </w:r>
      <w:r>
        <w:rPr>
          <w:rFonts w:hint="eastAsia" w:ascii="仿宋" w:hAnsi="仿宋" w:eastAsia="仿宋" w:cstheme="minorBidi"/>
          <w:b w:val="0"/>
          <w:bCs w:val="0"/>
          <w:color w:val="auto"/>
          <w:kern w:val="2"/>
          <w:sz w:val="32"/>
          <w:szCs w:val="32"/>
          <w:lang w:eastAsia="zh-CN"/>
        </w:rPr>
        <w:t>截至目前</w:t>
      </w:r>
      <w:r>
        <w:rPr>
          <w:rFonts w:ascii="仿宋" w:hAnsi="仿宋" w:eastAsia="仿宋" w:cstheme="minorBidi"/>
          <w:b w:val="0"/>
          <w:bCs w:val="0"/>
          <w:color w:val="auto"/>
          <w:kern w:val="2"/>
          <w:sz w:val="32"/>
          <w:szCs w:val="32"/>
        </w:rPr>
        <w:t>，已查明文化</w:t>
      </w:r>
      <w:r>
        <w:rPr>
          <w:rFonts w:hint="eastAsia" w:ascii="仿宋" w:hAnsi="仿宋" w:eastAsia="仿宋" w:cstheme="minorBidi"/>
          <w:b w:val="0"/>
          <w:bCs w:val="0"/>
          <w:color w:val="auto"/>
          <w:kern w:val="2"/>
          <w:sz w:val="32"/>
          <w:szCs w:val="32"/>
        </w:rPr>
        <w:t>旅游</w:t>
      </w:r>
      <w:r>
        <w:rPr>
          <w:rFonts w:ascii="仿宋" w:hAnsi="仿宋" w:eastAsia="仿宋" w:cstheme="minorBidi"/>
          <w:b w:val="0"/>
          <w:bCs w:val="0"/>
          <w:color w:val="auto"/>
          <w:kern w:val="2"/>
          <w:sz w:val="32"/>
          <w:szCs w:val="32"/>
        </w:rPr>
        <w:t>资源</w:t>
      </w:r>
      <w:r>
        <w:rPr>
          <w:rFonts w:hint="eastAsia" w:ascii="仿宋" w:hAnsi="仿宋" w:eastAsia="仿宋" w:cstheme="minorBidi"/>
          <w:b w:val="0"/>
          <w:bCs w:val="0"/>
          <w:color w:val="auto"/>
          <w:kern w:val="2"/>
          <w:sz w:val="32"/>
          <w:szCs w:val="32"/>
        </w:rPr>
        <w:t>1075</w:t>
      </w:r>
      <w:r>
        <w:rPr>
          <w:rFonts w:ascii="仿宋" w:hAnsi="仿宋" w:eastAsia="仿宋" w:cstheme="minorBidi"/>
          <w:b w:val="0"/>
          <w:bCs w:val="0"/>
          <w:color w:val="auto"/>
          <w:kern w:val="2"/>
          <w:sz w:val="32"/>
          <w:szCs w:val="32"/>
        </w:rPr>
        <w:t>个</w:t>
      </w:r>
      <w:r>
        <w:rPr>
          <w:rFonts w:hint="eastAsia" w:ascii="仿宋" w:hAnsi="仿宋" w:eastAsia="仿宋" w:cstheme="minorBidi"/>
          <w:b w:val="0"/>
          <w:bCs w:val="0"/>
          <w:color w:val="auto"/>
          <w:kern w:val="2"/>
          <w:sz w:val="32"/>
          <w:szCs w:val="32"/>
        </w:rPr>
        <w:t>，其中新增131个。</w:t>
      </w:r>
    </w:p>
    <w:p w14:paraId="2CB1F576">
      <w:pPr>
        <w:pageBreakBefore w:val="0"/>
        <w:kinsoku/>
        <w:wordWrap/>
        <w:overflowPunct/>
        <w:topLinePunct w:val="0"/>
        <w:bidi w:val="0"/>
        <w:spacing w:line="578" w:lineRule="exact"/>
        <w:ind w:left="0" w:leftChars="0" w:right="0"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二、2021年工作计划</w:t>
      </w:r>
    </w:p>
    <w:p w14:paraId="199C010F">
      <w:pPr>
        <w:pageBreakBefore w:val="0"/>
        <w:tabs>
          <w:tab w:val="center" w:pos="4153"/>
        </w:tabs>
        <w:kinsoku/>
        <w:wordWrap/>
        <w:overflowPunct/>
        <w:topLinePunct w:val="0"/>
        <w:bidi w:val="0"/>
        <w:spacing w:line="578" w:lineRule="exact"/>
        <w:ind w:left="0" w:leftChars="0" w:right="0" w:firstLine="643" w:firstLineChars="200"/>
        <w:rPr>
          <w:rFonts w:hint="eastAsia" w:ascii="仿宋" w:hAnsi="仿宋" w:eastAsia="仿宋"/>
          <w:color w:val="auto"/>
          <w:sz w:val="32"/>
          <w:szCs w:val="32"/>
        </w:rPr>
      </w:pPr>
      <w:r>
        <w:rPr>
          <w:rFonts w:hint="eastAsia" w:ascii="仿宋" w:hAnsi="仿宋" w:eastAsia="仿宋"/>
          <w:b/>
          <w:bCs/>
          <w:color w:val="auto"/>
          <w:sz w:val="32"/>
          <w:szCs w:val="32"/>
        </w:rPr>
        <w:t>一是加强公共文化设施建设。</w:t>
      </w:r>
      <w:r>
        <w:rPr>
          <w:rFonts w:hint="eastAsia" w:ascii="仿宋" w:hAnsi="仿宋" w:eastAsia="仿宋"/>
          <w:color w:val="auto"/>
          <w:sz w:val="32"/>
          <w:szCs w:val="32"/>
        </w:rPr>
        <w:t>继续做好两馆一站免费开放工作。继续建设社区（村）标准化综合文化服务中心、特色文化村、标准文化站，做好送戏下乡工作，建成覆盖城乡的广播电视公共服务体系，确保文化民生工程发挥最大社会效益。</w:t>
      </w:r>
    </w:p>
    <w:p w14:paraId="7CDD4E49">
      <w:pPr>
        <w:pageBreakBefore w:val="0"/>
        <w:tabs>
          <w:tab w:val="center" w:pos="4153"/>
        </w:tabs>
        <w:kinsoku/>
        <w:wordWrap/>
        <w:overflowPunct/>
        <w:topLinePunct w:val="0"/>
        <w:bidi w:val="0"/>
        <w:spacing w:line="578" w:lineRule="exact"/>
        <w:ind w:left="0" w:leftChars="0" w:right="0" w:firstLine="643" w:firstLineChars="200"/>
        <w:rPr>
          <w:rFonts w:hint="eastAsia" w:ascii="仿宋" w:hAnsi="仿宋" w:eastAsia="仿宋"/>
          <w:color w:val="auto"/>
          <w:sz w:val="32"/>
          <w:szCs w:val="32"/>
        </w:rPr>
      </w:pPr>
      <w:r>
        <w:rPr>
          <w:rFonts w:hint="eastAsia" w:ascii="仿宋" w:hAnsi="仿宋" w:eastAsia="仿宋"/>
          <w:b/>
          <w:bCs/>
          <w:color w:val="auto"/>
          <w:sz w:val="32"/>
          <w:szCs w:val="32"/>
        </w:rPr>
        <w:t>二是做好松潘境内文物点和文保单位的修缮维护工作。</w:t>
      </w:r>
      <w:r>
        <w:rPr>
          <w:rFonts w:hint="eastAsia" w:ascii="仿宋" w:hAnsi="仿宋" w:eastAsia="仿宋"/>
          <w:color w:val="auto"/>
          <w:sz w:val="32"/>
          <w:szCs w:val="32"/>
        </w:rPr>
        <w:t>做好文物保护单位保护范围及建设控制地带资料报批相关工作。继续加大项目筛选普查工作，做好申报，力争将普查项目和文保点公布为县级非遗和文保单位，让更多的项目入选省、州级的保护项目。 </w:t>
      </w:r>
    </w:p>
    <w:p w14:paraId="2F4724EC">
      <w:pPr>
        <w:pageBreakBefore w:val="0"/>
        <w:tabs>
          <w:tab w:val="center" w:pos="4153"/>
        </w:tabs>
        <w:kinsoku/>
        <w:wordWrap/>
        <w:overflowPunct/>
        <w:topLinePunct w:val="0"/>
        <w:bidi w:val="0"/>
        <w:spacing w:line="578" w:lineRule="exact"/>
        <w:ind w:left="0" w:leftChars="0" w:right="0" w:firstLine="643" w:firstLineChars="200"/>
        <w:rPr>
          <w:rFonts w:ascii="仿宋" w:hAnsi="仿宋" w:eastAsia="仿宋"/>
          <w:color w:val="auto"/>
          <w:sz w:val="32"/>
          <w:szCs w:val="32"/>
        </w:rPr>
      </w:pPr>
      <w:r>
        <w:rPr>
          <w:rFonts w:hint="eastAsia" w:ascii="仿宋" w:hAnsi="仿宋" w:eastAsia="仿宋"/>
          <w:b/>
          <w:bCs/>
          <w:color w:val="auto"/>
          <w:sz w:val="32"/>
          <w:szCs w:val="32"/>
        </w:rPr>
        <w:t>三是继续做好文化惠民工作。</w:t>
      </w:r>
      <w:r>
        <w:rPr>
          <w:rFonts w:hint="eastAsia" w:ascii="仿宋" w:hAnsi="仿宋" w:eastAsia="仿宋"/>
          <w:color w:val="auto"/>
          <w:sz w:val="32"/>
          <w:szCs w:val="32"/>
        </w:rPr>
        <w:t>四是继续</w:t>
      </w:r>
      <w:r>
        <w:rPr>
          <w:rFonts w:ascii="仿宋" w:hAnsi="仿宋" w:eastAsia="仿宋"/>
          <w:color w:val="auto"/>
          <w:sz w:val="32"/>
          <w:szCs w:val="32"/>
        </w:rPr>
        <w:t>加快建设品牌景区。</w:t>
      </w:r>
      <w:r>
        <w:rPr>
          <w:rFonts w:hint="eastAsia" w:ascii="仿宋" w:hAnsi="仿宋" w:eastAsia="仿宋"/>
          <w:color w:val="auto"/>
          <w:sz w:val="32"/>
          <w:szCs w:val="32"/>
        </w:rPr>
        <w:t>全力</w:t>
      </w:r>
      <w:r>
        <w:rPr>
          <w:rFonts w:ascii="仿宋" w:hAnsi="仿宋" w:eastAsia="仿宋"/>
          <w:color w:val="auto"/>
          <w:sz w:val="32"/>
          <w:szCs w:val="32"/>
        </w:rPr>
        <w:t>推进黄龙复华度假世界创建国家级旅游度假区，进一步丰富度假产品体系。加快推进松潘古城创建“国家历史文化名城”及国家5A级旅游景区工作，将古城花灯会打造成国内知名品牌。</w:t>
      </w:r>
      <w:r>
        <w:rPr>
          <w:rFonts w:hint="eastAsia" w:ascii="仿宋" w:hAnsi="仿宋" w:eastAsia="仿宋"/>
          <w:color w:val="auto"/>
          <w:sz w:val="32"/>
          <w:szCs w:val="32"/>
        </w:rPr>
        <w:t>五是聚焦文旅重点项目建设，全力推动文旅融合发展。将“西山遗址公园和东塔平山”打造成为文化遗产旅游精品区。坚持把社会效益放在首位，强化革命传统教育，创新长征主题革命文物的传播方式，融通多媒体资源，推进“互联网+”文物，对我县长征主题的革命文物进行全景式、立体式、延伸式展示宣传，传承革命传统，弘扬革命精神，讲好红色故事。</w:t>
      </w:r>
    </w:p>
    <w:p w14:paraId="069DB0E3">
      <w:pPr>
        <w:pStyle w:val="3"/>
        <w:pageBreakBefore w:val="0"/>
        <w:kinsoku/>
        <w:wordWrap/>
        <w:overflowPunct/>
        <w:topLinePunct w:val="0"/>
        <w:bidi w:val="0"/>
        <w:spacing w:before="0" w:after="0" w:line="578" w:lineRule="exact"/>
        <w:ind w:left="0" w:leftChars="0" w:right="0" w:firstLine="640" w:firstLineChars="200"/>
        <w:rPr>
          <w:rStyle w:val="15"/>
          <w:b w:val="0"/>
          <w:bCs w:val="0"/>
          <w:color w:val="auto"/>
        </w:rPr>
      </w:pPr>
      <w:bookmarkStart w:id="28" w:name="_Toc79163855"/>
      <w:bookmarkStart w:id="29" w:name="_Toc15396601"/>
      <w:bookmarkStart w:id="30" w:name="_Toc79163605"/>
      <w:bookmarkStart w:id="31" w:name="_Toc15377200"/>
      <w:r>
        <w:rPr>
          <w:rFonts w:hint="eastAsia" w:ascii="黑体" w:eastAsia="黑体"/>
          <w:b w:val="0"/>
          <w:color w:val="auto"/>
          <w:lang w:eastAsia="zh-CN"/>
        </w:rPr>
        <w:t>三</w:t>
      </w:r>
      <w:r>
        <w:rPr>
          <w:rFonts w:hint="eastAsia" w:ascii="黑体" w:eastAsia="黑体"/>
          <w:b w:val="0"/>
          <w:color w:val="auto"/>
        </w:rPr>
        <w:t>、</w:t>
      </w:r>
      <w:r>
        <w:rPr>
          <w:rFonts w:hint="eastAsia" w:ascii="黑体" w:hAnsi="黑体" w:eastAsia="黑体"/>
          <w:b w:val="0"/>
          <w:color w:val="auto"/>
        </w:rPr>
        <w:t>机</w:t>
      </w:r>
      <w:r>
        <w:rPr>
          <w:rStyle w:val="15"/>
          <w:rFonts w:hint="eastAsia" w:ascii="黑体" w:hAnsi="黑体" w:eastAsia="黑体"/>
          <w:b w:val="0"/>
          <w:bCs w:val="0"/>
          <w:color w:val="auto"/>
        </w:rPr>
        <w:t>构设置</w:t>
      </w:r>
      <w:bookmarkEnd w:id="28"/>
      <w:bookmarkEnd w:id="29"/>
      <w:bookmarkEnd w:id="30"/>
      <w:bookmarkEnd w:id="31"/>
    </w:p>
    <w:p w14:paraId="2C599BE0">
      <w:pPr>
        <w:pStyle w:val="4"/>
        <w:pageBreakBefore w:val="0"/>
        <w:kinsoku/>
        <w:wordWrap/>
        <w:overflowPunct/>
        <w:topLinePunct w:val="0"/>
        <w:bidi w:val="0"/>
        <w:spacing w:beforeLines="0" w:line="578" w:lineRule="exact"/>
        <w:ind w:left="0" w:leftChars="0" w:right="0" w:firstLine="643" w:firstLineChars="200"/>
        <w:rPr>
          <w:rFonts w:ascii="仿宋" w:hAnsi="仿宋" w:eastAsia="仿宋" w:cs="仿宋"/>
          <w:color w:val="auto"/>
          <w:sz w:val="32"/>
          <w:szCs w:val="32"/>
        </w:rPr>
      </w:pPr>
      <w:r>
        <w:rPr>
          <w:rFonts w:ascii="楷体" w:hAnsi="楷体" w:eastAsia="楷体" w:cs="仿宋"/>
          <w:b/>
          <w:color w:val="auto"/>
          <w:sz w:val="32"/>
          <w:szCs w:val="32"/>
        </w:rPr>
        <w:t>（</w:t>
      </w:r>
      <w:r>
        <w:rPr>
          <w:rFonts w:hint="eastAsia" w:ascii="楷体" w:hAnsi="楷体" w:eastAsia="楷体" w:cs="仿宋"/>
          <w:b/>
          <w:color w:val="auto"/>
          <w:sz w:val="32"/>
          <w:szCs w:val="32"/>
          <w:lang w:val="en-US" w:eastAsia="zh-CN"/>
        </w:rPr>
        <w:t>1</w:t>
      </w:r>
      <w:r>
        <w:rPr>
          <w:rFonts w:ascii="楷体" w:hAnsi="楷体" w:eastAsia="楷体" w:cs="仿宋"/>
          <w:b/>
          <w:color w:val="auto"/>
          <w:sz w:val="32"/>
          <w:szCs w:val="32"/>
        </w:rPr>
        <w:t>）办公室。</w:t>
      </w:r>
      <w:r>
        <w:rPr>
          <w:rFonts w:ascii="仿宋" w:hAnsi="仿宋" w:eastAsia="仿宋" w:cs="仿宋"/>
          <w:color w:val="auto"/>
          <w:sz w:val="32"/>
          <w:szCs w:val="32"/>
        </w:rPr>
        <w:t>负责机关文电、会务、档案、机要等日常运转工作。承担保密、政务公开、后勤、综治、维稳、地方志及目标绩效等工作；负责局机关和直属单位的人事管理、</w:t>
      </w:r>
      <w:r>
        <w:rPr>
          <w:rFonts w:hint="eastAsia" w:ascii="仿宋" w:hAnsi="仿宋" w:eastAsia="仿宋" w:cs="仿宋"/>
          <w:color w:val="auto"/>
          <w:sz w:val="32"/>
          <w:szCs w:val="32"/>
          <w:lang w:eastAsia="zh-CN"/>
        </w:rPr>
        <w:t>干部队伍建设</w:t>
      </w:r>
      <w:r>
        <w:rPr>
          <w:rFonts w:ascii="仿宋" w:hAnsi="仿宋" w:eastAsia="仿宋" w:cs="仿宋"/>
          <w:color w:val="auto"/>
          <w:sz w:val="32"/>
          <w:szCs w:val="32"/>
        </w:rPr>
        <w:t>等工作，负责本单位离退休人员工作，指导直属单位离退休人员工作；组织办理人大代表建议、政协委员提案；承担本单位合法性审查工作；承担行政复议、行政应诉等工作；负责机关精神文明建设工作；负责政务公开和政务协调工作；综合协调局机关和直属单位业务工作，督促重大事项落实；拟订人才队伍建设规划并组织实施；负责文化、体育、旅游相关专业技术人员职称评审工作；承担文化、体育和旅游专家管理工作；统筹协调其他综合性、临时性工作。</w:t>
      </w:r>
    </w:p>
    <w:p w14:paraId="0A98A0D2">
      <w:pPr>
        <w:pStyle w:val="4"/>
        <w:pageBreakBefore w:val="0"/>
        <w:kinsoku/>
        <w:wordWrap/>
        <w:overflowPunct/>
        <w:topLinePunct w:val="0"/>
        <w:bidi w:val="0"/>
        <w:spacing w:beforeLines="0" w:line="578" w:lineRule="exact"/>
        <w:ind w:left="0" w:leftChars="0" w:right="0" w:firstLine="643" w:firstLineChars="200"/>
        <w:rPr>
          <w:rFonts w:ascii="仿宋" w:hAnsi="仿宋" w:eastAsia="仿宋" w:cs="仿宋"/>
          <w:color w:val="auto"/>
          <w:sz w:val="32"/>
          <w:szCs w:val="32"/>
        </w:rPr>
      </w:pPr>
      <w:r>
        <w:rPr>
          <w:rFonts w:hint="eastAsia" w:ascii="楷体" w:hAnsi="楷体" w:eastAsia="楷体" w:cs="仿宋"/>
          <w:b/>
          <w:color w:val="auto"/>
          <w:sz w:val="32"/>
          <w:szCs w:val="32"/>
          <w:lang w:eastAsia="zh-CN"/>
        </w:rPr>
        <w:t>（</w:t>
      </w:r>
      <w:r>
        <w:rPr>
          <w:rFonts w:hint="eastAsia" w:ascii="楷体" w:hAnsi="楷体" w:eastAsia="楷体" w:cs="仿宋"/>
          <w:b/>
          <w:color w:val="auto"/>
          <w:sz w:val="32"/>
          <w:szCs w:val="32"/>
          <w:lang w:val="en-US" w:eastAsia="zh-CN"/>
        </w:rPr>
        <w:t>2</w:t>
      </w:r>
      <w:r>
        <w:rPr>
          <w:rFonts w:ascii="楷体" w:hAnsi="楷体" w:eastAsia="楷体" w:cs="仿宋"/>
          <w:b/>
          <w:color w:val="auto"/>
          <w:sz w:val="32"/>
          <w:szCs w:val="32"/>
        </w:rPr>
        <w:t>）文化艺术和文化遗产股。</w:t>
      </w:r>
      <w:r>
        <w:rPr>
          <w:rFonts w:ascii="仿宋" w:hAnsi="仿宋" w:eastAsia="仿宋" w:cs="仿宋"/>
          <w:color w:val="auto"/>
          <w:sz w:val="32"/>
          <w:szCs w:val="32"/>
        </w:rPr>
        <w:t>推动非物质文化遗产保护政策和规划的实施；组织开展非物质文化遗产保护工作，组织实施全县非物质文化遗产调查、记录、确认和建立名录；组织指导全县文化遗产研究、宣传和传播工作；促进非物质文化遗产合理利用和产品开发；拟订全县社会文化事业发展规划，推进全县公共文化服务；指导群众文化、少数民族文化、未成年人文化和老年文化工作，拟订公共文化服务单位工作规范，指导图书馆、文化馆和乡镇文化中心事业发展。</w:t>
      </w:r>
    </w:p>
    <w:p w14:paraId="38151C60">
      <w:pPr>
        <w:pStyle w:val="4"/>
        <w:pageBreakBefore w:val="0"/>
        <w:kinsoku/>
        <w:wordWrap/>
        <w:overflowPunct/>
        <w:topLinePunct w:val="0"/>
        <w:bidi w:val="0"/>
        <w:spacing w:beforeLines="0" w:line="578" w:lineRule="exact"/>
        <w:ind w:left="0" w:leftChars="0" w:right="0" w:firstLine="643" w:firstLineChars="200"/>
        <w:rPr>
          <w:rFonts w:ascii="仿宋" w:hAnsi="仿宋" w:eastAsia="仿宋" w:cs="仿宋"/>
          <w:color w:val="auto"/>
          <w:sz w:val="32"/>
          <w:szCs w:val="32"/>
        </w:rPr>
      </w:pPr>
      <w:r>
        <w:rPr>
          <w:rFonts w:ascii="楷体" w:hAnsi="楷体" w:eastAsia="楷体" w:cs="仿宋"/>
          <w:b/>
          <w:color w:val="auto"/>
          <w:sz w:val="32"/>
          <w:szCs w:val="32"/>
        </w:rPr>
        <w:t>（</w:t>
      </w:r>
      <w:r>
        <w:rPr>
          <w:rFonts w:hint="eastAsia" w:ascii="楷体" w:hAnsi="楷体" w:eastAsia="楷体" w:cs="仿宋"/>
          <w:b/>
          <w:color w:val="auto"/>
          <w:sz w:val="32"/>
          <w:szCs w:val="32"/>
          <w:lang w:val="en-US" w:eastAsia="zh-CN"/>
        </w:rPr>
        <w:t>3</w:t>
      </w:r>
      <w:r>
        <w:rPr>
          <w:rFonts w:ascii="楷体" w:hAnsi="楷体" w:eastAsia="楷体" w:cs="仿宋"/>
          <w:b/>
          <w:color w:val="auto"/>
          <w:sz w:val="32"/>
          <w:szCs w:val="32"/>
        </w:rPr>
        <w:t>）公共服务股。</w:t>
      </w:r>
      <w:r>
        <w:rPr>
          <w:rFonts w:ascii="仿宋" w:hAnsi="仿宋" w:eastAsia="仿宋" w:cs="仿宋"/>
          <w:color w:val="auto"/>
          <w:sz w:val="32"/>
          <w:szCs w:val="32"/>
        </w:rPr>
        <w:t>拟订全县群众体育工作行政规范性文件，指导和推进全民健身事业，建立和完善全民健身服务体系，组织开展综合性群众体育活动，负责抓好全县群众性体育活动及</w:t>
      </w:r>
      <w:r>
        <w:rPr>
          <w:rFonts w:hint="eastAsia" w:ascii="仿宋" w:hAnsi="仿宋" w:eastAsia="仿宋" w:cs="仿宋"/>
          <w:color w:val="auto"/>
          <w:sz w:val="32"/>
          <w:szCs w:val="32"/>
          <w:lang w:eastAsia="zh-CN"/>
        </w:rPr>
        <w:t>竞赛</w:t>
      </w:r>
      <w:r>
        <w:rPr>
          <w:rFonts w:ascii="仿宋" w:hAnsi="仿宋" w:eastAsia="仿宋" w:cs="仿宋"/>
          <w:color w:val="auto"/>
          <w:sz w:val="32"/>
          <w:szCs w:val="32"/>
        </w:rPr>
        <w:t>工作，抓好青少年体育发展，指导、协调业余训练及后备人才培养工作，指导业余体校的业务工作；协助管理体育彩票发行销售工作；负责民族传统体育项目的传承、挖掘、保护。推动全县文化、体育和旅游公共服务政策实施，拟订文化、体育和旅游公共服务标准并监督实施；推动图书馆、义化馆、美术馆、博物馆、体育场馆等事业和基层综合性文化、体育服务中心建设管理工作；负责公共数字文化和古籍保护工作；拟订广播电视宣传的规划、政策并组织实施，指导、监督管理全县广播电视的宣传和播出工作，指导、监督管理全县理论文献片、纪录片的制作和播出工作，组织全县霍大广播电视宣传活动。</w:t>
      </w:r>
    </w:p>
    <w:p w14:paraId="01ED4B03">
      <w:pPr>
        <w:pStyle w:val="4"/>
        <w:pageBreakBefore w:val="0"/>
        <w:kinsoku/>
        <w:wordWrap/>
        <w:overflowPunct/>
        <w:topLinePunct w:val="0"/>
        <w:bidi w:val="0"/>
        <w:spacing w:beforeLines="0" w:line="578" w:lineRule="exact"/>
        <w:ind w:left="0" w:leftChars="0" w:right="0" w:firstLine="643" w:firstLineChars="200"/>
        <w:rPr>
          <w:rFonts w:ascii="仿宋" w:hAnsi="仿宋" w:eastAsia="仿宋" w:cs="仿宋"/>
          <w:color w:val="auto"/>
          <w:sz w:val="32"/>
          <w:szCs w:val="32"/>
        </w:rPr>
      </w:pPr>
      <w:r>
        <w:rPr>
          <w:rFonts w:ascii="楷体" w:hAnsi="楷体" w:eastAsia="楷体" w:cs="仿宋"/>
          <w:b/>
          <w:color w:val="auto"/>
          <w:sz w:val="32"/>
          <w:szCs w:val="32"/>
        </w:rPr>
        <w:t>（</w:t>
      </w:r>
      <w:r>
        <w:rPr>
          <w:rFonts w:hint="eastAsia" w:ascii="楷体" w:hAnsi="楷体" w:eastAsia="楷体" w:cs="仿宋"/>
          <w:b/>
          <w:color w:val="auto"/>
          <w:sz w:val="32"/>
          <w:szCs w:val="32"/>
          <w:lang w:val="en-US" w:eastAsia="zh-CN"/>
        </w:rPr>
        <w:t>4</w:t>
      </w:r>
      <w:r>
        <w:rPr>
          <w:rFonts w:ascii="楷体" w:hAnsi="楷体" w:eastAsia="楷体" w:cs="仿宋"/>
          <w:b/>
          <w:color w:val="auto"/>
          <w:sz w:val="32"/>
          <w:szCs w:val="32"/>
        </w:rPr>
        <w:t>）产业发展股。</w:t>
      </w:r>
      <w:r>
        <w:rPr>
          <w:rFonts w:ascii="仿宋" w:hAnsi="仿宋" w:eastAsia="仿宋" w:cs="仿宋"/>
          <w:color w:val="auto"/>
          <w:sz w:val="32"/>
          <w:szCs w:val="32"/>
        </w:rPr>
        <w:t>负责全县文化、体育和旅游产业发展规划的拟订并组织实施；推进文化、体育和旅游融合发展，促进文化、体育和旅游与相关产业融合发展；培育文化、体育和旅游</w:t>
      </w:r>
      <w:r>
        <w:rPr>
          <w:rFonts w:hint="eastAsia" w:ascii="仿宋" w:hAnsi="仿宋" w:eastAsia="仿宋" w:cs="仿宋"/>
          <w:color w:val="auto"/>
          <w:sz w:val="32"/>
          <w:szCs w:val="32"/>
          <w:lang w:eastAsia="zh-CN"/>
        </w:rPr>
        <w:t>骨干企业</w:t>
      </w:r>
      <w:r>
        <w:rPr>
          <w:rFonts w:ascii="仿宋" w:hAnsi="仿宋" w:eastAsia="仿宋" w:cs="仿宋"/>
          <w:color w:val="auto"/>
          <w:sz w:val="32"/>
          <w:szCs w:val="32"/>
        </w:rPr>
        <w:t>，扶持中小微企业发展；统筹全县旅游商品开发；负责文化、体育和旅游产业项目开发实施以及项目投融资；指导文化、体育和旅游产业园区及基地建设。</w:t>
      </w:r>
    </w:p>
    <w:p w14:paraId="7D9B022F">
      <w:pPr>
        <w:pStyle w:val="4"/>
        <w:pageBreakBefore w:val="0"/>
        <w:tabs>
          <w:tab w:val="left" w:pos="3992"/>
          <w:tab w:val="left" w:pos="5019"/>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ascii="仿宋" w:hAnsi="仿宋" w:eastAsia="仿宋" w:cs="仿宋"/>
          <w:color w:val="auto"/>
          <w:sz w:val="32"/>
          <w:szCs w:val="32"/>
        </w:rPr>
        <w:t>贯彻落实国家、省、州旅游法律法规和规章，负责起草全县旅游业管理行政规范性文件并监督实施；负责全县旅游标准化建设工作，制定旅游发展的行业规范并组织实施；会同有关部门指导旅游资源开发、假日旅游、红色旅游等工作；组织全县旅游整体形象的对外宣传和重大推广活动，指导涉外旅游和港澳台旅游工作</w:t>
      </w:r>
    </w:p>
    <w:p w14:paraId="11B3D0BA">
      <w:pPr>
        <w:pStyle w:val="4"/>
        <w:pageBreakBefore w:val="0"/>
        <w:tabs>
          <w:tab w:val="left" w:pos="3992"/>
          <w:tab w:val="left" w:pos="5019"/>
        </w:tabs>
        <w:kinsoku/>
        <w:wordWrap/>
        <w:overflowPunct/>
        <w:topLinePunct w:val="0"/>
        <w:bidi w:val="0"/>
        <w:spacing w:beforeLines="0" w:line="578" w:lineRule="exact"/>
        <w:ind w:left="0" w:leftChars="0" w:right="0" w:firstLine="643" w:firstLineChars="200"/>
        <w:rPr>
          <w:rFonts w:ascii="仿宋" w:hAnsi="仿宋" w:eastAsia="仿宋" w:cs="仿宋"/>
          <w:color w:val="auto"/>
          <w:sz w:val="32"/>
          <w:szCs w:val="32"/>
        </w:rPr>
      </w:pP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5</w:t>
      </w:r>
      <w:r>
        <w:rPr>
          <w:rFonts w:hint="eastAsia" w:ascii="仿宋" w:hAnsi="仿宋" w:eastAsia="仿宋" w:cs="仿宋"/>
          <w:b/>
          <w:color w:val="auto"/>
          <w:sz w:val="32"/>
          <w:szCs w:val="32"/>
        </w:rPr>
        <w:t>）市场监管股。</w:t>
      </w:r>
      <w:r>
        <w:rPr>
          <w:rFonts w:hint="eastAsia" w:ascii="仿宋" w:hAnsi="仿宋" w:eastAsia="仿宋" w:cs="仿宋"/>
          <w:color w:val="auto"/>
          <w:sz w:val="32"/>
          <w:szCs w:val="32"/>
        </w:rPr>
        <w:t>负责全县文化、体育和旅游市场管理。负责全县文化、体育和旅游行业信用体系建设；负责监管全县文化、体育和旅游市场服务质量等工作；负责星级酒店、饭店质量等级评定、复核等工作；负责全县文化、体育和旅游系统及市场安全生产工作的综合协调与监督管理，负责对全县文化、体育和旅游园区的安全生产和职业健康工作实施行业监督管理；负责指导全县文化、体育和旅游市场综合执法工作；协调监督全县文化、体育和旅游行业生态环境保护工作；负责文化和旅游社会团体管理工作；负责旅游行业总社的备案工作，负责设在我县旅游行分社的审批及注销工作；协助省、州旅游行政主管部门对我县星级饭店和</w:t>
      </w:r>
      <w:r>
        <w:rPr>
          <w:rFonts w:hint="eastAsia" w:ascii="仿宋" w:hAnsi="仿宋" w:eastAsia="仿宋" w:cs="仿宋"/>
          <w:color w:val="auto"/>
          <w:sz w:val="32"/>
          <w:szCs w:val="32"/>
          <w:lang w:eastAsia="zh-CN"/>
        </w:rPr>
        <w:t>A级旅游景区</w:t>
      </w:r>
      <w:r>
        <w:rPr>
          <w:rFonts w:hint="eastAsia" w:ascii="仿宋" w:hAnsi="仿宋" w:eastAsia="仿宋" w:cs="仿宋"/>
          <w:color w:val="auto"/>
          <w:sz w:val="32"/>
          <w:szCs w:val="32"/>
        </w:rPr>
        <w:t>等评定和复核工作；制定并组织实施旅游人才规划，指导旅游培训工作。负责全县旅游统计与旅游经济运行分析工作。</w:t>
      </w:r>
    </w:p>
    <w:p w14:paraId="061A4EDD">
      <w:pPr>
        <w:pStyle w:val="4"/>
        <w:pageBreakBefore w:val="0"/>
        <w:tabs>
          <w:tab w:val="left" w:pos="3992"/>
          <w:tab w:val="left" w:pos="5019"/>
        </w:tabs>
        <w:kinsoku/>
        <w:wordWrap/>
        <w:overflowPunct/>
        <w:topLinePunct w:val="0"/>
        <w:bidi w:val="0"/>
        <w:spacing w:beforeLines="0" w:line="578" w:lineRule="exact"/>
        <w:ind w:left="0" w:leftChars="0" w:right="0" w:firstLine="640" w:firstLineChars="200"/>
        <w:rPr>
          <w:rFonts w:ascii="仿宋" w:hAnsi="仿宋" w:eastAsia="仿宋" w:cs="仿宋"/>
          <w:color w:val="auto"/>
          <w:sz w:val="32"/>
          <w:szCs w:val="32"/>
        </w:rPr>
      </w:pPr>
      <w:r>
        <w:rPr>
          <w:rFonts w:hint="eastAsia" w:ascii="仿宋_GB2312" w:hAnsi="仿宋" w:eastAsia="仿宋_GB2312" w:cs="仿宋"/>
          <w:color w:val="auto"/>
          <w:sz w:val="32"/>
          <w:szCs w:val="32"/>
        </w:rPr>
        <w:t>松潘县文化体育和旅游局属一级预算单位，独立编制机构数1个，独立核算机构数1个。</w:t>
      </w:r>
      <w:r>
        <w:rPr>
          <w:rFonts w:hint="eastAsia" w:ascii="仿宋" w:hAnsi="仿宋" w:eastAsia="仿宋" w:cs="仿宋"/>
          <w:color w:val="auto"/>
          <w:sz w:val="32"/>
          <w:szCs w:val="32"/>
        </w:rPr>
        <w:t>县文体旅游局行政编制8名。其中，局长1名，副局长2名；股级领导职数5名。公共服务中心17名。机关工勤人员事业编制1名。图书馆3名，文化馆4名，文物管理所6名。</w:t>
      </w:r>
    </w:p>
    <w:p w14:paraId="6B38FEAA">
      <w:pPr>
        <w:pageBreakBefore w:val="0"/>
        <w:widowControl/>
        <w:kinsoku/>
        <w:wordWrap/>
        <w:overflowPunct/>
        <w:topLinePunct w:val="0"/>
        <w:bidi w:val="0"/>
        <w:spacing w:line="578" w:lineRule="exact"/>
        <w:ind w:left="0" w:leftChars="0" w:right="0"/>
        <w:jc w:val="left"/>
        <w:rPr>
          <w:rFonts w:ascii="仿宋" w:hAnsi="仿宋" w:eastAsia="仿宋"/>
          <w:color w:val="auto"/>
          <w:kern w:val="0"/>
          <w:sz w:val="32"/>
          <w:szCs w:val="32"/>
        </w:rPr>
      </w:pPr>
      <w:r>
        <w:rPr>
          <w:rFonts w:ascii="仿宋" w:hAnsi="仿宋" w:eastAsia="仿宋"/>
          <w:color w:val="auto"/>
          <w:sz w:val="32"/>
          <w:szCs w:val="32"/>
        </w:rPr>
        <w:br w:type="page"/>
      </w:r>
    </w:p>
    <w:p w14:paraId="6ACD19AA">
      <w:pPr>
        <w:pStyle w:val="2"/>
        <w:pageBreakBefore w:val="0"/>
        <w:kinsoku/>
        <w:wordWrap/>
        <w:overflowPunct/>
        <w:topLinePunct w:val="0"/>
        <w:bidi w:val="0"/>
        <w:spacing w:before="0" w:after="0" w:line="578" w:lineRule="exact"/>
        <w:ind w:left="0" w:leftChars="0" w:right="0"/>
        <w:jc w:val="center"/>
        <w:rPr>
          <w:rStyle w:val="14"/>
          <w:rFonts w:ascii="黑体" w:hAnsi="黑体" w:eastAsia="黑体"/>
          <w:b w:val="0"/>
          <w:bCs w:val="0"/>
          <w:color w:val="auto"/>
        </w:rPr>
      </w:pPr>
      <w:bookmarkStart w:id="32" w:name="_Toc15377204"/>
      <w:bookmarkStart w:id="33" w:name="_Toc79163609"/>
      <w:bookmarkStart w:id="34" w:name="_Toc15396602"/>
      <w:bookmarkStart w:id="35" w:name="_Toc79163859"/>
      <w:r>
        <w:rPr>
          <w:rFonts w:hint="eastAsia" w:ascii="方正小标宋简体" w:hAnsi="方正小标宋简体" w:eastAsia="方正小标宋简体" w:cs="方正小标宋简体"/>
          <w:b w:val="0"/>
          <w:color w:val="auto"/>
          <w:lang w:val="en-US" w:eastAsia="zh-CN"/>
        </w:rPr>
        <w:t xml:space="preserve"> </w:t>
      </w:r>
      <w:r>
        <w:rPr>
          <w:rFonts w:hint="eastAsia" w:ascii="方正小标宋简体" w:hAnsi="方正小标宋简体" w:eastAsia="方正小标宋简体" w:cs="方正小标宋简体"/>
          <w:b w:val="0"/>
          <w:color w:val="auto"/>
        </w:rPr>
        <w:t>第二部分</w:t>
      </w:r>
      <w:r>
        <w:rPr>
          <w:rFonts w:hint="eastAsia" w:ascii="方正小标宋简体" w:hAnsi="方正小标宋简体" w:eastAsia="方正小标宋简体" w:cs="方正小标宋简体"/>
          <w:color w:val="auto"/>
        </w:rPr>
        <w:t xml:space="preserve"> </w:t>
      </w:r>
      <w:r>
        <w:rPr>
          <w:rStyle w:val="14"/>
          <w:rFonts w:hint="eastAsia" w:ascii="方正小标宋简体" w:hAnsi="方正小标宋简体" w:eastAsia="方正小标宋简体" w:cs="方正小标宋简体"/>
          <w:b w:val="0"/>
          <w:bCs w:val="0"/>
          <w:color w:val="auto"/>
        </w:rPr>
        <w:t>2020年度部门决算情况说明</w:t>
      </w:r>
      <w:bookmarkEnd w:id="32"/>
      <w:bookmarkEnd w:id="33"/>
      <w:bookmarkEnd w:id="34"/>
      <w:bookmarkEnd w:id="35"/>
    </w:p>
    <w:p w14:paraId="5FA7F2EC">
      <w:pPr>
        <w:pageBreakBefore w:val="0"/>
        <w:kinsoku/>
        <w:wordWrap/>
        <w:overflowPunct/>
        <w:topLinePunct w:val="0"/>
        <w:bidi w:val="0"/>
        <w:spacing w:line="578" w:lineRule="exact"/>
        <w:ind w:left="0" w:leftChars="0" w:right="0"/>
        <w:rPr>
          <w:color w:val="auto"/>
        </w:rPr>
      </w:pPr>
    </w:p>
    <w:p w14:paraId="52A8AB24">
      <w:pPr>
        <w:pStyle w:val="16"/>
        <w:pageBreakBefore w:val="0"/>
        <w:numPr>
          <w:ilvl w:val="0"/>
          <w:numId w:val="0"/>
        </w:numPr>
        <w:kinsoku/>
        <w:wordWrap/>
        <w:overflowPunct/>
        <w:topLinePunct w:val="0"/>
        <w:bidi w:val="0"/>
        <w:spacing w:line="578" w:lineRule="exact"/>
        <w:ind w:right="0" w:rightChars="0" w:firstLine="640" w:firstLineChars="200"/>
        <w:outlineLvl w:val="1"/>
        <w:rPr>
          <w:rStyle w:val="15"/>
          <w:rFonts w:hint="eastAsia" w:ascii="黑体" w:hAnsi="黑体" w:eastAsia="黑体"/>
          <w:b w:val="0"/>
          <w:color w:val="auto"/>
        </w:rPr>
      </w:pPr>
      <w:bookmarkStart w:id="36" w:name="_Toc79163610"/>
      <w:bookmarkStart w:id="37" w:name="_Toc79163860"/>
      <w:bookmarkStart w:id="38" w:name="_Toc15377205"/>
      <w:bookmarkStart w:id="39" w:name="_Toc15396603"/>
      <w:r>
        <w:rPr>
          <w:rFonts w:hint="eastAsia" w:ascii="黑体" w:hAnsi="黑体" w:eastAsia="黑体"/>
          <w:color w:val="auto"/>
          <w:sz w:val="32"/>
          <w:szCs w:val="32"/>
          <w:lang w:eastAsia="zh-CN"/>
        </w:rPr>
        <w:t>一、</w:t>
      </w:r>
      <w:r>
        <w:rPr>
          <w:rFonts w:hint="eastAsia" w:ascii="黑体" w:hAnsi="黑体" w:eastAsia="黑体"/>
          <w:color w:val="auto"/>
          <w:sz w:val="32"/>
          <w:szCs w:val="32"/>
        </w:rPr>
        <w:t>收</w:t>
      </w:r>
      <w:r>
        <w:rPr>
          <w:rStyle w:val="15"/>
          <w:rFonts w:hint="eastAsia" w:ascii="黑体" w:hAnsi="黑体" w:eastAsia="黑体"/>
          <w:b w:val="0"/>
          <w:color w:val="auto"/>
        </w:rPr>
        <w:t>入支出决算总体情况说明</w:t>
      </w:r>
      <w:bookmarkEnd w:id="36"/>
      <w:bookmarkEnd w:id="37"/>
      <w:bookmarkEnd w:id="38"/>
      <w:bookmarkEnd w:id="39"/>
    </w:p>
    <w:p w14:paraId="73D2CD37">
      <w:pPr>
        <w:pStyle w:val="16"/>
        <w:pageBreakBefore w:val="0"/>
        <w:numPr>
          <w:ilvl w:val="0"/>
          <w:numId w:val="0"/>
        </w:numPr>
        <w:kinsoku/>
        <w:wordWrap/>
        <w:overflowPunct/>
        <w:topLinePunct w:val="0"/>
        <w:bidi w:val="0"/>
        <w:spacing w:line="578" w:lineRule="exact"/>
        <w:ind w:right="0" w:rightChars="0" w:firstLine="640" w:firstLineChars="200"/>
        <w:outlineLvl w:val="1"/>
        <w:rPr>
          <w:rFonts w:hint="eastAsia" w:ascii="仿宋" w:hAnsi="仿宋" w:eastAsia="仿宋"/>
          <w:color w:val="auto"/>
          <w:sz w:val="32"/>
          <w:szCs w:val="32"/>
          <w:lang w:val="en-US" w:eastAsia="zh-CN"/>
        </w:rPr>
      </w:pPr>
      <w:r>
        <w:rPr>
          <w:rFonts w:ascii="仿宋" w:hAnsi="仿宋" w:eastAsia="仿宋"/>
          <w:color w:val="auto"/>
          <w:sz w:val="32"/>
          <w:szCs w:val="32"/>
        </w:rPr>
        <w:t>2020</w:t>
      </w:r>
      <w:r>
        <w:rPr>
          <w:rFonts w:hint="eastAsia" w:ascii="仿宋" w:hAnsi="仿宋" w:eastAsia="仿宋"/>
          <w:color w:val="auto"/>
          <w:sz w:val="32"/>
          <w:szCs w:val="32"/>
        </w:rPr>
        <w:t>年度收</w:t>
      </w:r>
      <w:r>
        <w:rPr>
          <w:rFonts w:hint="eastAsia" w:ascii="仿宋" w:hAnsi="仿宋" w:eastAsia="仿宋"/>
          <w:color w:val="auto"/>
          <w:sz w:val="32"/>
          <w:szCs w:val="32"/>
          <w:lang w:eastAsia="zh-CN"/>
        </w:rPr>
        <w:t>入</w:t>
      </w:r>
      <w:r>
        <w:rPr>
          <w:rFonts w:hint="eastAsia" w:ascii="仿宋" w:hAnsi="仿宋" w:eastAsia="仿宋"/>
          <w:color w:val="auto"/>
          <w:sz w:val="32"/>
          <w:szCs w:val="32"/>
        </w:rPr>
        <w:t>总计</w:t>
      </w:r>
      <w:r>
        <w:rPr>
          <w:rFonts w:hint="eastAsia" w:ascii="仿宋" w:hAnsi="仿宋" w:eastAsia="仿宋"/>
          <w:color w:val="auto"/>
          <w:sz w:val="32"/>
          <w:szCs w:val="32"/>
          <w:lang w:val="en-US" w:eastAsia="zh-CN"/>
        </w:rPr>
        <w:t>4444.1</w:t>
      </w:r>
      <w:r>
        <w:rPr>
          <w:rFonts w:hint="eastAsia" w:ascii="仿宋" w:hAnsi="仿宋" w:eastAsia="仿宋"/>
          <w:color w:val="auto"/>
          <w:sz w:val="32"/>
          <w:szCs w:val="32"/>
        </w:rPr>
        <w:t>万元</w:t>
      </w:r>
      <w:r>
        <w:rPr>
          <w:rFonts w:hint="eastAsia" w:ascii="仿宋" w:hAnsi="仿宋" w:eastAsia="仿宋"/>
          <w:color w:val="auto"/>
          <w:sz w:val="32"/>
          <w:szCs w:val="32"/>
          <w:lang w:eastAsia="zh-CN"/>
        </w:rPr>
        <w:t>、支出总计</w:t>
      </w:r>
      <w:r>
        <w:rPr>
          <w:rFonts w:hint="eastAsia" w:ascii="仿宋" w:hAnsi="仿宋" w:eastAsia="仿宋"/>
          <w:color w:val="auto"/>
          <w:sz w:val="32"/>
          <w:szCs w:val="32"/>
          <w:lang w:val="en-US" w:eastAsia="zh-CN"/>
        </w:rPr>
        <w:t>3312.71万元，结余资金1131.39万元</w:t>
      </w:r>
      <w:r>
        <w:rPr>
          <w:rFonts w:hint="eastAsia" w:ascii="仿宋" w:hAnsi="仿宋" w:eastAsia="仿宋"/>
          <w:color w:val="auto"/>
          <w:sz w:val="32"/>
          <w:szCs w:val="32"/>
        </w:rPr>
        <w:t>。与</w:t>
      </w:r>
      <w:r>
        <w:rPr>
          <w:rFonts w:ascii="仿宋" w:hAnsi="仿宋" w:eastAsia="仿宋"/>
          <w:color w:val="auto"/>
          <w:sz w:val="32"/>
          <w:szCs w:val="32"/>
        </w:rPr>
        <w:t>2019</w:t>
      </w:r>
      <w:r>
        <w:rPr>
          <w:rFonts w:hint="eastAsia" w:ascii="仿宋" w:hAnsi="仿宋" w:eastAsia="仿宋"/>
          <w:color w:val="auto"/>
          <w:sz w:val="32"/>
          <w:szCs w:val="32"/>
        </w:rPr>
        <w:t>年相比，收</w:t>
      </w:r>
      <w:r>
        <w:rPr>
          <w:rFonts w:hint="eastAsia" w:ascii="仿宋" w:hAnsi="仿宋" w:eastAsia="仿宋"/>
          <w:color w:val="auto"/>
          <w:sz w:val="32"/>
          <w:szCs w:val="32"/>
          <w:lang w:eastAsia="zh-CN"/>
        </w:rPr>
        <w:t>入</w:t>
      </w:r>
      <w:r>
        <w:rPr>
          <w:rFonts w:hint="eastAsia" w:ascii="仿宋" w:hAnsi="仿宋" w:eastAsia="仿宋"/>
          <w:color w:val="auto"/>
          <w:sz w:val="32"/>
          <w:szCs w:val="32"/>
        </w:rPr>
        <w:t>总计减少</w:t>
      </w:r>
      <w:r>
        <w:rPr>
          <w:rFonts w:hint="eastAsia" w:ascii="仿宋" w:hAnsi="仿宋" w:eastAsia="仿宋"/>
          <w:color w:val="auto"/>
          <w:sz w:val="32"/>
          <w:szCs w:val="32"/>
          <w:lang w:val="en-US" w:eastAsia="zh-CN"/>
        </w:rPr>
        <w:t>87.08</w:t>
      </w:r>
      <w:r>
        <w:rPr>
          <w:rFonts w:hint="eastAsia" w:ascii="仿宋" w:hAnsi="仿宋" w:eastAsia="仿宋"/>
          <w:color w:val="auto"/>
          <w:sz w:val="32"/>
          <w:szCs w:val="32"/>
        </w:rPr>
        <w:t>万元，下降</w:t>
      </w:r>
      <w:r>
        <w:rPr>
          <w:rFonts w:hint="eastAsia" w:ascii="仿宋" w:hAnsi="仿宋" w:eastAsia="仿宋"/>
          <w:color w:val="auto"/>
          <w:sz w:val="32"/>
          <w:szCs w:val="32"/>
          <w:lang w:val="en-US" w:eastAsia="zh-CN"/>
        </w:rPr>
        <w:t>1.92</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遵循中央八项规定，节能减排。支出总计增加</w:t>
      </w:r>
      <w:r>
        <w:rPr>
          <w:rFonts w:hint="eastAsia" w:ascii="仿宋" w:hAnsi="仿宋" w:eastAsia="仿宋"/>
          <w:color w:val="auto"/>
          <w:sz w:val="32"/>
          <w:szCs w:val="32"/>
          <w:lang w:val="en-US" w:eastAsia="zh-CN"/>
        </w:rPr>
        <w:t>373.51万元，上升12.71%。主要变动原因为东西山项目完工，结付工程款。</w:t>
      </w:r>
      <w:bookmarkStart w:id="40" w:name="_Toc15396604"/>
      <w:bookmarkStart w:id="41" w:name="_Toc15377206"/>
      <w:bookmarkStart w:id="42" w:name="_Toc79163861"/>
      <w:bookmarkStart w:id="43" w:name="_Toc79163611"/>
    </w:p>
    <w:p w14:paraId="34C2F96C">
      <w:pPr>
        <w:pStyle w:val="16"/>
        <w:pageBreakBefore w:val="0"/>
        <w:numPr>
          <w:ilvl w:val="0"/>
          <w:numId w:val="0"/>
        </w:numPr>
        <w:kinsoku/>
        <w:wordWrap/>
        <w:overflowPunct/>
        <w:topLinePunct w:val="0"/>
        <w:bidi w:val="0"/>
        <w:spacing w:line="578" w:lineRule="exact"/>
        <w:ind w:right="0" w:rightChars="0" w:firstLine="640" w:firstLineChars="200"/>
        <w:outlineLvl w:val="1"/>
        <w:rPr>
          <w:rStyle w:val="15"/>
          <w:rFonts w:ascii="黑体" w:hAnsi="黑体" w:eastAsia="黑体"/>
          <w:b w:val="0"/>
          <w:color w:val="auto"/>
        </w:rPr>
      </w:pPr>
      <w:r>
        <w:rPr>
          <w:rFonts w:hint="eastAsia" w:ascii="黑体" w:hAnsi="黑体" w:eastAsia="黑体"/>
          <w:color w:val="auto"/>
          <w:sz w:val="32"/>
          <w:szCs w:val="32"/>
          <w:lang w:eastAsia="zh-CN"/>
        </w:rPr>
        <w:t>二、</w:t>
      </w:r>
      <w:r>
        <w:rPr>
          <w:rFonts w:hint="eastAsia" w:ascii="黑体" w:hAnsi="黑体" w:eastAsia="黑体"/>
          <w:color w:val="auto"/>
          <w:sz w:val="32"/>
          <w:szCs w:val="32"/>
        </w:rPr>
        <w:t>收</w:t>
      </w:r>
      <w:r>
        <w:rPr>
          <w:rStyle w:val="15"/>
          <w:rFonts w:hint="eastAsia" w:ascii="黑体" w:hAnsi="黑体" w:eastAsia="黑体"/>
          <w:b w:val="0"/>
          <w:color w:val="auto"/>
        </w:rPr>
        <w:t>入决算情况说明</w:t>
      </w:r>
      <w:bookmarkEnd w:id="40"/>
      <w:bookmarkEnd w:id="41"/>
      <w:bookmarkEnd w:id="42"/>
      <w:bookmarkEnd w:id="43"/>
    </w:p>
    <w:p w14:paraId="1CE26CC1">
      <w:pPr>
        <w:pageBreakBefore w:val="0"/>
        <w:kinsoku/>
        <w:wordWrap/>
        <w:overflowPunct/>
        <w:topLinePunct w:val="0"/>
        <w:bidi w:val="0"/>
        <w:spacing w:line="578" w:lineRule="exact"/>
        <w:ind w:left="0" w:leftChars="0" w:right="0" w:firstLine="640" w:firstLineChars="200"/>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年本年收入合计</w:t>
      </w:r>
      <w:r>
        <w:rPr>
          <w:rFonts w:hint="eastAsia" w:ascii="仿宋" w:hAnsi="仿宋" w:eastAsia="仿宋"/>
          <w:color w:val="auto"/>
          <w:sz w:val="32"/>
          <w:szCs w:val="32"/>
          <w:lang w:val="en-US" w:eastAsia="zh-CN"/>
        </w:rPr>
        <w:t>4444.1</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4417.1</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99.39</w:t>
      </w:r>
      <w:r>
        <w:rPr>
          <w:rFonts w:ascii="仿宋" w:hAnsi="仿宋" w:eastAsia="仿宋"/>
          <w:color w:val="auto"/>
          <w:sz w:val="32"/>
          <w:szCs w:val="32"/>
        </w:rPr>
        <w:t>%</w:t>
      </w:r>
      <w:r>
        <w:rPr>
          <w:rFonts w:hint="eastAsia" w:ascii="仿宋" w:hAnsi="仿宋" w:eastAsia="仿宋"/>
          <w:color w:val="auto"/>
          <w:sz w:val="32"/>
          <w:szCs w:val="32"/>
        </w:rPr>
        <w:t>；政府性基金预算财政拨款收入</w:t>
      </w:r>
      <w:r>
        <w:rPr>
          <w:rFonts w:hint="eastAsia" w:ascii="仿宋" w:hAnsi="仿宋" w:eastAsia="仿宋"/>
          <w:color w:val="auto"/>
          <w:sz w:val="32"/>
          <w:szCs w:val="32"/>
          <w:lang w:val="en-US" w:eastAsia="zh-CN"/>
        </w:rPr>
        <w:t>27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0.61</w:t>
      </w:r>
      <w:r>
        <w:rPr>
          <w:rFonts w:ascii="仿宋" w:hAnsi="仿宋" w:eastAsia="仿宋"/>
          <w:color w:val="auto"/>
          <w:sz w:val="32"/>
          <w:szCs w:val="32"/>
        </w:rPr>
        <w:t>%</w:t>
      </w:r>
      <w:r>
        <w:rPr>
          <w:rFonts w:hint="eastAsia" w:ascii="仿宋" w:hAnsi="仿宋" w:eastAsia="仿宋"/>
          <w:color w:val="auto"/>
          <w:sz w:val="32"/>
          <w:szCs w:val="32"/>
        </w:rPr>
        <w:t>；上级补助收入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；事业收入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；经营收入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；附属单位上缴收入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；其他收入</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w:t>
      </w:r>
    </w:p>
    <w:p w14:paraId="6F154C10">
      <w:pPr>
        <w:pStyle w:val="16"/>
        <w:pageBreakBefore w:val="0"/>
        <w:numPr>
          <w:ilvl w:val="0"/>
          <w:numId w:val="0"/>
        </w:numPr>
        <w:kinsoku/>
        <w:wordWrap/>
        <w:overflowPunct/>
        <w:topLinePunct w:val="0"/>
        <w:bidi w:val="0"/>
        <w:spacing w:line="578" w:lineRule="exact"/>
        <w:ind w:right="0" w:rightChars="0" w:firstLine="640" w:firstLineChars="200"/>
        <w:outlineLvl w:val="1"/>
        <w:rPr>
          <w:rStyle w:val="15"/>
          <w:rFonts w:ascii="黑体" w:hAnsi="黑体" w:eastAsia="黑体"/>
          <w:b w:val="0"/>
          <w:color w:val="auto"/>
        </w:rPr>
      </w:pPr>
      <w:bookmarkStart w:id="44" w:name="_Toc15377207"/>
      <w:bookmarkStart w:id="45" w:name="_Toc79163862"/>
      <w:bookmarkStart w:id="46" w:name="_Toc15396605"/>
      <w:bookmarkStart w:id="47" w:name="_Toc79163612"/>
      <w:r>
        <w:rPr>
          <w:rFonts w:hint="eastAsia" w:ascii="黑体" w:hAnsi="黑体" w:eastAsia="黑体"/>
          <w:color w:val="auto"/>
          <w:sz w:val="32"/>
          <w:szCs w:val="32"/>
          <w:lang w:eastAsia="zh-CN"/>
        </w:rPr>
        <w:t>三、</w:t>
      </w:r>
      <w:r>
        <w:rPr>
          <w:rFonts w:hint="eastAsia" w:ascii="黑体" w:hAnsi="黑体" w:eastAsia="黑体"/>
          <w:color w:val="auto"/>
          <w:sz w:val="32"/>
          <w:szCs w:val="32"/>
        </w:rPr>
        <w:t>支</w:t>
      </w:r>
      <w:r>
        <w:rPr>
          <w:rStyle w:val="15"/>
          <w:rFonts w:hint="eastAsia" w:ascii="黑体" w:hAnsi="黑体" w:eastAsia="黑体"/>
          <w:b w:val="0"/>
          <w:color w:val="auto"/>
        </w:rPr>
        <w:t>出决算情况说明</w:t>
      </w:r>
      <w:bookmarkEnd w:id="44"/>
      <w:bookmarkEnd w:id="45"/>
      <w:bookmarkEnd w:id="46"/>
      <w:bookmarkEnd w:id="47"/>
    </w:p>
    <w:p w14:paraId="2795B839">
      <w:pPr>
        <w:pageBreakBefore w:val="0"/>
        <w:kinsoku/>
        <w:wordWrap/>
        <w:overflowPunct/>
        <w:topLinePunct w:val="0"/>
        <w:bidi w:val="0"/>
        <w:spacing w:line="578" w:lineRule="exact"/>
        <w:ind w:left="0" w:leftChars="0" w:right="0" w:firstLine="640" w:firstLineChars="200"/>
        <w:rPr>
          <w:rFonts w:ascii="仿宋_GB2312" w:eastAsia="仿宋_GB2312"/>
          <w:color w:val="auto"/>
          <w:sz w:val="32"/>
          <w:szCs w:val="32"/>
        </w:rPr>
      </w:pPr>
      <w:r>
        <w:rPr>
          <w:rFonts w:ascii="仿宋_GB2312" w:eastAsia="仿宋_GB2312"/>
          <w:color w:val="auto"/>
          <w:sz w:val="32"/>
          <w:szCs w:val="32"/>
        </w:rPr>
        <w:t>2020</w:t>
      </w:r>
      <w:r>
        <w:rPr>
          <w:rFonts w:hint="eastAsia" w:ascii="仿宋_GB2312" w:eastAsia="仿宋_GB2312"/>
          <w:color w:val="auto"/>
          <w:sz w:val="32"/>
          <w:szCs w:val="32"/>
        </w:rPr>
        <w:t>年本年支出合计</w:t>
      </w:r>
      <w:r>
        <w:rPr>
          <w:rFonts w:hint="eastAsia" w:ascii="仿宋_GB2312" w:eastAsia="仿宋_GB2312"/>
          <w:color w:val="auto"/>
          <w:sz w:val="32"/>
          <w:szCs w:val="32"/>
          <w:lang w:val="en-US" w:eastAsia="zh-CN"/>
        </w:rPr>
        <w:t>3312.7</w:t>
      </w:r>
      <w:r>
        <w:rPr>
          <w:rFonts w:hint="eastAsia" w:ascii="仿宋_GB2312" w:eastAsia="仿宋_GB2312"/>
          <w:color w:val="auto"/>
          <w:sz w:val="32"/>
          <w:szCs w:val="32"/>
        </w:rPr>
        <w:t>万元，其中：基本支出</w:t>
      </w:r>
      <w:r>
        <w:rPr>
          <w:rFonts w:hint="eastAsia" w:ascii="仿宋_GB2312" w:eastAsia="仿宋_GB2312"/>
          <w:color w:val="auto"/>
          <w:sz w:val="32"/>
          <w:szCs w:val="32"/>
          <w:lang w:val="en-US" w:eastAsia="zh-CN"/>
        </w:rPr>
        <w:t>802.49</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24.22</w:t>
      </w:r>
      <w:r>
        <w:rPr>
          <w:rFonts w:ascii="仿宋_GB2312" w:eastAsia="仿宋_GB2312"/>
          <w:color w:val="auto"/>
          <w:sz w:val="32"/>
          <w:szCs w:val="32"/>
        </w:rPr>
        <w:t>%</w:t>
      </w:r>
      <w:r>
        <w:rPr>
          <w:rFonts w:hint="eastAsia" w:ascii="仿宋_GB2312" w:eastAsia="仿宋_GB2312"/>
          <w:color w:val="auto"/>
          <w:sz w:val="32"/>
          <w:szCs w:val="32"/>
        </w:rPr>
        <w:t>；项目支出</w:t>
      </w:r>
      <w:r>
        <w:rPr>
          <w:rFonts w:hint="eastAsia" w:ascii="仿宋_GB2312" w:eastAsia="仿宋_GB2312"/>
          <w:color w:val="auto"/>
          <w:sz w:val="32"/>
          <w:szCs w:val="32"/>
          <w:lang w:val="en-US" w:eastAsia="zh-CN"/>
        </w:rPr>
        <w:t>2510.21</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75.78</w:t>
      </w:r>
      <w:r>
        <w:rPr>
          <w:rFonts w:ascii="仿宋_GB2312" w:eastAsia="仿宋_GB2312"/>
          <w:color w:val="auto"/>
          <w:sz w:val="32"/>
          <w:szCs w:val="32"/>
        </w:rPr>
        <w:t>%</w:t>
      </w:r>
      <w:r>
        <w:rPr>
          <w:rFonts w:hint="eastAsia" w:ascii="仿宋_GB2312" w:eastAsia="仿宋_GB2312"/>
          <w:color w:val="auto"/>
          <w:sz w:val="32"/>
          <w:szCs w:val="32"/>
        </w:rPr>
        <w:t>；上缴上级支出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；经营支出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；对附属单位补助支出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p>
    <w:p w14:paraId="6864AAF9">
      <w:pPr>
        <w:pageBreakBefore w:val="0"/>
        <w:kinsoku/>
        <w:wordWrap/>
        <w:overflowPunct/>
        <w:topLinePunct w:val="0"/>
        <w:bidi w:val="0"/>
        <w:spacing w:line="578" w:lineRule="exact"/>
        <w:ind w:left="0" w:leftChars="0" w:right="0" w:firstLine="640" w:firstLineChars="200"/>
        <w:outlineLvl w:val="1"/>
        <w:rPr>
          <w:rStyle w:val="15"/>
          <w:rFonts w:ascii="黑体" w:hAnsi="黑体" w:eastAsia="黑体"/>
          <w:b w:val="0"/>
          <w:color w:val="auto"/>
        </w:rPr>
      </w:pPr>
      <w:bookmarkStart w:id="48" w:name="_Toc15377208"/>
      <w:bookmarkStart w:id="49" w:name="_Toc15396606"/>
      <w:bookmarkStart w:id="50" w:name="_Toc79163863"/>
      <w:bookmarkStart w:id="51" w:name="_Toc79163613"/>
      <w:r>
        <w:rPr>
          <w:rFonts w:hint="eastAsia" w:ascii="黑体" w:hAnsi="黑体" w:eastAsia="黑体"/>
          <w:color w:val="auto"/>
          <w:sz w:val="32"/>
          <w:szCs w:val="32"/>
        </w:rPr>
        <w:t>四、财</w:t>
      </w:r>
      <w:r>
        <w:rPr>
          <w:rStyle w:val="15"/>
          <w:rFonts w:hint="eastAsia" w:ascii="黑体" w:hAnsi="黑体" w:eastAsia="黑体"/>
          <w:b w:val="0"/>
          <w:color w:val="auto"/>
        </w:rPr>
        <w:t>政拨款收入支出决算总体情况说明</w:t>
      </w:r>
      <w:bookmarkEnd w:id="48"/>
      <w:bookmarkEnd w:id="49"/>
      <w:bookmarkEnd w:id="50"/>
      <w:bookmarkEnd w:id="51"/>
    </w:p>
    <w:p w14:paraId="017A3471">
      <w:pPr>
        <w:pageBreakBefore w:val="0"/>
        <w:kinsoku/>
        <w:wordWrap/>
        <w:overflowPunct/>
        <w:topLinePunct w:val="0"/>
        <w:bidi w:val="0"/>
        <w:spacing w:line="578" w:lineRule="exact"/>
        <w:ind w:left="0" w:leftChars="0" w:right="0" w:firstLine="640"/>
        <w:rPr>
          <w:rFonts w:ascii="仿宋" w:hAnsi="仿宋" w:eastAsia="仿宋"/>
          <w:b/>
          <w:color w:val="auto"/>
          <w:sz w:val="32"/>
          <w:szCs w:val="32"/>
        </w:rPr>
      </w:pPr>
      <w:r>
        <w:rPr>
          <w:rFonts w:ascii="仿宋" w:hAnsi="仿宋" w:eastAsia="仿宋"/>
          <w:color w:val="auto"/>
          <w:sz w:val="32"/>
          <w:szCs w:val="32"/>
        </w:rPr>
        <w:t>22020</w:t>
      </w:r>
      <w:r>
        <w:rPr>
          <w:rFonts w:hint="eastAsia" w:ascii="仿宋" w:hAnsi="仿宋" w:eastAsia="仿宋"/>
          <w:color w:val="auto"/>
          <w:sz w:val="32"/>
          <w:szCs w:val="32"/>
        </w:rPr>
        <w:t>年度收</w:t>
      </w:r>
      <w:r>
        <w:rPr>
          <w:rFonts w:hint="eastAsia" w:ascii="仿宋" w:hAnsi="仿宋" w:eastAsia="仿宋"/>
          <w:color w:val="auto"/>
          <w:sz w:val="32"/>
          <w:szCs w:val="32"/>
          <w:lang w:eastAsia="zh-CN"/>
        </w:rPr>
        <w:t>入</w:t>
      </w:r>
      <w:r>
        <w:rPr>
          <w:rFonts w:hint="eastAsia" w:ascii="仿宋" w:hAnsi="仿宋" w:eastAsia="仿宋"/>
          <w:color w:val="auto"/>
          <w:sz w:val="32"/>
          <w:szCs w:val="32"/>
        </w:rPr>
        <w:t>总计</w:t>
      </w:r>
      <w:r>
        <w:rPr>
          <w:rFonts w:hint="eastAsia" w:ascii="仿宋" w:hAnsi="仿宋" w:eastAsia="仿宋"/>
          <w:color w:val="auto"/>
          <w:sz w:val="32"/>
          <w:szCs w:val="32"/>
          <w:lang w:val="en-US" w:eastAsia="zh-CN"/>
        </w:rPr>
        <w:t>4444.1</w:t>
      </w:r>
      <w:r>
        <w:rPr>
          <w:rFonts w:hint="eastAsia" w:ascii="仿宋" w:hAnsi="仿宋" w:eastAsia="仿宋"/>
          <w:color w:val="auto"/>
          <w:sz w:val="32"/>
          <w:szCs w:val="32"/>
        </w:rPr>
        <w:t>万元</w:t>
      </w:r>
      <w:r>
        <w:rPr>
          <w:rFonts w:hint="eastAsia" w:ascii="仿宋" w:hAnsi="仿宋" w:eastAsia="仿宋"/>
          <w:color w:val="auto"/>
          <w:sz w:val="32"/>
          <w:szCs w:val="32"/>
          <w:lang w:eastAsia="zh-CN"/>
        </w:rPr>
        <w:t>、支出总计</w:t>
      </w:r>
      <w:r>
        <w:rPr>
          <w:rFonts w:hint="eastAsia" w:ascii="仿宋" w:hAnsi="仿宋" w:eastAsia="仿宋"/>
          <w:color w:val="auto"/>
          <w:sz w:val="32"/>
          <w:szCs w:val="32"/>
          <w:lang w:val="en-US" w:eastAsia="zh-CN"/>
        </w:rPr>
        <w:t>3312.71万元，结余资金1131.39万元</w:t>
      </w:r>
      <w:r>
        <w:rPr>
          <w:rFonts w:hint="eastAsia" w:ascii="仿宋" w:hAnsi="仿宋" w:eastAsia="仿宋"/>
          <w:color w:val="auto"/>
          <w:sz w:val="32"/>
          <w:szCs w:val="32"/>
        </w:rPr>
        <w:t>。与</w:t>
      </w:r>
      <w:r>
        <w:rPr>
          <w:rFonts w:ascii="仿宋" w:hAnsi="仿宋" w:eastAsia="仿宋"/>
          <w:color w:val="auto"/>
          <w:sz w:val="32"/>
          <w:szCs w:val="32"/>
        </w:rPr>
        <w:t>2019</w:t>
      </w:r>
      <w:r>
        <w:rPr>
          <w:rFonts w:hint="eastAsia" w:ascii="仿宋" w:hAnsi="仿宋" w:eastAsia="仿宋"/>
          <w:color w:val="auto"/>
          <w:sz w:val="32"/>
          <w:szCs w:val="32"/>
        </w:rPr>
        <w:t>年相比，收</w:t>
      </w:r>
      <w:r>
        <w:rPr>
          <w:rFonts w:hint="eastAsia" w:ascii="仿宋" w:hAnsi="仿宋" w:eastAsia="仿宋"/>
          <w:color w:val="auto"/>
          <w:sz w:val="32"/>
          <w:szCs w:val="32"/>
          <w:lang w:eastAsia="zh-CN"/>
        </w:rPr>
        <w:t>入</w:t>
      </w:r>
      <w:r>
        <w:rPr>
          <w:rFonts w:hint="eastAsia" w:ascii="仿宋" w:hAnsi="仿宋" w:eastAsia="仿宋"/>
          <w:color w:val="auto"/>
          <w:sz w:val="32"/>
          <w:szCs w:val="32"/>
        </w:rPr>
        <w:t>总计减少</w:t>
      </w:r>
      <w:r>
        <w:rPr>
          <w:rFonts w:hint="eastAsia" w:ascii="仿宋" w:hAnsi="仿宋" w:eastAsia="仿宋"/>
          <w:color w:val="auto"/>
          <w:sz w:val="32"/>
          <w:szCs w:val="32"/>
          <w:lang w:val="en-US" w:eastAsia="zh-CN"/>
        </w:rPr>
        <w:t>87.08</w:t>
      </w:r>
      <w:r>
        <w:rPr>
          <w:rFonts w:hint="eastAsia" w:ascii="仿宋" w:hAnsi="仿宋" w:eastAsia="仿宋"/>
          <w:color w:val="auto"/>
          <w:sz w:val="32"/>
          <w:szCs w:val="32"/>
        </w:rPr>
        <w:t>万元，下降</w:t>
      </w:r>
      <w:r>
        <w:rPr>
          <w:rFonts w:hint="eastAsia" w:ascii="仿宋" w:hAnsi="仿宋" w:eastAsia="仿宋"/>
          <w:color w:val="auto"/>
          <w:sz w:val="32"/>
          <w:szCs w:val="32"/>
          <w:lang w:val="en-US" w:eastAsia="zh-CN"/>
        </w:rPr>
        <w:t>1.92</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遵循中央八项规定，节能减排。支出总计增加</w:t>
      </w:r>
      <w:r>
        <w:rPr>
          <w:rFonts w:hint="eastAsia" w:ascii="仿宋" w:hAnsi="仿宋" w:eastAsia="仿宋"/>
          <w:color w:val="auto"/>
          <w:sz w:val="32"/>
          <w:szCs w:val="32"/>
          <w:lang w:val="en-US" w:eastAsia="zh-CN"/>
        </w:rPr>
        <w:t>373.51万元，上升12.71%。主要变动原因为东西山项目完工，结付工程款。</w:t>
      </w:r>
    </w:p>
    <w:p w14:paraId="20E6BB9F">
      <w:pPr>
        <w:pageBreakBefore w:val="0"/>
        <w:kinsoku/>
        <w:wordWrap/>
        <w:overflowPunct/>
        <w:topLinePunct w:val="0"/>
        <w:bidi w:val="0"/>
        <w:spacing w:line="578" w:lineRule="exact"/>
        <w:ind w:left="0" w:leftChars="0" w:right="0" w:firstLine="640" w:firstLineChars="200"/>
        <w:outlineLvl w:val="1"/>
        <w:rPr>
          <w:rStyle w:val="15"/>
          <w:rFonts w:ascii="黑体" w:hAnsi="黑体" w:eastAsia="黑体"/>
          <w:b w:val="0"/>
          <w:color w:val="auto"/>
        </w:rPr>
      </w:pPr>
      <w:bookmarkStart w:id="52" w:name="_Toc15396607"/>
      <w:bookmarkStart w:id="53" w:name="_Toc15377209"/>
      <w:bookmarkStart w:id="54" w:name="_Toc79163864"/>
      <w:bookmarkStart w:id="55" w:name="_Toc79163614"/>
      <w:r>
        <w:rPr>
          <w:rFonts w:hint="eastAsia" w:ascii="黑体" w:hAnsi="黑体" w:eastAsia="黑体"/>
          <w:color w:val="auto"/>
          <w:sz w:val="32"/>
          <w:szCs w:val="32"/>
        </w:rPr>
        <w:t>五、</w:t>
      </w:r>
      <w:r>
        <w:rPr>
          <w:rFonts w:hint="eastAsia" w:ascii="黑体" w:hAnsi="黑体" w:eastAsia="黑体"/>
          <w:b/>
          <w:color w:val="auto"/>
          <w:sz w:val="32"/>
          <w:szCs w:val="32"/>
        </w:rPr>
        <w:t>一</w:t>
      </w:r>
      <w:r>
        <w:rPr>
          <w:rStyle w:val="15"/>
          <w:rFonts w:hint="eastAsia" w:ascii="黑体" w:hAnsi="黑体" w:eastAsia="黑体"/>
          <w:b w:val="0"/>
          <w:color w:val="auto"/>
        </w:rPr>
        <w:t>般公共预算财政拨款支出决算情况说明</w:t>
      </w:r>
      <w:bookmarkEnd w:id="52"/>
      <w:bookmarkEnd w:id="53"/>
      <w:bookmarkEnd w:id="54"/>
      <w:bookmarkEnd w:id="55"/>
    </w:p>
    <w:p w14:paraId="1650CA4D">
      <w:pPr>
        <w:pageBreakBefore w:val="0"/>
        <w:kinsoku/>
        <w:wordWrap/>
        <w:overflowPunct/>
        <w:topLinePunct w:val="0"/>
        <w:bidi w:val="0"/>
        <w:spacing w:line="578" w:lineRule="exact"/>
        <w:ind w:left="0" w:leftChars="0" w:right="0" w:firstLine="643" w:firstLineChars="200"/>
        <w:outlineLvl w:val="2"/>
        <w:rPr>
          <w:rFonts w:hint="eastAsia" w:ascii="楷体_GB2312" w:hAnsi="楷体_GB2312" w:eastAsia="楷体_GB2312" w:cs="楷体_GB2312"/>
          <w:b/>
          <w:color w:val="auto"/>
          <w:sz w:val="32"/>
          <w:szCs w:val="32"/>
        </w:rPr>
      </w:pPr>
      <w:bookmarkStart w:id="56" w:name="_Toc15377210"/>
      <w:bookmarkStart w:id="57" w:name="_Toc79163865"/>
      <w:bookmarkStart w:id="58" w:name="_Toc79163615"/>
      <w:r>
        <w:rPr>
          <w:rFonts w:hint="eastAsia" w:ascii="楷体_GB2312" w:hAnsi="楷体_GB2312" w:eastAsia="楷体_GB2312" w:cs="楷体_GB2312"/>
          <w:b/>
          <w:color w:val="auto"/>
          <w:sz w:val="32"/>
          <w:szCs w:val="32"/>
        </w:rPr>
        <w:t>（一）一般公共预算财政拨款支出决算总体情况</w:t>
      </w:r>
      <w:bookmarkEnd w:id="56"/>
      <w:bookmarkEnd w:id="57"/>
      <w:bookmarkEnd w:id="58"/>
    </w:p>
    <w:p w14:paraId="43812CF4">
      <w:pPr>
        <w:pageBreakBefore w:val="0"/>
        <w:kinsoku/>
        <w:wordWrap/>
        <w:overflowPunct/>
        <w:topLinePunct w:val="0"/>
        <w:bidi w:val="0"/>
        <w:spacing w:line="578" w:lineRule="exact"/>
        <w:ind w:left="0" w:leftChars="0" w:right="0" w:firstLine="640" w:firstLineChars="200"/>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3303.62</w:t>
      </w:r>
      <w:r>
        <w:rPr>
          <w:rFonts w:hint="eastAsia" w:ascii="仿宋" w:hAnsi="仿宋" w:eastAsia="仿宋"/>
          <w:color w:val="auto"/>
          <w:sz w:val="32"/>
          <w:szCs w:val="32"/>
        </w:rPr>
        <w:t>万元，占本年支出合计的</w:t>
      </w:r>
      <w:r>
        <w:rPr>
          <w:rFonts w:hint="eastAsia" w:ascii="仿宋" w:hAnsi="仿宋" w:eastAsia="仿宋"/>
          <w:color w:val="auto"/>
          <w:sz w:val="32"/>
          <w:szCs w:val="32"/>
          <w:lang w:val="en-US" w:eastAsia="zh-CN"/>
        </w:rPr>
        <w:t>99.72</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2019</w:t>
      </w:r>
      <w:r>
        <w:rPr>
          <w:rFonts w:hint="eastAsia" w:ascii="仿宋" w:hAnsi="仿宋" w:eastAsia="仿宋"/>
          <w:color w:val="auto"/>
          <w:sz w:val="32"/>
          <w:szCs w:val="32"/>
        </w:rPr>
        <w:t>年相比，一般公共预算财政拨款增加</w:t>
      </w:r>
      <w:r>
        <w:rPr>
          <w:rFonts w:hint="eastAsia" w:ascii="仿宋" w:hAnsi="仿宋" w:eastAsia="仿宋"/>
          <w:color w:val="auto"/>
          <w:sz w:val="32"/>
          <w:szCs w:val="32"/>
          <w:lang w:val="en-US" w:eastAsia="zh-CN"/>
        </w:rPr>
        <w:t>453.22</w:t>
      </w:r>
      <w:r>
        <w:rPr>
          <w:rFonts w:hint="eastAsia" w:ascii="仿宋" w:hAnsi="仿宋" w:eastAsia="仿宋"/>
          <w:color w:val="auto"/>
          <w:sz w:val="32"/>
          <w:szCs w:val="32"/>
        </w:rPr>
        <w:t>万元，增长</w:t>
      </w:r>
      <w:r>
        <w:rPr>
          <w:rFonts w:hint="eastAsia" w:ascii="仿宋" w:hAnsi="仿宋" w:eastAsia="仿宋"/>
          <w:color w:val="auto"/>
          <w:sz w:val="32"/>
          <w:szCs w:val="32"/>
          <w:lang w:val="en-US" w:eastAsia="zh-CN"/>
        </w:rPr>
        <w:t>15.9</w:t>
      </w:r>
      <w:r>
        <w:rPr>
          <w:rFonts w:ascii="仿宋" w:hAnsi="仿宋" w:eastAsia="仿宋"/>
          <w:color w:val="auto"/>
          <w:sz w:val="32"/>
          <w:szCs w:val="32"/>
        </w:rPr>
        <w:t>%</w:t>
      </w:r>
      <w:r>
        <w:rPr>
          <w:rFonts w:hint="eastAsia" w:ascii="仿宋" w:hAnsi="仿宋" w:eastAsia="仿宋"/>
          <w:color w:val="auto"/>
          <w:sz w:val="32"/>
          <w:szCs w:val="32"/>
        </w:rPr>
        <w:t>。主要变动原因是</w:t>
      </w:r>
      <w:r>
        <w:rPr>
          <w:rFonts w:hint="eastAsia" w:ascii="仿宋" w:hAnsi="仿宋" w:eastAsia="仿宋"/>
          <w:color w:val="auto"/>
          <w:sz w:val="32"/>
          <w:szCs w:val="32"/>
          <w:lang w:val="en-US" w:eastAsia="zh-CN"/>
        </w:rPr>
        <w:t>东西山项目完工，结付工程款。</w:t>
      </w:r>
    </w:p>
    <w:p w14:paraId="49F6E06C">
      <w:pPr>
        <w:pageBreakBefore w:val="0"/>
        <w:kinsoku/>
        <w:wordWrap/>
        <w:overflowPunct/>
        <w:topLinePunct w:val="0"/>
        <w:bidi w:val="0"/>
        <w:spacing w:line="578" w:lineRule="exact"/>
        <w:ind w:left="0" w:leftChars="0" w:right="0" w:firstLine="643" w:firstLineChars="200"/>
        <w:outlineLvl w:val="2"/>
        <w:rPr>
          <w:rFonts w:hint="eastAsia" w:ascii="楷体_GB2312" w:hAnsi="楷体_GB2312" w:eastAsia="楷体_GB2312" w:cs="楷体_GB2312"/>
          <w:b/>
          <w:color w:val="auto"/>
          <w:sz w:val="32"/>
          <w:szCs w:val="32"/>
        </w:rPr>
      </w:pPr>
      <w:bookmarkStart w:id="59" w:name="_Toc15377211"/>
      <w:bookmarkStart w:id="60" w:name="_Toc79163866"/>
      <w:bookmarkStart w:id="61" w:name="_Toc79163616"/>
      <w:r>
        <w:rPr>
          <w:rFonts w:hint="eastAsia" w:ascii="楷体_GB2312" w:hAnsi="楷体_GB2312" w:eastAsia="楷体_GB2312" w:cs="楷体_GB2312"/>
          <w:b/>
          <w:color w:val="auto"/>
          <w:sz w:val="32"/>
          <w:szCs w:val="32"/>
        </w:rPr>
        <w:t>（二）一般公共预算财政拨款支出决算结构情况</w:t>
      </w:r>
      <w:bookmarkEnd w:id="59"/>
      <w:bookmarkEnd w:id="60"/>
      <w:bookmarkEnd w:id="61"/>
    </w:p>
    <w:p w14:paraId="57EA9A66">
      <w:pPr>
        <w:pageBreakBefore w:val="0"/>
        <w:kinsoku/>
        <w:wordWrap/>
        <w:overflowPunct/>
        <w:topLinePunct w:val="0"/>
        <w:bidi w:val="0"/>
        <w:spacing w:line="578" w:lineRule="exact"/>
        <w:ind w:left="0" w:leftChars="0" w:right="0" w:firstLine="640"/>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年一般公共预算财政拨款支出</w:t>
      </w:r>
      <w:r>
        <w:rPr>
          <w:rFonts w:hint="eastAsia" w:ascii="仿宋" w:hAnsi="仿宋" w:eastAsia="仿宋"/>
          <w:color w:val="auto"/>
          <w:sz w:val="32"/>
          <w:szCs w:val="32"/>
          <w:lang w:val="en-US" w:eastAsia="zh-CN"/>
        </w:rPr>
        <w:t>3303.62</w:t>
      </w:r>
      <w:r>
        <w:rPr>
          <w:rFonts w:hint="eastAsia" w:ascii="仿宋" w:hAnsi="仿宋" w:eastAsia="仿宋"/>
          <w:color w:val="auto"/>
          <w:sz w:val="32"/>
          <w:szCs w:val="32"/>
        </w:rPr>
        <w:t>万元，主要用于以下方面</w:t>
      </w:r>
      <w:r>
        <w:rPr>
          <w:rFonts w:hint="eastAsia" w:ascii="仿宋" w:hAnsi="仿宋" w:eastAsia="仿宋"/>
          <w:color w:val="auto"/>
          <w:sz w:val="32"/>
          <w:szCs w:val="32"/>
          <w:lang w:eastAsia="zh-CN"/>
        </w:rPr>
        <w:t>：</w:t>
      </w:r>
      <w:r>
        <w:rPr>
          <w:rFonts w:hint="eastAsia" w:ascii="仿宋" w:hAnsi="仿宋" w:eastAsia="仿宋"/>
          <w:b w:val="0"/>
          <w:bCs w:val="0"/>
          <w:color w:val="auto"/>
          <w:sz w:val="32"/>
          <w:szCs w:val="32"/>
        </w:rPr>
        <w:t>文化旅游体育与传媒（类）支出</w:t>
      </w:r>
      <w:r>
        <w:rPr>
          <w:rFonts w:hint="eastAsia" w:ascii="仿宋" w:hAnsi="仿宋" w:eastAsia="仿宋"/>
          <w:b w:val="0"/>
          <w:bCs w:val="0"/>
          <w:color w:val="auto"/>
          <w:sz w:val="32"/>
          <w:szCs w:val="32"/>
          <w:lang w:val="en-US" w:eastAsia="zh-CN"/>
        </w:rPr>
        <w:t>3111.77</w:t>
      </w:r>
      <w:r>
        <w:rPr>
          <w:rFonts w:hint="eastAsia" w:ascii="仿宋" w:hAnsi="仿宋" w:eastAsia="仿宋"/>
          <w:b w:val="0"/>
          <w:bCs w:val="0"/>
          <w:color w:val="auto"/>
          <w:sz w:val="32"/>
          <w:szCs w:val="32"/>
        </w:rPr>
        <w:t>万元，占</w:t>
      </w:r>
      <w:r>
        <w:rPr>
          <w:rFonts w:hint="eastAsia" w:ascii="仿宋" w:hAnsi="仿宋" w:eastAsia="仿宋"/>
          <w:b w:val="0"/>
          <w:bCs w:val="0"/>
          <w:color w:val="auto"/>
          <w:sz w:val="32"/>
          <w:szCs w:val="32"/>
          <w:lang w:val="en-US" w:eastAsia="zh-CN"/>
        </w:rPr>
        <w:t>94.19</w:t>
      </w:r>
      <w:r>
        <w:rPr>
          <w:rFonts w:ascii="仿宋" w:hAnsi="仿宋" w:eastAsia="仿宋"/>
          <w:b w:val="0"/>
          <w:bCs w:val="0"/>
          <w:color w:val="auto"/>
          <w:sz w:val="32"/>
          <w:szCs w:val="32"/>
        </w:rPr>
        <w:t>%</w:t>
      </w:r>
      <w:r>
        <w:rPr>
          <w:rFonts w:hint="eastAsia" w:ascii="仿宋" w:hAnsi="仿宋" w:eastAsia="仿宋"/>
          <w:b w:val="0"/>
          <w:bCs w:val="0"/>
          <w:color w:val="auto"/>
          <w:sz w:val="32"/>
          <w:szCs w:val="32"/>
        </w:rPr>
        <w:t>；</w:t>
      </w:r>
      <w:r>
        <w:rPr>
          <w:rFonts w:hint="eastAsia" w:ascii="仿宋" w:hAnsi="仿宋" w:eastAsia="仿宋"/>
          <w:b w:val="0"/>
          <w:bCs w:val="0"/>
          <w:color w:val="auto"/>
          <w:sz w:val="32"/>
          <w:szCs w:val="32"/>
          <w:lang w:eastAsia="zh-CN"/>
        </w:rPr>
        <w:t>农林水支出</w:t>
      </w:r>
      <w:r>
        <w:rPr>
          <w:rFonts w:hint="eastAsia" w:ascii="仿宋" w:hAnsi="仿宋" w:eastAsia="仿宋"/>
          <w:b w:val="0"/>
          <w:bCs w:val="0"/>
          <w:color w:val="auto"/>
          <w:sz w:val="32"/>
          <w:szCs w:val="32"/>
          <w:lang w:val="en-US" w:eastAsia="zh-CN"/>
        </w:rPr>
        <w:t>3.5万，占0.11%</w:t>
      </w:r>
      <w:r>
        <w:rPr>
          <w:rFonts w:hint="eastAsia" w:ascii="仿宋" w:hAnsi="仿宋" w:eastAsia="仿宋"/>
          <w:b w:val="0"/>
          <w:bCs w:val="0"/>
          <w:color w:val="auto"/>
          <w:sz w:val="32"/>
          <w:szCs w:val="32"/>
        </w:rPr>
        <w:t>社会保障和就业（类）支出</w:t>
      </w:r>
      <w:r>
        <w:rPr>
          <w:rFonts w:hint="eastAsia" w:ascii="仿宋" w:hAnsi="仿宋" w:eastAsia="仿宋"/>
          <w:b w:val="0"/>
          <w:bCs w:val="0"/>
          <w:color w:val="auto"/>
          <w:sz w:val="32"/>
          <w:szCs w:val="32"/>
          <w:lang w:val="en-US" w:eastAsia="zh-CN"/>
        </w:rPr>
        <w:t>87.69</w:t>
      </w:r>
      <w:r>
        <w:rPr>
          <w:rFonts w:hint="eastAsia" w:ascii="仿宋" w:hAnsi="仿宋" w:eastAsia="仿宋"/>
          <w:b w:val="0"/>
          <w:bCs w:val="0"/>
          <w:color w:val="auto"/>
          <w:sz w:val="32"/>
          <w:szCs w:val="32"/>
        </w:rPr>
        <w:t>万元，占</w:t>
      </w:r>
      <w:r>
        <w:rPr>
          <w:rFonts w:hint="eastAsia" w:ascii="仿宋" w:hAnsi="仿宋" w:eastAsia="仿宋"/>
          <w:b w:val="0"/>
          <w:bCs w:val="0"/>
          <w:color w:val="auto"/>
          <w:sz w:val="32"/>
          <w:szCs w:val="32"/>
          <w:lang w:val="en-US" w:eastAsia="zh-CN"/>
        </w:rPr>
        <w:t>2.65</w:t>
      </w:r>
      <w:r>
        <w:rPr>
          <w:rFonts w:ascii="仿宋" w:hAnsi="仿宋" w:eastAsia="仿宋"/>
          <w:b w:val="0"/>
          <w:bCs w:val="0"/>
          <w:color w:val="auto"/>
          <w:sz w:val="32"/>
          <w:szCs w:val="32"/>
        </w:rPr>
        <w:t>%</w:t>
      </w:r>
      <w:r>
        <w:rPr>
          <w:rFonts w:hint="eastAsia" w:ascii="仿宋" w:hAnsi="仿宋" w:eastAsia="仿宋"/>
          <w:b w:val="0"/>
          <w:bCs w:val="0"/>
          <w:color w:val="auto"/>
          <w:sz w:val="32"/>
          <w:szCs w:val="32"/>
        </w:rPr>
        <w:t>；卫生健康支出</w:t>
      </w:r>
      <w:r>
        <w:rPr>
          <w:rFonts w:hint="eastAsia" w:ascii="仿宋" w:hAnsi="仿宋" w:eastAsia="仿宋"/>
          <w:b w:val="0"/>
          <w:bCs w:val="0"/>
          <w:color w:val="auto"/>
          <w:sz w:val="32"/>
          <w:szCs w:val="32"/>
          <w:lang w:val="en-US" w:eastAsia="zh-CN"/>
        </w:rPr>
        <w:t>39.35</w:t>
      </w:r>
      <w:r>
        <w:rPr>
          <w:rFonts w:hint="eastAsia" w:ascii="仿宋" w:hAnsi="仿宋" w:eastAsia="仿宋"/>
          <w:b w:val="0"/>
          <w:bCs w:val="0"/>
          <w:color w:val="auto"/>
          <w:sz w:val="32"/>
          <w:szCs w:val="32"/>
        </w:rPr>
        <w:t>万元，占</w:t>
      </w:r>
      <w:r>
        <w:rPr>
          <w:rFonts w:hint="eastAsia" w:ascii="仿宋" w:hAnsi="仿宋" w:eastAsia="仿宋"/>
          <w:b w:val="0"/>
          <w:bCs w:val="0"/>
          <w:color w:val="auto"/>
          <w:sz w:val="32"/>
          <w:szCs w:val="32"/>
          <w:lang w:val="en-US" w:eastAsia="zh-CN"/>
        </w:rPr>
        <w:t>1.19</w:t>
      </w:r>
      <w:r>
        <w:rPr>
          <w:rFonts w:ascii="仿宋" w:hAnsi="仿宋" w:eastAsia="仿宋"/>
          <w:b w:val="0"/>
          <w:bCs w:val="0"/>
          <w:color w:val="auto"/>
          <w:sz w:val="32"/>
          <w:szCs w:val="32"/>
        </w:rPr>
        <w:t>%</w:t>
      </w:r>
      <w:r>
        <w:rPr>
          <w:rFonts w:hint="eastAsia" w:ascii="仿宋" w:hAnsi="仿宋" w:eastAsia="仿宋"/>
          <w:b w:val="0"/>
          <w:bCs w:val="0"/>
          <w:color w:val="auto"/>
          <w:sz w:val="32"/>
          <w:szCs w:val="32"/>
        </w:rPr>
        <w:t>；住房保障支出</w:t>
      </w:r>
      <w:r>
        <w:rPr>
          <w:rFonts w:hint="eastAsia" w:ascii="仿宋" w:hAnsi="仿宋" w:eastAsia="仿宋"/>
          <w:b w:val="0"/>
          <w:bCs w:val="0"/>
          <w:color w:val="auto"/>
          <w:sz w:val="32"/>
          <w:szCs w:val="32"/>
          <w:lang w:val="en-US" w:eastAsia="zh-CN"/>
        </w:rPr>
        <w:t>61.31</w:t>
      </w:r>
      <w:r>
        <w:rPr>
          <w:rFonts w:hint="eastAsia" w:ascii="仿宋" w:hAnsi="仿宋" w:eastAsia="仿宋"/>
          <w:b w:val="0"/>
          <w:bCs w:val="0"/>
          <w:color w:val="auto"/>
          <w:sz w:val="32"/>
          <w:szCs w:val="32"/>
        </w:rPr>
        <w:t>万元，占</w:t>
      </w:r>
      <w:r>
        <w:rPr>
          <w:rFonts w:hint="eastAsia" w:ascii="仿宋" w:hAnsi="仿宋" w:eastAsia="仿宋"/>
          <w:b w:val="0"/>
          <w:bCs w:val="0"/>
          <w:color w:val="auto"/>
          <w:sz w:val="32"/>
          <w:szCs w:val="32"/>
          <w:lang w:val="en-US" w:eastAsia="zh-CN"/>
        </w:rPr>
        <w:t>1.86</w:t>
      </w:r>
      <w:r>
        <w:rPr>
          <w:rFonts w:ascii="仿宋" w:hAnsi="仿宋" w:eastAsia="仿宋"/>
          <w:b w:val="0"/>
          <w:bCs w:val="0"/>
          <w:color w:val="auto"/>
          <w:sz w:val="32"/>
          <w:szCs w:val="32"/>
        </w:rPr>
        <w:t>%</w:t>
      </w:r>
      <w:r>
        <w:rPr>
          <w:rFonts w:hint="eastAsia" w:ascii="仿宋" w:hAnsi="仿宋" w:eastAsia="仿宋"/>
          <w:b w:val="0"/>
          <w:bCs w:val="0"/>
          <w:color w:val="auto"/>
          <w:sz w:val="32"/>
          <w:szCs w:val="32"/>
        </w:rPr>
        <w:t>；</w:t>
      </w:r>
    </w:p>
    <w:p w14:paraId="43EC99AE">
      <w:pPr>
        <w:pageBreakBefore w:val="0"/>
        <w:kinsoku/>
        <w:wordWrap/>
        <w:overflowPunct/>
        <w:topLinePunct w:val="0"/>
        <w:bidi w:val="0"/>
        <w:spacing w:line="578" w:lineRule="exact"/>
        <w:ind w:left="0" w:leftChars="0" w:right="0" w:firstLine="643" w:firstLineChars="200"/>
        <w:outlineLvl w:val="2"/>
        <w:rPr>
          <w:rFonts w:hint="eastAsia" w:ascii="楷体_GB2312" w:hAnsi="楷体_GB2312" w:eastAsia="楷体_GB2312" w:cs="楷体_GB2312"/>
          <w:b/>
          <w:color w:val="auto"/>
          <w:sz w:val="32"/>
          <w:szCs w:val="32"/>
        </w:rPr>
      </w:pPr>
      <w:bookmarkStart w:id="62" w:name="_Toc79163867"/>
      <w:bookmarkStart w:id="63" w:name="_Toc79163617"/>
      <w:bookmarkStart w:id="64" w:name="_Toc15377212"/>
      <w:r>
        <w:rPr>
          <w:rFonts w:hint="eastAsia" w:ascii="楷体_GB2312" w:hAnsi="楷体_GB2312" w:eastAsia="楷体_GB2312" w:cs="楷体_GB2312"/>
          <w:b/>
          <w:color w:val="auto"/>
          <w:sz w:val="32"/>
          <w:szCs w:val="32"/>
        </w:rPr>
        <w:t>（三）一般公共预算财政拨款支出决算具体情况</w:t>
      </w:r>
      <w:bookmarkEnd w:id="62"/>
      <w:bookmarkEnd w:id="63"/>
      <w:bookmarkEnd w:id="64"/>
    </w:p>
    <w:p w14:paraId="197B71CF">
      <w:pPr>
        <w:pageBreakBefore w:val="0"/>
        <w:kinsoku/>
        <w:wordWrap/>
        <w:overflowPunct/>
        <w:topLinePunct w:val="0"/>
        <w:bidi w:val="0"/>
        <w:spacing w:line="578" w:lineRule="exact"/>
        <w:ind w:left="0" w:leftChars="0" w:right="0" w:firstLine="643" w:firstLineChars="200"/>
        <w:rPr>
          <w:rFonts w:ascii="仿宋_GB2312" w:eastAsia="仿宋_GB2312"/>
          <w:b/>
          <w:bCs/>
          <w:color w:val="auto"/>
          <w:sz w:val="32"/>
          <w:szCs w:val="32"/>
        </w:rPr>
      </w:pPr>
      <w:bookmarkStart w:id="65" w:name="_Toc15377213"/>
      <w:bookmarkStart w:id="66" w:name="_Toc15378460"/>
      <w:bookmarkStart w:id="67" w:name="_Toc15377444"/>
      <w:r>
        <w:rPr>
          <w:rFonts w:ascii="仿宋_GB2312" w:eastAsia="仿宋_GB2312"/>
          <w:b/>
          <w:bCs/>
          <w:color w:val="auto"/>
          <w:sz w:val="32"/>
          <w:szCs w:val="32"/>
        </w:rPr>
        <w:t>2020</w:t>
      </w:r>
      <w:r>
        <w:rPr>
          <w:rFonts w:hint="eastAsia" w:ascii="仿宋_GB2312" w:eastAsia="仿宋_GB2312"/>
          <w:b/>
          <w:bCs/>
          <w:color w:val="auto"/>
          <w:sz w:val="32"/>
          <w:szCs w:val="32"/>
        </w:rPr>
        <w:t>年一般公共预算支出决算数为</w:t>
      </w:r>
      <w:r>
        <w:rPr>
          <w:rFonts w:hint="eastAsia" w:ascii="仿宋_GB2312" w:eastAsia="仿宋_GB2312"/>
          <w:b/>
          <w:bCs/>
          <w:color w:val="auto"/>
          <w:sz w:val="32"/>
          <w:szCs w:val="32"/>
          <w:lang w:val="en-US" w:eastAsia="zh-CN"/>
        </w:rPr>
        <w:t>3303.62</w:t>
      </w:r>
      <w:r>
        <w:rPr>
          <w:rFonts w:hint="eastAsia" w:ascii="仿宋_GB2312" w:eastAsia="仿宋_GB2312"/>
          <w:b/>
          <w:bCs/>
          <w:color w:val="auto"/>
          <w:sz w:val="32"/>
          <w:szCs w:val="32"/>
        </w:rPr>
        <w:t>，完成预算</w:t>
      </w:r>
      <w:r>
        <w:rPr>
          <w:rFonts w:hint="eastAsia" w:ascii="仿宋_GB2312" w:eastAsia="仿宋_GB2312"/>
          <w:b/>
          <w:bCs/>
          <w:color w:val="auto"/>
          <w:sz w:val="32"/>
          <w:szCs w:val="32"/>
          <w:lang w:val="en-US" w:eastAsia="zh-CN"/>
        </w:rPr>
        <w:t>100</w:t>
      </w:r>
      <w:r>
        <w:rPr>
          <w:rFonts w:ascii="仿宋_GB2312" w:eastAsia="仿宋_GB2312"/>
          <w:b/>
          <w:bCs/>
          <w:color w:val="auto"/>
          <w:sz w:val="32"/>
          <w:szCs w:val="32"/>
        </w:rPr>
        <w:t>%</w:t>
      </w:r>
      <w:r>
        <w:rPr>
          <w:rFonts w:hint="eastAsia" w:ascii="仿宋_GB2312" w:eastAsia="仿宋_GB2312"/>
          <w:b/>
          <w:bCs/>
          <w:color w:val="auto"/>
          <w:sz w:val="32"/>
          <w:szCs w:val="32"/>
        </w:rPr>
        <w:t>。其中：</w:t>
      </w:r>
      <w:bookmarkEnd w:id="65"/>
      <w:bookmarkEnd w:id="66"/>
      <w:bookmarkEnd w:id="67"/>
    </w:p>
    <w:p w14:paraId="72A003B2">
      <w:pPr>
        <w:pageBreakBefore w:val="0"/>
        <w:numPr>
          <w:ilvl w:val="0"/>
          <w:numId w:val="0"/>
        </w:numPr>
        <w:kinsoku/>
        <w:wordWrap/>
        <w:overflowPunct/>
        <w:topLinePunct w:val="0"/>
        <w:bidi w:val="0"/>
        <w:spacing w:line="578" w:lineRule="exact"/>
        <w:ind w:right="0" w:rightChars="0" w:firstLine="643" w:firstLineChars="200"/>
        <w:rPr>
          <w:rStyle w:val="13"/>
          <w:rFonts w:hint="eastAsia" w:ascii="仿宋" w:hAnsi="仿宋" w:eastAsia="仿宋"/>
          <w:bCs/>
          <w:color w:val="auto"/>
          <w:sz w:val="32"/>
          <w:szCs w:val="32"/>
        </w:rPr>
      </w:pPr>
      <w:r>
        <w:rPr>
          <w:rStyle w:val="13"/>
          <w:rFonts w:hint="eastAsia" w:ascii="仿宋" w:hAnsi="仿宋" w:eastAsia="仿宋"/>
          <w:bCs/>
          <w:color w:val="auto"/>
          <w:sz w:val="32"/>
          <w:szCs w:val="32"/>
          <w:lang w:val="en-US" w:eastAsia="zh-CN"/>
        </w:rPr>
        <w:t>1、</w:t>
      </w:r>
      <w:r>
        <w:rPr>
          <w:rStyle w:val="13"/>
          <w:rFonts w:hint="eastAsia" w:ascii="仿宋" w:hAnsi="仿宋" w:eastAsia="仿宋"/>
          <w:bCs/>
          <w:color w:val="auto"/>
          <w:sz w:val="32"/>
          <w:szCs w:val="32"/>
        </w:rPr>
        <w:t>文化旅游体育与传媒</w:t>
      </w:r>
    </w:p>
    <w:p w14:paraId="7CDE6A51">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2070101行政运行20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578.05</w:t>
      </w:r>
      <w:r>
        <w:rPr>
          <w:rFonts w:hint="eastAsia" w:ascii="仿宋" w:hAnsi="仿宋" w:eastAsia="仿宋"/>
          <w:color w:val="auto"/>
          <w:sz w:val="32"/>
          <w:szCs w:val="32"/>
        </w:rPr>
        <w:t xml:space="preserve">万元，完成预算100%。 </w:t>
      </w:r>
    </w:p>
    <w:p w14:paraId="7DA4317A">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2070111文化创作与保护20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69.7</w:t>
      </w:r>
      <w:r>
        <w:rPr>
          <w:rFonts w:hint="eastAsia" w:ascii="仿宋" w:hAnsi="仿宋" w:eastAsia="仿宋"/>
          <w:color w:val="auto"/>
          <w:sz w:val="32"/>
          <w:szCs w:val="32"/>
        </w:rPr>
        <w:t>万元，完成预算100%。</w:t>
      </w:r>
    </w:p>
    <w:p w14:paraId="734D4B09">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lang w:eastAsia="zh-CN"/>
        </w:rPr>
      </w:pPr>
      <w:r>
        <w:rPr>
          <w:rFonts w:hint="eastAsia" w:ascii="仿宋" w:hAnsi="仿宋" w:eastAsia="仿宋"/>
          <w:color w:val="auto"/>
          <w:sz w:val="32"/>
          <w:szCs w:val="32"/>
        </w:rPr>
        <w:t>2070199其他文化和旅游支出20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2309.18</w:t>
      </w:r>
      <w:r>
        <w:rPr>
          <w:rFonts w:hint="eastAsia" w:ascii="仿宋" w:hAnsi="仿宋" w:eastAsia="仿宋"/>
          <w:color w:val="auto"/>
          <w:sz w:val="32"/>
          <w:szCs w:val="32"/>
        </w:rPr>
        <w:t>万元，完成预算</w:t>
      </w:r>
      <w:r>
        <w:rPr>
          <w:rFonts w:hint="eastAsia" w:ascii="仿宋" w:hAnsi="仿宋" w:eastAsia="仿宋"/>
          <w:color w:val="auto"/>
          <w:sz w:val="32"/>
          <w:szCs w:val="32"/>
          <w:lang w:val="en-US" w:eastAsia="zh-CN"/>
        </w:rPr>
        <w:t>73.64</w:t>
      </w:r>
      <w:r>
        <w:rPr>
          <w:rFonts w:hint="eastAsia" w:ascii="仿宋" w:hAnsi="仿宋" w:eastAsia="仿宋"/>
          <w:color w:val="auto"/>
          <w:sz w:val="32"/>
          <w:szCs w:val="32"/>
        </w:rPr>
        <w:t>%。</w:t>
      </w:r>
      <w:r>
        <w:rPr>
          <w:rFonts w:hint="eastAsia" w:ascii="仿宋" w:hAnsi="仿宋" w:eastAsia="仿宋"/>
          <w:color w:val="auto"/>
          <w:sz w:val="32"/>
          <w:szCs w:val="32"/>
          <w:lang w:eastAsia="zh-CN"/>
        </w:rPr>
        <w:t>主要原因为单位项目资金增加，使得决算与调整预算数有差异。</w:t>
      </w:r>
    </w:p>
    <w:p w14:paraId="5329BEF4">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2070204文物保护20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年决算数为2</w:t>
      </w:r>
      <w:r>
        <w:rPr>
          <w:rFonts w:hint="eastAsia" w:ascii="仿宋" w:hAnsi="仿宋" w:eastAsia="仿宋"/>
          <w:color w:val="auto"/>
          <w:sz w:val="32"/>
          <w:szCs w:val="32"/>
          <w:lang w:val="en-US" w:eastAsia="zh-CN"/>
        </w:rPr>
        <w:t>.84</w:t>
      </w:r>
      <w:r>
        <w:rPr>
          <w:rFonts w:hint="eastAsia" w:ascii="仿宋" w:hAnsi="仿宋" w:eastAsia="仿宋"/>
          <w:color w:val="auto"/>
          <w:sz w:val="32"/>
          <w:szCs w:val="32"/>
        </w:rPr>
        <w:t>万元，完成预算100%。</w:t>
      </w:r>
    </w:p>
    <w:p w14:paraId="5E33B635">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2070307体育场馆20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104.45</w:t>
      </w:r>
      <w:r>
        <w:rPr>
          <w:rFonts w:hint="eastAsia" w:ascii="仿宋" w:hAnsi="仿宋" w:eastAsia="仿宋"/>
          <w:color w:val="auto"/>
          <w:sz w:val="32"/>
          <w:szCs w:val="32"/>
        </w:rPr>
        <w:t>万元，完成预算100%。</w:t>
      </w:r>
    </w:p>
    <w:p w14:paraId="58D6D43E">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2070399其他体育支出20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12</w:t>
      </w:r>
      <w:r>
        <w:rPr>
          <w:rFonts w:hint="eastAsia" w:ascii="仿宋" w:hAnsi="仿宋" w:eastAsia="仿宋"/>
          <w:color w:val="auto"/>
          <w:sz w:val="32"/>
          <w:szCs w:val="32"/>
        </w:rPr>
        <w:t>万元，完成预算100%。</w:t>
      </w:r>
    </w:p>
    <w:p w14:paraId="222B6A9E">
      <w:pPr>
        <w:pageBreakBefore w:val="0"/>
        <w:numPr>
          <w:ilvl w:val="0"/>
          <w:numId w:val="0"/>
        </w:numPr>
        <w:kinsoku/>
        <w:wordWrap/>
        <w:overflowPunct/>
        <w:topLinePunct w:val="0"/>
        <w:bidi w:val="0"/>
        <w:spacing w:line="578" w:lineRule="exact"/>
        <w:ind w:left="638" w:leftChars="304" w:right="0" w:firstLine="0" w:firstLineChars="0"/>
        <w:rPr>
          <w:rFonts w:hint="eastAsia" w:ascii="仿宋" w:hAnsi="仿宋" w:eastAsia="仿宋"/>
          <w:color w:val="auto"/>
          <w:sz w:val="32"/>
          <w:szCs w:val="32"/>
        </w:rPr>
      </w:pPr>
      <w:r>
        <w:rPr>
          <w:rFonts w:hint="eastAsia" w:ascii="仿宋" w:hAnsi="仿宋" w:eastAsia="仿宋"/>
          <w:color w:val="auto"/>
          <w:sz w:val="32"/>
          <w:szCs w:val="32"/>
        </w:rPr>
        <w:t>2070607</w:t>
      </w:r>
      <w:r>
        <w:rPr>
          <w:rFonts w:hint="eastAsia" w:ascii="仿宋" w:hAnsi="仿宋" w:eastAsia="仿宋"/>
          <w:color w:val="auto"/>
          <w:sz w:val="32"/>
          <w:szCs w:val="32"/>
          <w:lang w:val="en-US" w:eastAsia="zh-CN"/>
        </w:rPr>
        <w:t xml:space="preserve"> </w:t>
      </w:r>
      <w:r>
        <w:rPr>
          <w:rFonts w:hint="eastAsia" w:ascii="仿宋" w:hAnsi="仿宋" w:eastAsia="仿宋"/>
          <w:color w:val="auto"/>
          <w:sz w:val="32"/>
          <w:szCs w:val="32"/>
        </w:rPr>
        <w:t>电影20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年决算数为2</w:t>
      </w:r>
      <w:r>
        <w:rPr>
          <w:rFonts w:hint="eastAsia" w:ascii="仿宋" w:hAnsi="仿宋" w:eastAsia="仿宋"/>
          <w:color w:val="auto"/>
          <w:sz w:val="32"/>
          <w:szCs w:val="32"/>
          <w:lang w:val="en-US" w:eastAsia="zh-CN"/>
        </w:rPr>
        <w:t>.9</w:t>
      </w:r>
      <w:r>
        <w:rPr>
          <w:rFonts w:hint="eastAsia" w:ascii="仿宋" w:hAnsi="仿宋" w:eastAsia="仿宋"/>
          <w:color w:val="auto"/>
          <w:sz w:val="32"/>
          <w:szCs w:val="32"/>
        </w:rPr>
        <w:t>万元，完成预算100%。</w:t>
      </w:r>
    </w:p>
    <w:p w14:paraId="11A12088">
      <w:pPr>
        <w:pageBreakBefore w:val="0"/>
        <w:numPr>
          <w:ilvl w:val="0"/>
          <w:numId w:val="0"/>
        </w:numPr>
        <w:kinsoku/>
        <w:wordWrap/>
        <w:overflowPunct/>
        <w:topLinePunct w:val="0"/>
        <w:bidi w:val="0"/>
        <w:spacing w:line="578" w:lineRule="exact"/>
        <w:ind w:right="0" w:firstLine="640" w:firstLineChars="200"/>
        <w:rPr>
          <w:rFonts w:ascii="仿宋" w:hAnsi="仿宋" w:eastAsia="仿宋"/>
          <w:b/>
          <w:color w:val="auto"/>
          <w:sz w:val="32"/>
          <w:szCs w:val="32"/>
        </w:rPr>
      </w:pPr>
      <w:r>
        <w:rPr>
          <w:rFonts w:hint="eastAsia" w:ascii="仿宋" w:hAnsi="仿宋" w:eastAsia="仿宋"/>
          <w:color w:val="auto"/>
          <w:sz w:val="32"/>
          <w:szCs w:val="32"/>
        </w:rPr>
        <w:t>2079999 其他文化体育与传媒支出20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32.64</w:t>
      </w:r>
      <w:r>
        <w:rPr>
          <w:rFonts w:hint="eastAsia" w:ascii="仿宋" w:hAnsi="仿宋" w:eastAsia="仿宋"/>
          <w:color w:val="auto"/>
          <w:sz w:val="32"/>
          <w:szCs w:val="32"/>
        </w:rPr>
        <w:t xml:space="preserve">万元，完成预算100%。 </w:t>
      </w:r>
    </w:p>
    <w:p w14:paraId="53565188">
      <w:pPr>
        <w:pageBreakBefore w:val="0"/>
        <w:numPr>
          <w:ilvl w:val="0"/>
          <w:numId w:val="0"/>
        </w:numPr>
        <w:kinsoku/>
        <w:wordWrap/>
        <w:overflowPunct/>
        <w:topLinePunct w:val="0"/>
        <w:bidi w:val="0"/>
        <w:spacing w:line="578" w:lineRule="exact"/>
        <w:ind w:right="0" w:rightChars="0" w:firstLine="643" w:firstLineChars="200"/>
        <w:rPr>
          <w:rStyle w:val="13"/>
          <w:rFonts w:hint="eastAsia" w:ascii="仿宋" w:hAnsi="仿宋" w:eastAsia="仿宋"/>
          <w:bCs/>
          <w:color w:val="auto"/>
          <w:sz w:val="32"/>
          <w:szCs w:val="32"/>
        </w:rPr>
      </w:pPr>
      <w:r>
        <w:rPr>
          <w:rStyle w:val="13"/>
          <w:rFonts w:hint="eastAsia" w:ascii="仿宋" w:hAnsi="仿宋" w:eastAsia="仿宋"/>
          <w:bCs/>
          <w:color w:val="auto"/>
          <w:sz w:val="32"/>
          <w:szCs w:val="32"/>
          <w:lang w:val="en-US" w:eastAsia="zh-CN"/>
        </w:rPr>
        <w:t>2、</w:t>
      </w:r>
      <w:r>
        <w:rPr>
          <w:rStyle w:val="13"/>
          <w:rFonts w:hint="eastAsia" w:ascii="仿宋" w:hAnsi="仿宋" w:eastAsia="仿宋"/>
          <w:bCs/>
          <w:color w:val="auto"/>
          <w:sz w:val="32"/>
          <w:szCs w:val="32"/>
        </w:rPr>
        <w:t>社会保障和就业</w:t>
      </w:r>
    </w:p>
    <w:p w14:paraId="2C9E316A">
      <w:pPr>
        <w:pageBreakBefore w:val="0"/>
        <w:kinsoku/>
        <w:wordWrap/>
        <w:overflowPunct/>
        <w:topLinePunct w:val="0"/>
        <w:bidi w:val="0"/>
        <w:spacing w:line="578" w:lineRule="exact"/>
        <w:ind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2080505机关事业单位基本养老保险缴费支出。20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63.63</w:t>
      </w:r>
      <w:r>
        <w:rPr>
          <w:rFonts w:hint="eastAsia" w:ascii="仿宋" w:hAnsi="仿宋" w:eastAsia="仿宋"/>
          <w:color w:val="auto"/>
          <w:sz w:val="32"/>
          <w:szCs w:val="32"/>
        </w:rPr>
        <w:t>万元，完成预算100%。</w:t>
      </w:r>
    </w:p>
    <w:p w14:paraId="79D2CDC7">
      <w:pPr>
        <w:pageBreakBefore w:val="0"/>
        <w:kinsoku/>
        <w:wordWrap/>
        <w:overflowPunct/>
        <w:topLinePunct w:val="0"/>
        <w:bidi w:val="0"/>
        <w:spacing w:line="578" w:lineRule="exact"/>
        <w:ind w:right="0" w:firstLine="640" w:firstLineChars="200"/>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2080506机关事业单位职业年金缴费支出</w:t>
      </w:r>
      <w:r>
        <w:rPr>
          <w:rFonts w:hint="eastAsia" w:ascii="仿宋" w:hAnsi="仿宋" w:eastAsia="仿宋"/>
          <w:color w:val="auto"/>
          <w:sz w:val="32"/>
          <w:szCs w:val="32"/>
        </w:rPr>
        <w:t>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24.06</w:t>
      </w:r>
      <w:r>
        <w:rPr>
          <w:rFonts w:hint="eastAsia" w:ascii="仿宋" w:hAnsi="仿宋" w:eastAsia="仿宋"/>
          <w:color w:val="auto"/>
          <w:sz w:val="32"/>
          <w:szCs w:val="32"/>
        </w:rPr>
        <w:t>万元，完成预算100%。</w:t>
      </w:r>
    </w:p>
    <w:p w14:paraId="52E1FCBC">
      <w:pPr>
        <w:pageBreakBefore w:val="0"/>
        <w:numPr>
          <w:ilvl w:val="0"/>
          <w:numId w:val="0"/>
        </w:numPr>
        <w:kinsoku/>
        <w:wordWrap/>
        <w:overflowPunct/>
        <w:topLinePunct w:val="0"/>
        <w:bidi w:val="0"/>
        <w:spacing w:line="578" w:lineRule="exact"/>
        <w:ind w:right="0" w:firstLine="643" w:firstLineChars="200"/>
        <w:rPr>
          <w:rFonts w:hint="eastAsia" w:ascii="仿宋" w:hAnsi="仿宋" w:eastAsia="仿宋"/>
          <w:b/>
          <w:bCs/>
          <w:color w:val="auto"/>
          <w:sz w:val="32"/>
          <w:szCs w:val="32"/>
        </w:rPr>
      </w:pPr>
      <w:r>
        <w:rPr>
          <w:rFonts w:hint="eastAsia" w:ascii="仿宋" w:hAnsi="仿宋" w:eastAsia="仿宋"/>
          <w:b/>
          <w:bCs/>
          <w:color w:val="auto"/>
          <w:sz w:val="32"/>
          <w:szCs w:val="32"/>
          <w:lang w:val="en-US" w:eastAsia="zh-CN"/>
        </w:rPr>
        <w:t>3、</w:t>
      </w:r>
      <w:r>
        <w:rPr>
          <w:rFonts w:hint="eastAsia" w:ascii="仿宋" w:hAnsi="仿宋" w:eastAsia="仿宋"/>
          <w:b/>
          <w:bCs/>
          <w:color w:val="auto"/>
          <w:sz w:val="32"/>
          <w:szCs w:val="32"/>
        </w:rPr>
        <w:t>卫生健康</w:t>
      </w:r>
    </w:p>
    <w:p w14:paraId="6E0822E1">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2101101行政单位医疗。20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30.46</w:t>
      </w:r>
      <w:r>
        <w:rPr>
          <w:rFonts w:hint="eastAsia" w:ascii="仿宋" w:hAnsi="仿宋" w:eastAsia="仿宋"/>
          <w:color w:val="auto"/>
          <w:sz w:val="32"/>
          <w:szCs w:val="32"/>
        </w:rPr>
        <w:t>万元，完成预算100%。</w:t>
      </w:r>
    </w:p>
    <w:p w14:paraId="6242F923">
      <w:pPr>
        <w:pageBreakBefore w:val="0"/>
        <w:numPr>
          <w:ilvl w:val="0"/>
          <w:numId w:val="0"/>
        </w:numPr>
        <w:kinsoku/>
        <w:wordWrap/>
        <w:overflowPunct/>
        <w:topLinePunct w:val="0"/>
        <w:bidi w:val="0"/>
        <w:spacing w:line="578" w:lineRule="exact"/>
        <w:ind w:left="0" w:leftChars="0" w:right="0" w:firstLine="640" w:firstLineChars="200"/>
        <w:rPr>
          <w:rFonts w:ascii="仿宋" w:hAnsi="仿宋" w:eastAsia="仿宋"/>
          <w:b/>
          <w:color w:val="auto"/>
          <w:sz w:val="32"/>
          <w:szCs w:val="32"/>
        </w:rPr>
      </w:pPr>
      <w:r>
        <w:rPr>
          <w:rFonts w:hint="eastAsia" w:ascii="仿宋" w:hAnsi="仿宋" w:eastAsia="仿宋"/>
          <w:color w:val="auto"/>
          <w:sz w:val="32"/>
          <w:szCs w:val="32"/>
        </w:rPr>
        <w:t xml:space="preserve">2101103公务员医疗补助 </w:t>
      </w:r>
      <w:r>
        <w:rPr>
          <w:rFonts w:hint="eastAsia" w:ascii="仿宋" w:hAnsi="仿宋" w:eastAsia="仿宋"/>
          <w:color w:val="auto"/>
          <w:sz w:val="32"/>
          <w:szCs w:val="32"/>
          <w:lang w:val="en-US" w:eastAsia="zh-CN"/>
        </w:rPr>
        <w:t>2020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8.88</w:t>
      </w:r>
      <w:r>
        <w:rPr>
          <w:rFonts w:hint="eastAsia" w:ascii="仿宋" w:hAnsi="仿宋" w:eastAsia="仿宋"/>
          <w:color w:val="auto"/>
          <w:sz w:val="32"/>
          <w:szCs w:val="32"/>
        </w:rPr>
        <w:t>万元，完成预算100%。</w:t>
      </w:r>
    </w:p>
    <w:p w14:paraId="30F68134">
      <w:pPr>
        <w:pageBreakBefore w:val="0"/>
        <w:numPr>
          <w:ilvl w:val="0"/>
          <w:numId w:val="0"/>
        </w:numPr>
        <w:kinsoku/>
        <w:wordWrap/>
        <w:overflowPunct/>
        <w:topLinePunct w:val="0"/>
        <w:bidi w:val="0"/>
        <w:spacing w:line="578" w:lineRule="exact"/>
        <w:ind w:right="0" w:firstLine="643" w:firstLineChars="200"/>
        <w:rPr>
          <w:rFonts w:hint="eastAsia" w:ascii="仿宋" w:hAnsi="仿宋" w:eastAsia="仿宋"/>
          <w:b/>
          <w:bCs/>
          <w:color w:val="auto"/>
          <w:sz w:val="32"/>
          <w:szCs w:val="32"/>
        </w:rPr>
      </w:pPr>
      <w:r>
        <w:rPr>
          <w:rFonts w:hint="eastAsia" w:ascii="仿宋" w:hAnsi="仿宋" w:eastAsia="仿宋"/>
          <w:b/>
          <w:bCs/>
          <w:color w:val="auto"/>
          <w:sz w:val="32"/>
          <w:szCs w:val="32"/>
          <w:lang w:val="en-US" w:eastAsia="zh-CN"/>
        </w:rPr>
        <w:t>4、</w:t>
      </w:r>
      <w:r>
        <w:rPr>
          <w:rFonts w:hint="eastAsia" w:ascii="仿宋" w:hAnsi="仿宋" w:eastAsia="仿宋"/>
          <w:b/>
          <w:bCs/>
          <w:color w:val="auto"/>
          <w:sz w:val="32"/>
          <w:szCs w:val="32"/>
        </w:rPr>
        <w:t>农林水支出</w:t>
      </w:r>
    </w:p>
    <w:p w14:paraId="2F89C7D0">
      <w:pPr>
        <w:pageBreakBefore w:val="0"/>
        <w:numPr>
          <w:ilvl w:val="0"/>
          <w:numId w:val="0"/>
        </w:numPr>
        <w:kinsoku/>
        <w:wordWrap/>
        <w:overflowPunct/>
        <w:topLinePunct w:val="0"/>
        <w:bidi w:val="0"/>
        <w:spacing w:line="578" w:lineRule="exact"/>
        <w:ind w:left="0" w:leftChars="0" w:right="0" w:firstLine="640" w:firstLineChars="200"/>
        <w:rPr>
          <w:rFonts w:hint="eastAsia" w:ascii="仿宋" w:hAnsi="仿宋" w:eastAsia="仿宋"/>
          <w:color w:val="auto"/>
          <w:sz w:val="32"/>
          <w:szCs w:val="32"/>
        </w:rPr>
      </w:pPr>
      <w:r>
        <w:rPr>
          <w:rFonts w:hint="eastAsia" w:ascii="仿宋" w:hAnsi="仿宋" w:eastAsia="仿宋"/>
          <w:color w:val="auto"/>
          <w:sz w:val="32"/>
          <w:szCs w:val="32"/>
        </w:rPr>
        <w:t>21305</w:t>
      </w:r>
      <w:r>
        <w:rPr>
          <w:rFonts w:hint="eastAsia" w:ascii="仿宋" w:hAnsi="仿宋" w:eastAsia="仿宋"/>
          <w:color w:val="auto"/>
          <w:sz w:val="32"/>
          <w:szCs w:val="32"/>
          <w:lang w:val="en-US" w:eastAsia="zh-CN"/>
        </w:rPr>
        <w:t>99</w:t>
      </w:r>
      <w:r>
        <w:rPr>
          <w:rFonts w:hint="eastAsia" w:ascii="仿宋" w:hAnsi="仿宋" w:eastAsia="仿宋"/>
          <w:color w:val="auto"/>
          <w:sz w:val="32"/>
          <w:szCs w:val="32"/>
        </w:rPr>
        <w:t>其他扶贫支出。20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3.5</w:t>
      </w:r>
      <w:r>
        <w:rPr>
          <w:rFonts w:hint="eastAsia" w:ascii="仿宋" w:hAnsi="仿宋" w:eastAsia="仿宋"/>
          <w:color w:val="auto"/>
          <w:sz w:val="32"/>
          <w:szCs w:val="32"/>
        </w:rPr>
        <w:t>万元，完成预算100%。</w:t>
      </w:r>
    </w:p>
    <w:p w14:paraId="197470D4">
      <w:pPr>
        <w:pageBreakBefore w:val="0"/>
        <w:numPr>
          <w:ilvl w:val="0"/>
          <w:numId w:val="0"/>
        </w:numPr>
        <w:kinsoku/>
        <w:wordWrap/>
        <w:overflowPunct/>
        <w:topLinePunct w:val="0"/>
        <w:bidi w:val="0"/>
        <w:spacing w:line="578" w:lineRule="exact"/>
        <w:ind w:right="0" w:firstLine="643" w:firstLineChars="200"/>
        <w:rPr>
          <w:rFonts w:hint="eastAsia" w:ascii="仿宋" w:hAnsi="仿宋" w:eastAsia="仿宋"/>
          <w:b/>
          <w:bCs/>
          <w:color w:val="auto"/>
          <w:sz w:val="32"/>
          <w:szCs w:val="32"/>
        </w:rPr>
      </w:pPr>
      <w:r>
        <w:rPr>
          <w:rFonts w:hint="eastAsia" w:ascii="仿宋" w:hAnsi="仿宋" w:eastAsia="仿宋"/>
          <w:b/>
          <w:bCs/>
          <w:color w:val="auto"/>
          <w:sz w:val="32"/>
          <w:szCs w:val="32"/>
          <w:lang w:val="en-US" w:eastAsia="zh-CN"/>
        </w:rPr>
        <w:t>5、</w:t>
      </w:r>
      <w:r>
        <w:rPr>
          <w:rFonts w:hint="eastAsia" w:ascii="仿宋" w:hAnsi="仿宋" w:eastAsia="仿宋"/>
          <w:b/>
          <w:bCs/>
          <w:color w:val="auto"/>
          <w:sz w:val="32"/>
          <w:szCs w:val="32"/>
        </w:rPr>
        <w:t>住房保障支出</w:t>
      </w:r>
    </w:p>
    <w:p w14:paraId="2CF792D0">
      <w:pPr>
        <w:pageBreakBefore w:val="0"/>
        <w:kinsoku/>
        <w:wordWrap/>
        <w:overflowPunct/>
        <w:topLinePunct w:val="0"/>
        <w:bidi w:val="0"/>
        <w:spacing w:line="578" w:lineRule="exact"/>
        <w:ind w:right="0" w:firstLine="640" w:firstLineChars="200"/>
        <w:rPr>
          <w:rFonts w:ascii="仿宋" w:hAnsi="仿宋" w:eastAsia="仿宋"/>
          <w:b/>
          <w:color w:val="auto"/>
          <w:sz w:val="32"/>
          <w:szCs w:val="32"/>
        </w:rPr>
      </w:pPr>
      <w:r>
        <w:rPr>
          <w:rFonts w:hint="eastAsia" w:ascii="仿宋" w:hAnsi="仿宋" w:eastAsia="仿宋"/>
          <w:color w:val="auto"/>
          <w:sz w:val="32"/>
          <w:szCs w:val="32"/>
        </w:rPr>
        <w:t>2210201住房公积金。20</w:t>
      </w:r>
      <w:r>
        <w:rPr>
          <w:rFonts w:hint="eastAsia" w:ascii="仿宋" w:hAnsi="仿宋" w:eastAsia="仿宋"/>
          <w:color w:val="auto"/>
          <w:sz w:val="32"/>
          <w:szCs w:val="32"/>
          <w:lang w:val="en-US" w:eastAsia="zh-CN"/>
        </w:rPr>
        <w:t>20</w:t>
      </w:r>
      <w:r>
        <w:rPr>
          <w:rFonts w:hint="eastAsia" w:ascii="仿宋" w:hAnsi="仿宋" w:eastAsia="仿宋"/>
          <w:color w:val="auto"/>
          <w:sz w:val="32"/>
          <w:szCs w:val="32"/>
        </w:rPr>
        <w:t>年决算数为</w:t>
      </w:r>
      <w:r>
        <w:rPr>
          <w:rFonts w:hint="eastAsia" w:ascii="仿宋" w:hAnsi="仿宋" w:eastAsia="仿宋"/>
          <w:color w:val="auto"/>
          <w:sz w:val="32"/>
          <w:szCs w:val="32"/>
          <w:lang w:val="en-US" w:eastAsia="zh-CN"/>
        </w:rPr>
        <w:t>61.32</w:t>
      </w:r>
      <w:r>
        <w:rPr>
          <w:rFonts w:hint="eastAsia" w:ascii="仿宋" w:hAnsi="仿宋" w:eastAsia="仿宋"/>
          <w:color w:val="auto"/>
          <w:sz w:val="32"/>
          <w:szCs w:val="32"/>
        </w:rPr>
        <w:t xml:space="preserve">万元，完成预算100%。 </w:t>
      </w:r>
    </w:p>
    <w:p w14:paraId="0AACE25F">
      <w:pPr>
        <w:pageBreakBefore w:val="0"/>
        <w:tabs>
          <w:tab w:val="right" w:pos="8306"/>
        </w:tabs>
        <w:kinsoku/>
        <w:wordWrap/>
        <w:overflowPunct/>
        <w:topLinePunct w:val="0"/>
        <w:bidi w:val="0"/>
        <w:spacing w:line="578" w:lineRule="exact"/>
        <w:ind w:left="0" w:leftChars="0" w:right="0" w:firstLine="640"/>
        <w:outlineLvl w:val="1"/>
        <w:rPr>
          <w:rStyle w:val="15"/>
          <w:color w:val="auto"/>
        </w:rPr>
      </w:pPr>
      <w:bookmarkStart w:id="68" w:name="_Toc15396608"/>
      <w:bookmarkStart w:id="69" w:name="_Toc15377214"/>
      <w:bookmarkStart w:id="70" w:name="_Toc79163868"/>
      <w:bookmarkStart w:id="71" w:name="_Toc79163618"/>
      <w:r>
        <w:rPr>
          <w:rFonts w:hint="eastAsia" w:ascii="黑体" w:eastAsia="黑体"/>
          <w:color w:val="auto"/>
          <w:sz w:val="32"/>
          <w:szCs w:val="32"/>
        </w:rPr>
        <w:t>六</w:t>
      </w:r>
      <w:r>
        <w:rPr>
          <w:rFonts w:hint="eastAsia" w:ascii="黑体" w:eastAsia="黑体"/>
          <w:b/>
          <w:color w:val="auto"/>
          <w:sz w:val="32"/>
          <w:szCs w:val="32"/>
        </w:rPr>
        <w:t>、</w:t>
      </w:r>
      <w:r>
        <w:rPr>
          <w:rFonts w:hint="eastAsia" w:ascii="黑体" w:hAnsi="黑体" w:eastAsia="黑体"/>
          <w:b/>
          <w:color w:val="auto"/>
          <w:sz w:val="32"/>
          <w:szCs w:val="32"/>
        </w:rPr>
        <w:t>一</w:t>
      </w:r>
      <w:r>
        <w:rPr>
          <w:rStyle w:val="15"/>
          <w:rFonts w:hint="eastAsia" w:ascii="黑体" w:hAnsi="黑体" w:eastAsia="黑体"/>
          <w:b w:val="0"/>
          <w:color w:val="auto"/>
        </w:rPr>
        <w:t>般公共预算财政拨款基本支出决算情况说明</w:t>
      </w:r>
      <w:bookmarkEnd w:id="68"/>
      <w:bookmarkEnd w:id="69"/>
      <w:bookmarkEnd w:id="70"/>
      <w:bookmarkEnd w:id="71"/>
      <w:r>
        <w:rPr>
          <w:rStyle w:val="15"/>
          <w:rFonts w:ascii="黑体" w:hAnsi="黑体" w:eastAsia="黑体"/>
          <w:b w:val="0"/>
          <w:color w:val="auto"/>
        </w:rPr>
        <w:tab/>
      </w:r>
    </w:p>
    <w:p w14:paraId="78981B96">
      <w:pPr>
        <w:pageBreakBefore w:val="0"/>
        <w:kinsoku/>
        <w:wordWrap/>
        <w:overflowPunct/>
        <w:topLinePunct w:val="0"/>
        <w:bidi w:val="0"/>
        <w:spacing w:line="578" w:lineRule="exact"/>
        <w:ind w:left="0" w:leftChars="0" w:right="0" w:firstLine="645"/>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年一般公共预算财政拨款基本支出</w:t>
      </w:r>
      <w:r>
        <w:rPr>
          <w:rFonts w:hint="eastAsia" w:ascii="仿宋" w:hAnsi="仿宋" w:eastAsia="仿宋"/>
          <w:color w:val="auto"/>
          <w:sz w:val="32"/>
          <w:szCs w:val="32"/>
          <w:lang w:val="en-US" w:eastAsia="zh-CN"/>
        </w:rPr>
        <w:t>802.49</w:t>
      </w:r>
      <w:r>
        <w:rPr>
          <w:rFonts w:hint="eastAsia" w:ascii="仿宋" w:hAnsi="仿宋" w:eastAsia="仿宋"/>
          <w:color w:val="auto"/>
          <w:sz w:val="32"/>
          <w:szCs w:val="32"/>
        </w:rPr>
        <w:t>万元，其中：</w:t>
      </w:r>
    </w:p>
    <w:p w14:paraId="1482029B">
      <w:pPr>
        <w:pageBreakBefore w:val="0"/>
        <w:kinsoku/>
        <w:wordWrap/>
        <w:overflowPunct/>
        <w:topLinePunct w:val="0"/>
        <w:bidi w:val="0"/>
        <w:spacing w:line="578" w:lineRule="exact"/>
        <w:ind w:left="0" w:leftChars="0" w:right="0" w:firstLine="645"/>
        <w:rPr>
          <w:rFonts w:ascii="仿宋" w:hAnsi="仿宋" w:eastAsia="仿宋"/>
          <w:b/>
          <w:color w:val="auto"/>
          <w:sz w:val="32"/>
          <w:szCs w:val="32"/>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757.78</w:t>
      </w:r>
      <w:r>
        <w:rPr>
          <w:rFonts w:hint="eastAsia" w:ascii="仿宋" w:hAnsi="仿宋" w:eastAsia="仿宋"/>
          <w:color w:val="auto"/>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rPr>
        <w:br w:type="textWrapping"/>
      </w:r>
      <w:r>
        <w:rPr>
          <w:rFonts w:hint="eastAsia" w:ascii="仿宋" w:hAnsi="仿宋" w:eastAsia="仿宋"/>
          <w:color w:val="auto"/>
          <w:sz w:val="32"/>
          <w:szCs w:val="32"/>
        </w:rPr>
        <w:t>　　日常公用经费</w:t>
      </w:r>
      <w:r>
        <w:rPr>
          <w:rFonts w:hint="eastAsia" w:ascii="仿宋" w:hAnsi="仿宋" w:eastAsia="仿宋"/>
          <w:color w:val="auto"/>
          <w:sz w:val="32"/>
          <w:szCs w:val="32"/>
          <w:lang w:val="en-US" w:eastAsia="zh-CN"/>
        </w:rPr>
        <w:t>44.7</w:t>
      </w:r>
      <w:r>
        <w:rPr>
          <w:rFonts w:hint="eastAsia" w:ascii="仿宋" w:hAnsi="仿宋" w:eastAsia="仿宋"/>
          <w:color w:val="auto"/>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68569F5">
      <w:pPr>
        <w:pageBreakBefore w:val="0"/>
        <w:kinsoku/>
        <w:wordWrap/>
        <w:overflowPunct/>
        <w:topLinePunct w:val="0"/>
        <w:bidi w:val="0"/>
        <w:spacing w:line="578" w:lineRule="exact"/>
        <w:ind w:left="0" w:leftChars="0" w:right="0" w:firstLine="640"/>
        <w:outlineLvl w:val="1"/>
        <w:rPr>
          <w:rStyle w:val="15"/>
          <w:rFonts w:ascii="黑体" w:hAnsi="黑体" w:eastAsia="黑体"/>
          <w:b w:val="0"/>
          <w:color w:val="auto"/>
        </w:rPr>
      </w:pPr>
      <w:bookmarkStart w:id="72" w:name="_Toc79163869"/>
      <w:bookmarkStart w:id="73" w:name="_Toc15396609"/>
      <w:bookmarkStart w:id="74" w:name="_Toc15377215"/>
      <w:bookmarkStart w:id="75" w:name="_Toc79163619"/>
      <w:r>
        <w:rPr>
          <w:rFonts w:hint="eastAsia" w:ascii="黑体" w:eastAsia="黑体"/>
          <w:color w:val="auto"/>
          <w:sz w:val="32"/>
          <w:szCs w:val="32"/>
        </w:rPr>
        <w:t>七、</w:t>
      </w:r>
      <w:r>
        <w:rPr>
          <w:rStyle w:val="15"/>
          <w:rFonts w:hint="eastAsia" w:ascii="黑体" w:hAnsi="黑体" w:eastAsia="黑体"/>
          <w:color w:val="auto"/>
        </w:rPr>
        <w:t>“</w:t>
      </w:r>
      <w:r>
        <w:rPr>
          <w:rStyle w:val="15"/>
          <w:rFonts w:hint="eastAsia" w:ascii="黑体" w:hAnsi="黑体" w:eastAsia="黑体"/>
          <w:b w:val="0"/>
          <w:color w:val="auto"/>
        </w:rPr>
        <w:t>三公”经费财政拨款支出决算情况说明</w:t>
      </w:r>
      <w:bookmarkEnd w:id="72"/>
      <w:bookmarkEnd w:id="73"/>
      <w:bookmarkEnd w:id="74"/>
      <w:bookmarkEnd w:id="75"/>
    </w:p>
    <w:p w14:paraId="3B60CD7D">
      <w:pPr>
        <w:pageBreakBefore w:val="0"/>
        <w:kinsoku/>
        <w:wordWrap/>
        <w:overflowPunct/>
        <w:topLinePunct w:val="0"/>
        <w:bidi w:val="0"/>
        <w:spacing w:line="578" w:lineRule="exact"/>
        <w:ind w:left="0" w:leftChars="0" w:right="0" w:firstLine="640"/>
        <w:outlineLvl w:val="2"/>
        <w:rPr>
          <w:rFonts w:hint="eastAsia" w:ascii="楷体_GB2312" w:hAnsi="楷体_GB2312" w:eastAsia="楷体_GB2312" w:cs="楷体_GB2312"/>
          <w:b/>
          <w:color w:val="auto"/>
          <w:sz w:val="32"/>
          <w:szCs w:val="32"/>
        </w:rPr>
      </w:pPr>
      <w:bookmarkStart w:id="76" w:name="_Toc15377216"/>
      <w:bookmarkStart w:id="77" w:name="_Toc79163870"/>
      <w:bookmarkStart w:id="78" w:name="_Toc79163620"/>
      <w:r>
        <w:rPr>
          <w:rFonts w:hint="eastAsia" w:ascii="楷体_GB2312" w:hAnsi="楷体_GB2312" w:eastAsia="楷体_GB2312" w:cs="楷体_GB2312"/>
          <w:b/>
          <w:color w:val="auto"/>
          <w:sz w:val="32"/>
          <w:szCs w:val="32"/>
        </w:rPr>
        <w:t>（一）“三公”经费财政拨款支出决算总体情况说明</w:t>
      </w:r>
      <w:bookmarkEnd w:id="76"/>
      <w:bookmarkEnd w:id="77"/>
      <w:bookmarkEnd w:id="78"/>
    </w:p>
    <w:p w14:paraId="1D40AF72">
      <w:pPr>
        <w:pageBreakBefore w:val="0"/>
        <w:kinsoku/>
        <w:wordWrap/>
        <w:overflowPunct/>
        <w:topLinePunct w:val="0"/>
        <w:bidi w:val="0"/>
        <w:spacing w:line="578" w:lineRule="exact"/>
        <w:ind w:left="0" w:leftChars="0" w:right="0" w:firstLine="640"/>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年“三公”经费财政拨款支出决算为</w:t>
      </w:r>
      <w:r>
        <w:rPr>
          <w:rFonts w:hint="eastAsia" w:ascii="仿宋" w:hAnsi="仿宋" w:eastAsia="仿宋"/>
          <w:color w:val="auto"/>
          <w:sz w:val="32"/>
          <w:szCs w:val="32"/>
          <w:lang w:val="en-US" w:eastAsia="zh-CN"/>
        </w:rPr>
        <w:t>12.98</w:t>
      </w:r>
      <w:r>
        <w:rPr>
          <w:rFonts w:hint="eastAsia" w:ascii="仿宋" w:hAnsi="仿宋" w:eastAsia="仿宋"/>
          <w:color w:val="auto"/>
          <w:sz w:val="32"/>
          <w:szCs w:val="32"/>
        </w:rPr>
        <w:t>万元，完成预算</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rPr>
        <w:t>，决算数与预算数持平的主要原因是</w:t>
      </w:r>
      <w:r>
        <w:rPr>
          <w:rFonts w:hint="eastAsia" w:ascii="仿宋" w:hAnsi="仿宋" w:eastAsia="仿宋"/>
          <w:color w:val="auto"/>
          <w:sz w:val="32"/>
          <w:szCs w:val="32"/>
          <w:lang w:eastAsia="zh-CN"/>
        </w:rPr>
        <w:t>严格执行中央八项规定，严格控制支出</w:t>
      </w:r>
      <w:r>
        <w:rPr>
          <w:rFonts w:hint="eastAsia" w:ascii="仿宋" w:hAnsi="仿宋" w:eastAsia="仿宋"/>
          <w:color w:val="auto"/>
          <w:sz w:val="32"/>
          <w:szCs w:val="32"/>
        </w:rPr>
        <w:t>。</w:t>
      </w:r>
    </w:p>
    <w:p w14:paraId="62477581">
      <w:pPr>
        <w:pageBreakBefore w:val="0"/>
        <w:kinsoku/>
        <w:wordWrap/>
        <w:overflowPunct/>
        <w:topLinePunct w:val="0"/>
        <w:bidi w:val="0"/>
        <w:spacing w:line="578" w:lineRule="exact"/>
        <w:ind w:left="0" w:leftChars="0" w:right="0" w:firstLine="640"/>
        <w:outlineLvl w:val="2"/>
        <w:rPr>
          <w:rFonts w:hint="eastAsia" w:ascii="楷体_GB2312" w:hAnsi="楷体_GB2312" w:eastAsia="楷体_GB2312" w:cs="楷体_GB2312"/>
          <w:b/>
          <w:color w:val="auto"/>
          <w:sz w:val="32"/>
          <w:szCs w:val="32"/>
        </w:rPr>
      </w:pPr>
      <w:bookmarkStart w:id="79" w:name="_Toc15377217"/>
      <w:bookmarkStart w:id="80" w:name="_Toc79163871"/>
      <w:bookmarkStart w:id="81" w:name="_Toc79163621"/>
      <w:r>
        <w:rPr>
          <w:rFonts w:hint="eastAsia" w:ascii="楷体_GB2312" w:hAnsi="楷体_GB2312" w:eastAsia="楷体_GB2312" w:cs="楷体_GB2312"/>
          <w:b/>
          <w:color w:val="auto"/>
          <w:sz w:val="32"/>
          <w:szCs w:val="32"/>
        </w:rPr>
        <w:t>（二）“三公”经费财政拨款支出决算具体情况说明</w:t>
      </w:r>
      <w:bookmarkEnd w:id="79"/>
      <w:bookmarkEnd w:id="80"/>
      <w:bookmarkEnd w:id="81"/>
    </w:p>
    <w:p w14:paraId="6C5B2DE5">
      <w:pPr>
        <w:pageBreakBefore w:val="0"/>
        <w:kinsoku/>
        <w:wordWrap/>
        <w:overflowPunct/>
        <w:topLinePunct w:val="0"/>
        <w:bidi w:val="0"/>
        <w:spacing w:line="578" w:lineRule="exact"/>
        <w:ind w:left="0" w:leftChars="0" w:right="0" w:firstLine="640"/>
        <w:rPr>
          <w:rFonts w:ascii="仿宋" w:hAnsi="仿宋" w:eastAsia="仿宋"/>
          <w:color w:val="auto"/>
          <w:sz w:val="32"/>
          <w:szCs w:val="32"/>
        </w:rPr>
      </w:pPr>
      <w:r>
        <w:rPr>
          <w:rFonts w:ascii="仿宋" w:hAnsi="仿宋" w:eastAsia="仿宋"/>
          <w:color w:val="auto"/>
          <w:sz w:val="32"/>
          <w:szCs w:val="32"/>
        </w:rPr>
        <w:t>2020</w:t>
      </w:r>
      <w:r>
        <w:rPr>
          <w:rFonts w:hint="eastAsia" w:ascii="仿宋" w:hAnsi="仿宋" w:eastAsia="仿宋"/>
          <w:color w:val="auto"/>
          <w:sz w:val="32"/>
          <w:szCs w:val="32"/>
        </w:rPr>
        <w:t>年“三公”经费财政拨款支出决算中，因公出国（境）费支出决算</w:t>
      </w:r>
      <w:r>
        <w:rPr>
          <w:rFonts w:hint="eastAsia" w:ascii="仿宋" w:hAnsi="仿宋" w:eastAsia="仿宋"/>
          <w:color w:val="auto"/>
          <w:sz w:val="32"/>
          <w:szCs w:val="32"/>
          <w:lang w:val="en-US" w:eastAsia="zh-CN"/>
        </w:rPr>
        <w:t>0</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0</w:t>
      </w:r>
      <w:r>
        <w:rPr>
          <w:rFonts w:ascii="仿宋" w:hAnsi="仿宋" w:eastAsia="仿宋"/>
          <w:color w:val="auto"/>
          <w:sz w:val="32"/>
          <w:szCs w:val="32"/>
        </w:rPr>
        <w:t>%</w:t>
      </w:r>
      <w:r>
        <w:rPr>
          <w:rFonts w:hint="eastAsia" w:ascii="仿宋" w:hAnsi="仿宋" w:eastAsia="仿宋"/>
          <w:color w:val="auto"/>
          <w:sz w:val="32"/>
          <w:szCs w:val="32"/>
        </w:rPr>
        <w:t>；公务用车购置及运行维护费支出决算</w:t>
      </w:r>
      <w:r>
        <w:rPr>
          <w:rFonts w:hint="eastAsia" w:ascii="仿宋" w:hAnsi="仿宋" w:eastAsia="仿宋"/>
          <w:color w:val="auto"/>
          <w:sz w:val="32"/>
          <w:szCs w:val="32"/>
          <w:lang w:val="en-US" w:eastAsia="zh-CN"/>
        </w:rPr>
        <w:t>12.37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95.3</w:t>
      </w:r>
      <w:r>
        <w:rPr>
          <w:rFonts w:ascii="仿宋" w:hAnsi="仿宋" w:eastAsia="仿宋"/>
          <w:color w:val="auto"/>
          <w:sz w:val="32"/>
          <w:szCs w:val="32"/>
        </w:rPr>
        <w:t>%</w:t>
      </w:r>
      <w:r>
        <w:rPr>
          <w:rFonts w:hint="eastAsia" w:ascii="仿宋" w:hAnsi="仿宋" w:eastAsia="仿宋"/>
          <w:color w:val="auto"/>
          <w:sz w:val="32"/>
          <w:szCs w:val="32"/>
        </w:rPr>
        <w:t>；公务接待费支出决算</w:t>
      </w:r>
      <w:r>
        <w:rPr>
          <w:rFonts w:hint="eastAsia" w:ascii="仿宋" w:hAnsi="仿宋" w:eastAsia="仿宋"/>
          <w:color w:val="auto"/>
          <w:sz w:val="32"/>
          <w:szCs w:val="32"/>
          <w:lang w:val="en-US" w:eastAsia="zh-CN"/>
        </w:rPr>
        <w:t>0.61</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4.7</w:t>
      </w:r>
      <w:r>
        <w:rPr>
          <w:rFonts w:ascii="仿宋" w:hAnsi="仿宋" w:eastAsia="仿宋"/>
          <w:color w:val="auto"/>
          <w:sz w:val="32"/>
          <w:szCs w:val="32"/>
        </w:rPr>
        <w:t>%</w:t>
      </w:r>
      <w:r>
        <w:rPr>
          <w:rFonts w:hint="eastAsia" w:ascii="仿宋" w:hAnsi="仿宋" w:eastAsia="仿宋"/>
          <w:color w:val="auto"/>
          <w:sz w:val="32"/>
          <w:szCs w:val="32"/>
        </w:rPr>
        <w:t>。具体情况如下：</w:t>
      </w:r>
    </w:p>
    <w:p w14:paraId="3570D1B2">
      <w:pPr>
        <w:pageBreakBefore w:val="0"/>
        <w:kinsoku/>
        <w:wordWrap/>
        <w:overflowPunct/>
        <w:topLinePunct w:val="0"/>
        <w:bidi w:val="0"/>
        <w:spacing w:line="578" w:lineRule="exact"/>
        <w:ind w:left="0" w:leftChars="0" w:right="0" w:firstLine="640"/>
        <w:rPr>
          <w:rFonts w:ascii="仿宋" w:hAnsi="仿宋" w:eastAsia="仿宋"/>
          <w:color w:val="auto"/>
          <w:sz w:val="32"/>
          <w:szCs w:val="32"/>
        </w:rPr>
      </w:pPr>
      <w:r>
        <w:rPr>
          <w:rFonts w:ascii="仿宋_GB2312" w:eastAsia="仿宋_GB2312"/>
          <w:b/>
          <w:color w:val="auto"/>
          <w:sz w:val="32"/>
          <w:szCs w:val="32"/>
        </w:rPr>
        <w:t>1.</w:t>
      </w:r>
      <w:r>
        <w:rPr>
          <w:rFonts w:hint="eastAsia" w:ascii="仿宋_GB2312" w:eastAsia="仿宋_GB2312"/>
          <w:b/>
          <w:color w:val="auto"/>
          <w:sz w:val="32"/>
          <w:szCs w:val="32"/>
        </w:rPr>
        <w:t>因公出国（境）经费支出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Style w:val="13"/>
          <w:rFonts w:hint="eastAsia" w:ascii="仿宋" w:hAnsi="仿宋" w:eastAsia="仿宋"/>
          <w:b w:val="0"/>
          <w:bCs/>
          <w:color w:val="auto"/>
          <w:sz w:val="32"/>
          <w:szCs w:val="32"/>
        </w:rPr>
        <w:t>完成预算</w:t>
      </w:r>
      <w:r>
        <w:rPr>
          <w:rStyle w:val="13"/>
          <w:rFonts w:hint="eastAsia" w:ascii="仿宋" w:hAnsi="仿宋" w:eastAsia="仿宋"/>
          <w:b w:val="0"/>
          <w:bCs/>
          <w:color w:val="auto"/>
          <w:sz w:val="32"/>
          <w:szCs w:val="32"/>
          <w:lang w:val="en-US" w:eastAsia="zh-CN"/>
        </w:rPr>
        <w:t>0</w:t>
      </w:r>
      <w:r>
        <w:rPr>
          <w:rStyle w:val="13"/>
          <w:rFonts w:ascii="仿宋" w:hAnsi="仿宋" w:eastAsia="仿宋"/>
          <w:b w:val="0"/>
          <w:bCs/>
          <w:color w:val="auto"/>
          <w:sz w:val="32"/>
          <w:szCs w:val="32"/>
        </w:rPr>
        <w:t>%</w:t>
      </w:r>
      <w:r>
        <w:rPr>
          <w:rStyle w:val="13"/>
          <w:rFonts w:hint="eastAsia" w:ascii="仿宋" w:hAnsi="仿宋" w:eastAsia="仿宋"/>
          <w:b w:val="0"/>
          <w:bCs/>
          <w:color w:val="auto"/>
          <w:sz w:val="32"/>
          <w:szCs w:val="32"/>
        </w:rPr>
        <w:t>。</w:t>
      </w:r>
      <w:r>
        <w:rPr>
          <w:rFonts w:hint="eastAsia" w:ascii="仿宋_GB2312" w:eastAsia="仿宋_GB2312"/>
          <w:color w:val="auto"/>
          <w:sz w:val="32"/>
          <w:szCs w:val="32"/>
        </w:rPr>
        <w:t>全年安排因公出国（境）团组</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次，出国（境）</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人。因公出国（境）支出决算</w:t>
      </w:r>
      <w:r>
        <w:rPr>
          <w:rFonts w:hint="eastAsia" w:ascii="仿宋_GB2312" w:eastAsia="仿宋_GB2312"/>
          <w:color w:val="auto"/>
          <w:sz w:val="32"/>
          <w:szCs w:val="32"/>
          <w:lang w:eastAsia="zh-CN"/>
        </w:rPr>
        <w:t>与</w:t>
      </w:r>
      <w:r>
        <w:rPr>
          <w:rFonts w:ascii="仿宋_GB2312" w:eastAsia="仿宋_GB2312"/>
          <w:color w:val="auto"/>
          <w:sz w:val="32"/>
          <w:szCs w:val="32"/>
        </w:rPr>
        <w:t>201</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年</w:t>
      </w:r>
      <w:r>
        <w:rPr>
          <w:rFonts w:hint="eastAsia" w:ascii="仿宋" w:hAnsi="仿宋" w:eastAsia="仿宋"/>
          <w:color w:val="auto"/>
          <w:sz w:val="32"/>
          <w:szCs w:val="32"/>
        </w:rPr>
        <w:t>持平的主要原因是</w:t>
      </w:r>
      <w:r>
        <w:rPr>
          <w:rFonts w:hint="eastAsia" w:ascii="仿宋" w:hAnsi="仿宋" w:eastAsia="仿宋"/>
          <w:color w:val="auto"/>
          <w:sz w:val="32"/>
          <w:szCs w:val="32"/>
          <w:lang w:eastAsia="zh-CN"/>
        </w:rPr>
        <w:t>严格执行中央八项规定，严格控制支出</w:t>
      </w:r>
      <w:r>
        <w:rPr>
          <w:rFonts w:hint="eastAsia" w:ascii="仿宋" w:hAnsi="仿宋" w:eastAsia="仿宋"/>
          <w:color w:val="auto"/>
          <w:sz w:val="32"/>
          <w:szCs w:val="32"/>
        </w:rPr>
        <w:t>。</w:t>
      </w:r>
    </w:p>
    <w:p w14:paraId="7F04F9DF">
      <w:pPr>
        <w:pageBreakBefore w:val="0"/>
        <w:kinsoku/>
        <w:wordWrap/>
        <w:overflowPunct/>
        <w:topLinePunct w:val="0"/>
        <w:bidi w:val="0"/>
        <w:spacing w:line="578" w:lineRule="exact"/>
        <w:ind w:left="0" w:leftChars="0" w:right="0" w:firstLine="640"/>
        <w:rPr>
          <w:rFonts w:ascii="仿宋_GB2312" w:eastAsia="仿宋_GB2312"/>
          <w:b/>
          <w:color w:val="auto"/>
          <w:sz w:val="32"/>
          <w:szCs w:val="32"/>
        </w:rPr>
      </w:pPr>
      <w:r>
        <w:rPr>
          <w:rFonts w:ascii="仿宋_GB2312" w:eastAsia="仿宋_GB2312"/>
          <w:b/>
          <w:color w:val="auto"/>
          <w:sz w:val="32"/>
          <w:szCs w:val="32"/>
        </w:rPr>
        <w:t>2.</w:t>
      </w:r>
      <w:r>
        <w:rPr>
          <w:rFonts w:hint="eastAsia" w:ascii="仿宋_GB2312" w:eastAsia="仿宋_GB2312"/>
          <w:b/>
          <w:color w:val="auto"/>
          <w:sz w:val="32"/>
          <w:szCs w:val="32"/>
        </w:rPr>
        <w:t>公务用车购置及运行维护费支出</w:t>
      </w:r>
      <w:r>
        <w:rPr>
          <w:rFonts w:hint="eastAsia" w:ascii="仿宋_GB2312" w:eastAsia="仿宋_GB2312"/>
          <w:color w:val="auto"/>
          <w:sz w:val="32"/>
          <w:szCs w:val="32"/>
          <w:lang w:val="en-US" w:eastAsia="zh-CN"/>
        </w:rPr>
        <w:t>12.37</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Style w:val="13"/>
          <w:rFonts w:hint="eastAsia" w:ascii="仿宋" w:hAnsi="仿宋" w:eastAsia="仿宋"/>
          <w:b w:val="0"/>
          <w:bCs/>
          <w:color w:val="auto"/>
          <w:sz w:val="32"/>
          <w:szCs w:val="32"/>
        </w:rPr>
        <w:t>完成预算</w:t>
      </w:r>
      <w:r>
        <w:rPr>
          <w:rStyle w:val="13"/>
          <w:rFonts w:hint="eastAsia" w:ascii="仿宋" w:hAnsi="仿宋" w:eastAsia="仿宋"/>
          <w:b w:val="0"/>
          <w:bCs/>
          <w:color w:val="auto"/>
          <w:sz w:val="32"/>
          <w:szCs w:val="32"/>
          <w:lang w:val="en-US" w:eastAsia="zh-CN"/>
        </w:rPr>
        <w:t>100</w:t>
      </w:r>
      <w:r>
        <w:rPr>
          <w:rStyle w:val="13"/>
          <w:rFonts w:ascii="仿宋" w:hAnsi="仿宋" w:eastAsia="仿宋"/>
          <w:b w:val="0"/>
          <w:bCs/>
          <w:color w:val="auto"/>
          <w:sz w:val="32"/>
          <w:szCs w:val="32"/>
        </w:rPr>
        <w:t>%</w:t>
      </w:r>
      <w:r>
        <w:rPr>
          <w:rStyle w:val="13"/>
          <w:rFonts w:hint="eastAsia" w:ascii="仿宋" w:hAnsi="仿宋" w:eastAsia="仿宋"/>
          <w:b w:val="0"/>
          <w:bCs/>
          <w:color w:val="auto"/>
          <w:sz w:val="32"/>
          <w:szCs w:val="32"/>
        </w:rPr>
        <w:t>。</w:t>
      </w:r>
      <w:r>
        <w:rPr>
          <w:rFonts w:hint="eastAsia" w:ascii="仿宋_GB2312" w:eastAsia="仿宋_GB2312"/>
          <w:color w:val="auto"/>
          <w:sz w:val="32"/>
          <w:szCs w:val="32"/>
        </w:rPr>
        <w:t>公务用车购置及运行维护费支出决算比</w:t>
      </w:r>
      <w:r>
        <w:rPr>
          <w:rFonts w:ascii="仿宋_GB2312" w:eastAsia="仿宋_GB2312"/>
          <w:color w:val="auto"/>
          <w:sz w:val="32"/>
          <w:szCs w:val="32"/>
        </w:rPr>
        <w:t>2018</w:t>
      </w:r>
      <w:r>
        <w:rPr>
          <w:rFonts w:hint="eastAsia" w:ascii="仿宋_GB2312" w:eastAsia="仿宋_GB2312"/>
          <w:color w:val="auto"/>
          <w:sz w:val="32"/>
          <w:szCs w:val="32"/>
        </w:rPr>
        <w:t>年增加</w:t>
      </w:r>
      <w:r>
        <w:rPr>
          <w:rFonts w:hint="eastAsia" w:ascii="仿宋_GB2312" w:eastAsia="仿宋_GB2312"/>
          <w:color w:val="auto"/>
          <w:sz w:val="32"/>
          <w:szCs w:val="32"/>
          <w:lang w:val="en-US" w:eastAsia="zh-CN"/>
        </w:rPr>
        <w:t>2.37</w:t>
      </w:r>
      <w:r>
        <w:rPr>
          <w:rFonts w:hint="eastAsia" w:ascii="仿宋_GB2312" w:eastAsia="仿宋_GB2312"/>
          <w:color w:val="auto"/>
          <w:sz w:val="32"/>
          <w:szCs w:val="32"/>
        </w:rPr>
        <w:t>万元，增长</w:t>
      </w:r>
      <w:r>
        <w:rPr>
          <w:rFonts w:hint="eastAsia" w:ascii="仿宋_GB2312" w:eastAsia="仿宋_GB2312"/>
          <w:color w:val="auto"/>
          <w:sz w:val="32"/>
          <w:szCs w:val="32"/>
          <w:lang w:val="en-US" w:eastAsia="zh-CN"/>
        </w:rPr>
        <w:t>23.7</w:t>
      </w:r>
      <w:r>
        <w:rPr>
          <w:rFonts w:ascii="仿宋_GB2312" w:eastAsia="仿宋_GB2312"/>
          <w:color w:val="auto"/>
          <w:sz w:val="32"/>
          <w:szCs w:val="32"/>
        </w:rPr>
        <w:t>%</w:t>
      </w:r>
      <w:r>
        <w:rPr>
          <w:rFonts w:hint="eastAsia" w:ascii="仿宋_GB2312" w:eastAsia="仿宋_GB2312"/>
          <w:color w:val="auto"/>
          <w:sz w:val="32"/>
          <w:szCs w:val="32"/>
        </w:rPr>
        <w:t>。主要原因是</w:t>
      </w:r>
      <w:r>
        <w:rPr>
          <w:rFonts w:hint="eastAsia" w:ascii="仿宋_GB2312" w:eastAsia="仿宋_GB2312"/>
          <w:color w:val="auto"/>
          <w:sz w:val="32"/>
          <w:szCs w:val="32"/>
          <w:lang w:eastAsia="zh-CN"/>
        </w:rPr>
        <w:t>单位工作任务加重，下乡出差次数增加，油耗增加</w:t>
      </w:r>
      <w:r>
        <w:rPr>
          <w:rFonts w:hint="eastAsia" w:ascii="仿宋_GB2312" w:eastAsia="仿宋_GB2312"/>
          <w:color w:val="auto"/>
          <w:sz w:val="32"/>
          <w:szCs w:val="32"/>
        </w:rPr>
        <w:t>。</w:t>
      </w:r>
    </w:p>
    <w:p w14:paraId="0694CA0D">
      <w:pPr>
        <w:pageBreakBefore w:val="0"/>
        <w:kinsoku/>
        <w:wordWrap/>
        <w:overflowPunct/>
        <w:topLinePunct w:val="0"/>
        <w:bidi w:val="0"/>
        <w:spacing w:line="578" w:lineRule="exact"/>
        <w:ind w:left="0" w:leftChars="0" w:right="0" w:firstLine="640" w:firstLineChars="200"/>
        <w:rPr>
          <w:rFonts w:ascii="仿宋_GB2312" w:eastAsia="仿宋_GB2312"/>
          <w:b/>
          <w:color w:val="auto"/>
          <w:sz w:val="32"/>
          <w:szCs w:val="32"/>
        </w:rPr>
      </w:pPr>
      <w:r>
        <w:rPr>
          <w:rFonts w:hint="eastAsia" w:ascii="仿宋_GB2312" w:eastAsia="仿宋_GB2312"/>
          <w:color w:val="auto"/>
          <w:sz w:val="32"/>
          <w:szCs w:val="32"/>
        </w:rPr>
        <w:t>其中：</w:t>
      </w:r>
      <w:r>
        <w:rPr>
          <w:rFonts w:hint="eastAsia" w:ascii="仿宋_GB2312" w:eastAsia="仿宋_GB2312"/>
          <w:b/>
          <w:color w:val="auto"/>
          <w:sz w:val="32"/>
          <w:szCs w:val="32"/>
        </w:rPr>
        <w:t>公务用车购置支出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万元。全年按规定更新购置公务用车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辆，其中：轿车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万元，越野车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万元，载客汽车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rPr>
        <w:t>截至</w:t>
      </w:r>
      <w:r>
        <w:rPr>
          <w:rFonts w:ascii="仿宋_GB2312" w:eastAsia="仿宋_GB2312"/>
          <w:color w:val="auto"/>
          <w:sz w:val="32"/>
          <w:szCs w:val="32"/>
        </w:rPr>
        <w:t>2020</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月底，单位共有公务用车</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辆，其中：轿车</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辆、越野车</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辆、载客汽车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w:t>
      </w:r>
    </w:p>
    <w:p w14:paraId="4D9AA0EC">
      <w:pPr>
        <w:pageBreakBefore w:val="0"/>
        <w:kinsoku/>
        <w:wordWrap/>
        <w:overflowPunct/>
        <w:topLinePunct w:val="0"/>
        <w:bidi w:val="0"/>
        <w:spacing w:line="578" w:lineRule="exact"/>
        <w:ind w:left="0" w:leftChars="0" w:right="0" w:firstLine="640"/>
        <w:rPr>
          <w:rFonts w:ascii="仿宋_GB2312" w:eastAsia="仿宋_GB2312"/>
          <w:color w:val="auto"/>
          <w:sz w:val="32"/>
          <w:szCs w:val="32"/>
        </w:rPr>
      </w:pPr>
      <w:r>
        <w:rPr>
          <w:rFonts w:hint="eastAsia" w:ascii="仿宋_GB2312" w:eastAsia="仿宋_GB2312"/>
          <w:b/>
          <w:color w:val="auto"/>
          <w:sz w:val="32"/>
          <w:szCs w:val="32"/>
        </w:rPr>
        <w:t>公务用车运行维护费支出</w:t>
      </w:r>
      <w:r>
        <w:rPr>
          <w:rFonts w:hint="eastAsia" w:ascii="仿宋_GB2312" w:eastAsia="仿宋_GB2312"/>
          <w:color w:val="auto"/>
          <w:sz w:val="32"/>
          <w:szCs w:val="32"/>
          <w:lang w:val="en-US" w:eastAsia="zh-CN"/>
        </w:rPr>
        <w:t>12.37</w:t>
      </w:r>
      <w:r>
        <w:rPr>
          <w:rFonts w:hint="eastAsia" w:ascii="仿宋_GB2312" w:eastAsia="仿宋_GB2312"/>
          <w:color w:val="auto"/>
          <w:sz w:val="32"/>
          <w:szCs w:val="32"/>
        </w:rPr>
        <w:t>万元。主要用于</w:t>
      </w:r>
      <w:r>
        <w:rPr>
          <w:rFonts w:hint="eastAsia" w:ascii="仿宋" w:hAnsi="仿宋" w:eastAsia="仿宋"/>
          <w:color w:val="auto"/>
          <w:sz w:val="32"/>
          <w:szCs w:val="32"/>
        </w:rPr>
        <w:t>文化、体育、旅游等</w:t>
      </w:r>
      <w:r>
        <w:rPr>
          <w:rFonts w:hint="eastAsia" w:ascii="仿宋_GB2312" w:eastAsia="仿宋_GB2312"/>
          <w:color w:val="auto"/>
          <w:sz w:val="32"/>
          <w:szCs w:val="32"/>
        </w:rPr>
        <w:t>所需的公务用车燃料费、维修费、过路过桥费、保险费等支出。</w:t>
      </w:r>
    </w:p>
    <w:p w14:paraId="7191DAE0">
      <w:pPr>
        <w:pageBreakBefore w:val="0"/>
        <w:kinsoku/>
        <w:wordWrap/>
        <w:overflowPunct/>
        <w:topLinePunct w:val="0"/>
        <w:bidi w:val="0"/>
        <w:spacing w:line="578" w:lineRule="exact"/>
        <w:ind w:left="0" w:leftChars="0" w:right="0" w:firstLine="640"/>
        <w:rPr>
          <w:rFonts w:ascii="仿宋_GB2312" w:eastAsia="仿宋_GB2312"/>
          <w:color w:val="auto"/>
          <w:sz w:val="32"/>
          <w:szCs w:val="32"/>
        </w:rPr>
      </w:pPr>
      <w:r>
        <w:rPr>
          <w:rFonts w:ascii="仿宋_GB2312" w:eastAsia="仿宋_GB2312"/>
          <w:b/>
          <w:color w:val="auto"/>
          <w:sz w:val="32"/>
          <w:szCs w:val="32"/>
        </w:rPr>
        <w:t>3.</w:t>
      </w:r>
      <w:r>
        <w:rPr>
          <w:rFonts w:hint="eastAsia" w:ascii="仿宋_GB2312" w:eastAsia="仿宋_GB2312"/>
          <w:b/>
          <w:color w:val="auto"/>
          <w:sz w:val="32"/>
          <w:szCs w:val="32"/>
        </w:rPr>
        <w:t>公务接待费支出</w:t>
      </w:r>
      <w:r>
        <w:rPr>
          <w:rFonts w:hint="eastAsia" w:ascii="仿宋_GB2312" w:eastAsia="仿宋_GB2312"/>
          <w:color w:val="auto"/>
          <w:sz w:val="32"/>
          <w:szCs w:val="32"/>
          <w:lang w:val="en-US" w:eastAsia="zh-CN"/>
        </w:rPr>
        <w:t>0.61</w:t>
      </w:r>
      <w:r>
        <w:rPr>
          <w:rFonts w:hint="eastAsia" w:ascii="仿宋_GB2312" w:eastAsia="仿宋_GB2312"/>
          <w:color w:val="auto"/>
          <w:sz w:val="32"/>
          <w:szCs w:val="32"/>
        </w:rPr>
        <w:t>万元，</w:t>
      </w:r>
      <w:r>
        <w:rPr>
          <w:rStyle w:val="13"/>
          <w:rFonts w:hint="eastAsia" w:ascii="仿宋" w:hAnsi="仿宋" w:eastAsia="仿宋"/>
          <w:b w:val="0"/>
          <w:bCs/>
          <w:color w:val="auto"/>
          <w:sz w:val="32"/>
          <w:szCs w:val="32"/>
        </w:rPr>
        <w:t>完成预算</w:t>
      </w:r>
      <w:r>
        <w:rPr>
          <w:rStyle w:val="13"/>
          <w:rFonts w:hint="eastAsia" w:ascii="仿宋" w:hAnsi="仿宋" w:eastAsia="仿宋"/>
          <w:b w:val="0"/>
          <w:bCs/>
          <w:color w:val="auto"/>
          <w:sz w:val="32"/>
          <w:szCs w:val="32"/>
          <w:lang w:val="en-US" w:eastAsia="zh-CN"/>
        </w:rPr>
        <w:t>100</w:t>
      </w:r>
      <w:r>
        <w:rPr>
          <w:rStyle w:val="13"/>
          <w:rFonts w:ascii="仿宋" w:hAnsi="仿宋" w:eastAsia="仿宋"/>
          <w:b w:val="0"/>
          <w:bCs/>
          <w:color w:val="auto"/>
          <w:sz w:val="32"/>
          <w:szCs w:val="32"/>
        </w:rPr>
        <w:t>%</w:t>
      </w:r>
      <w:r>
        <w:rPr>
          <w:rStyle w:val="13"/>
          <w:rFonts w:hint="eastAsia" w:ascii="仿宋" w:hAnsi="仿宋" w:eastAsia="仿宋"/>
          <w:b w:val="0"/>
          <w:bCs/>
          <w:color w:val="auto"/>
          <w:sz w:val="32"/>
          <w:szCs w:val="32"/>
        </w:rPr>
        <w:t>。</w:t>
      </w:r>
      <w:r>
        <w:rPr>
          <w:rFonts w:hint="eastAsia" w:ascii="仿宋_GB2312" w:eastAsia="仿宋_GB2312"/>
          <w:color w:val="auto"/>
          <w:sz w:val="32"/>
          <w:szCs w:val="32"/>
        </w:rPr>
        <w:t>公务接待费支出决算比</w:t>
      </w:r>
      <w:r>
        <w:rPr>
          <w:rFonts w:ascii="仿宋_GB2312" w:eastAsia="仿宋_GB2312"/>
          <w:color w:val="auto"/>
          <w:sz w:val="32"/>
          <w:szCs w:val="32"/>
        </w:rPr>
        <w:t>2019</w:t>
      </w:r>
      <w:r>
        <w:rPr>
          <w:rFonts w:hint="eastAsia" w:ascii="仿宋_GB2312" w:eastAsia="仿宋_GB2312"/>
          <w:color w:val="auto"/>
          <w:sz w:val="32"/>
          <w:szCs w:val="32"/>
        </w:rPr>
        <w:t>年减少</w:t>
      </w:r>
      <w:r>
        <w:rPr>
          <w:rFonts w:hint="eastAsia" w:ascii="仿宋_GB2312" w:eastAsia="仿宋_GB2312"/>
          <w:color w:val="auto"/>
          <w:sz w:val="32"/>
          <w:szCs w:val="32"/>
          <w:lang w:val="en-US" w:eastAsia="zh-CN"/>
        </w:rPr>
        <w:t>0.02</w:t>
      </w:r>
      <w:r>
        <w:rPr>
          <w:rFonts w:hint="eastAsia" w:ascii="仿宋_GB2312" w:eastAsia="仿宋_GB2312"/>
          <w:color w:val="auto"/>
          <w:sz w:val="32"/>
          <w:szCs w:val="32"/>
        </w:rPr>
        <w:t>万元，下降</w:t>
      </w:r>
      <w:r>
        <w:rPr>
          <w:rFonts w:hint="eastAsia" w:ascii="仿宋_GB2312" w:eastAsia="仿宋_GB2312"/>
          <w:color w:val="auto"/>
          <w:sz w:val="32"/>
          <w:szCs w:val="32"/>
          <w:lang w:val="en-US" w:eastAsia="zh-CN"/>
        </w:rPr>
        <w:t>3.17</w:t>
      </w:r>
      <w:r>
        <w:rPr>
          <w:rFonts w:ascii="仿宋_GB2312" w:eastAsia="仿宋_GB2312"/>
          <w:color w:val="auto"/>
          <w:sz w:val="32"/>
          <w:szCs w:val="32"/>
        </w:rPr>
        <w:t>%</w:t>
      </w:r>
      <w:r>
        <w:rPr>
          <w:rFonts w:hint="eastAsia" w:ascii="仿宋_GB2312" w:eastAsia="仿宋_GB2312"/>
          <w:color w:val="auto"/>
          <w:sz w:val="32"/>
          <w:szCs w:val="32"/>
        </w:rPr>
        <w:t>。主要原因是</w:t>
      </w:r>
      <w:r>
        <w:rPr>
          <w:rFonts w:hint="eastAsia" w:ascii="仿宋" w:hAnsi="仿宋" w:eastAsia="仿宋"/>
          <w:color w:val="auto"/>
          <w:sz w:val="32"/>
          <w:szCs w:val="32"/>
          <w:lang w:eastAsia="zh-CN"/>
        </w:rPr>
        <w:t>严格执行中央八项规定，严格控制支出</w:t>
      </w:r>
      <w:r>
        <w:rPr>
          <w:rFonts w:hint="eastAsia" w:ascii="仿宋" w:hAnsi="仿宋" w:eastAsia="仿宋"/>
          <w:color w:val="auto"/>
          <w:sz w:val="32"/>
          <w:szCs w:val="32"/>
        </w:rPr>
        <w:t>。</w:t>
      </w:r>
      <w:r>
        <w:rPr>
          <w:rFonts w:hint="eastAsia" w:ascii="仿宋_GB2312" w:eastAsia="仿宋_GB2312"/>
          <w:color w:val="auto"/>
          <w:sz w:val="32"/>
          <w:szCs w:val="32"/>
        </w:rPr>
        <w:t>其中：</w:t>
      </w:r>
    </w:p>
    <w:p w14:paraId="69160D97">
      <w:pPr>
        <w:pageBreakBefore w:val="0"/>
        <w:kinsoku/>
        <w:wordWrap/>
        <w:overflowPunct/>
        <w:topLinePunct w:val="0"/>
        <w:bidi w:val="0"/>
        <w:spacing w:line="578" w:lineRule="exact"/>
        <w:ind w:left="0" w:leftChars="0" w:right="0" w:firstLine="640"/>
        <w:rPr>
          <w:rFonts w:ascii="仿宋_GB2312" w:eastAsia="仿宋_GB2312"/>
          <w:color w:val="auto"/>
          <w:sz w:val="32"/>
          <w:szCs w:val="32"/>
        </w:rPr>
      </w:pPr>
      <w:r>
        <w:rPr>
          <w:rFonts w:hint="eastAsia" w:ascii="仿宋" w:hAnsi="仿宋" w:eastAsia="仿宋"/>
          <w:b/>
          <w:color w:val="auto"/>
          <w:sz w:val="32"/>
          <w:szCs w:val="32"/>
        </w:rPr>
        <w:t>国内公务接待支出</w:t>
      </w:r>
      <w:r>
        <w:rPr>
          <w:rFonts w:hint="eastAsia" w:ascii="仿宋" w:hAnsi="仿宋" w:eastAsia="仿宋"/>
          <w:color w:val="auto"/>
          <w:sz w:val="32"/>
          <w:szCs w:val="32"/>
          <w:lang w:val="en-US" w:eastAsia="zh-CN"/>
        </w:rPr>
        <w:t>0.61</w:t>
      </w:r>
      <w:r>
        <w:rPr>
          <w:rFonts w:hint="eastAsia" w:ascii="仿宋_GB2312" w:eastAsia="仿宋_GB2312"/>
          <w:color w:val="auto"/>
          <w:sz w:val="32"/>
          <w:szCs w:val="32"/>
        </w:rPr>
        <w:t>万元，主要用于</w:t>
      </w:r>
      <w:r>
        <w:rPr>
          <w:rFonts w:hint="eastAsia" w:ascii="仿宋_GB2312" w:eastAsia="仿宋_GB2312"/>
          <w:color w:val="auto"/>
          <w:sz w:val="32"/>
          <w:szCs w:val="32"/>
          <w:lang w:eastAsia="zh-CN"/>
        </w:rPr>
        <w:t>开展</w:t>
      </w:r>
      <w:r>
        <w:rPr>
          <w:rFonts w:hint="eastAsia" w:ascii="仿宋" w:hAnsi="仿宋" w:eastAsia="仿宋"/>
          <w:color w:val="auto"/>
          <w:sz w:val="32"/>
          <w:szCs w:val="32"/>
        </w:rPr>
        <w:t>文化、体育、旅游</w:t>
      </w:r>
      <w:r>
        <w:rPr>
          <w:rFonts w:hint="eastAsia" w:ascii="仿宋" w:hAnsi="仿宋" w:eastAsia="仿宋"/>
          <w:color w:val="auto"/>
          <w:sz w:val="32"/>
          <w:szCs w:val="32"/>
          <w:lang w:eastAsia="zh-CN"/>
        </w:rPr>
        <w:t>工作，</w:t>
      </w:r>
      <w:r>
        <w:rPr>
          <w:rFonts w:hint="eastAsia" w:ascii="仿宋_GB2312" w:eastAsia="仿宋_GB2312"/>
          <w:color w:val="auto"/>
          <w:sz w:val="32"/>
          <w:szCs w:val="32"/>
        </w:rPr>
        <w:t>执行公务、开展业务活动开支的交通费、住宿费、用餐费等。国内公务接待</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批次，</w:t>
      </w:r>
      <w:r>
        <w:rPr>
          <w:rFonts w:hint="eastAsia" w:ascii="仿宋_GB2312" w:eastAsia="仿宋_GB2312"/>
          <w:color w:val="auto"/>
          <w:sz w:val="32"/>
          <w:szCs w:val="32"/>
          <w:lang w:val="en-US" w:eastAsia="zh-CN"/>
        </w:rPr>
        <w:t>87</w:t>
      </w:r>
      <w:r>
        <w:rPr>
          <w:rFonts w:hint="eastAsia" w:ascii="仿宋_GB2312" w:eastAsia="仿宋_GB2312"/>
          <w:color w:val="auto"/>
          <w:sz w:val="32"/>
          <w:szCs w:val="32"/>
        </w:rPr>
        <w:t>人次（不包括陪同人员），共计支出</w:t>
      </w:r>
      <w:r>
        <w:rPr>
          <w:rFonts w:hint="eastAsia" w:ascii="仿宋_GB2312" w:eastAsia="仿宋_GB2312"/>
          <w:color w:val="auto"/>
          <w:sz w:val="32"/>
          <w:szCs w:val="32"/>
          <w:lang w:val="en-US" w:eastAsia="zh-CN"/>
        </w:rPr>
        <w:t>0.61</w:t>
      </w:r>
      <w:r>
        <w:rPr>
          <w:rFonts w:hint="eastAsia" w:ascii="仿宋_GB2312" w:eastAsia="仿宋_GB2312"/>
          <w:color w:val="auto"/>
          <w:sz w:val="32"/>
          <w:szCs w:val="32"/>
        </w:rPr>
        <w:t>万元，具体内容包括：支“阿来书屋”两馆一站和贫困村文化室建设情况接待费</w:t>
      </w:r>
      <w:r>
        <w:rPr>
          <w:rFonts w:hint="eastAsia" w:ascii="仿宋_GB2312" w:eastAsia="仿宋_GB2312"/>
          <w:color w:val="auto"/>
          <w:sz w:val="32"/>
          <w:szCs w:val="32"/>
          <w:lang w:val="en-US" w:eastAsia="zh-CN"/>
        </w:rPr>
        <w:t>635元，州《牦牛革命》采风拍摄接待费2305元，州歌舞团2020送文化下乡接待费3160元</w:t>
      </w:r>
      <w:r>
        <w:rPr>
          <w:rFonts w:hint="eastAsia" w:ascii="仿宋_GB2312" w:eastAsia="仿宋_GB2312"/>
          <w:color w:val="auto"/>
          <w:sz w:val="32"/>
          <w:szCs w:val="32"/>
        </w:rPr>
        <w:t>。</w:t>
      </w:r>
    </w:p>
    <w:p w14:paraId="2D731C03">
      <w:pPr>
        <w:pageBreakBefore w:val="0"/>
        <w:kinsoku/>
        <w:wordWrap/>
        <w:overflowPunct/>
        <w:topLinePunct w:val="0"/>
        <w:bidi w:val="0"/>
        <w:spacing w:line="578" w:lineRule="exact"/>
        <w:ind w:left="0" w:leftChars="0" w:right="0" w:firstLine="643" w:firstLineChars="200"/>
        <w:rPr>
          <w:rFonts w:ascii="仿宋_GB2312" w:eastAsia="仿宋_GB2312"/>
          <w:color w:val="auto"/>
          <w:sz w:val="32"/>
          <w:szCs w:val="32"/>
        </w:rPr>
      </w:pPr>
      <w:r>
        <w:rPr>
          <w:rFonts w:hint="eastAsia" w:ascii="仿宋" w:hAnsi="仿宋" w:eastAsia="仿宋"/>
          <w:b/>
          <w:color w:val="auto"/>
          <w:sz w:val="32"/>
          <w:szCs w:val="32"/>
        </w:rPr>
        <w:t>外事接待支出</w:t>
      </w:r>
      <w:r>
        <w:rPr>
          <w:rFonts w:hint="eastAsia" w:ascii="仿宋" w:hAnsi="仿宋" w:eastAsia="仿宋"/>
          <w:color w:val="auto"/>
          <w:sz w:val="32"/>
          <w:szCs w:val="32"/>
          <w:lang w:val="en-US" w:eastAsia="zh-CN"/>
        </w:rPr>
        <w:t>0</w:t>
      </w:r>
      <w:r>
        <w:rPr>
          <w:rFonts w:hint="eastAsia" w:ascii="仿宋_GB2312" w:eastAsia="仿宋_GB2312"/>
          <w:color w:val="auto"/>
          <w:sz w:val="32"/>
          <w:szCs w:val="32"/>
        </w:rPr>
        <w:t>万元，外事接待</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批次，</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人，共计支出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14:paraId="544F2718">
      <w:pPr>
        <w:pageBreakBefore w:val="0"/>
        <w:kinsoku/>
        <w:wordWrap/>
        <w:overflowPunct/>
        <w:topLinePunct w:val="0"/>
        <w:bidi w:val="0"/>
        <w:spacing w:line="578" w:lineRule="exact"/>
        <w:ind w:right="0" w:firstLine="640" w:firstLineChars="200"/>
        <w:outlineLvl w:val="1"/>
        <w:rPr>
          <w:rStyle w:val="15"/>
          <w:rFonts w:ascii="黑体" w:hAnsi="黑体" w:eastAsia="黑体"/>
          <w:color w:val="auto"/>
        </w:rPr>
      </w:pPr>
      <w:bookmarkStart w:id="82" w:name="_Toc79163872"/>
      <w:bookmarkStart w:id="83" w:name="_Toc15377218"/>
      <w:bookmarkStart w:id="84" w:name="_Toc79163622"/>
      <w:bookmarkStart w:id="85" w:name="_Toc15396610"/>
      <w:r>
        <w:rPr>
          <w:rStyle w:val="15"/>
          <w:rFonts w:hint="eastAsia" w:ascii="黑体" w:hAnsi="黑体" w:eastAsia="黑体"/>
          <w:b w:val="0"/>
          <w:color w:val="auto"/>
          <w:lang w:eastAsia="zh-CN"/>
        </w:rPr>
        <w:t>八、</w:t>
      </w:r>
      <w:r>
        <w:rPr>
          <w:rStyle w:val="15"/>
          <w:rFonts w:hint="eastAsia" w:ascii="黑体" w:hAnsi="黑体" w:eastAsia="黑体"/>
          <w:b w:val="0"/>
          <w:color w:val="auto"/>
        </w:rPr>
        <w:t>政府性基金预算支出决算情况说明</w:t>
      </w:r>
      <w:bookmarkEnd w:id="82"/>
      <w:bookmarkEnd w:id="83"/>
      <w:bookmarkEnd w:id="84"/>
      <w:bookmarkEnd w:id="85"/>
    </w:p>
    <w:p w14:paraId="0BED8465">
      <w:pPr>
        <w:pageBreakBefore w:val="0"/>
        <w:kinsoku/>
        <w:wordWrap/>
        <w:overflowPunct/>
        <w:topLinePunct w:val="0"/>
        <w:bidi w:val="0"/>
        <w:spacing w:line="578" w:lineRule="exact"/>
        <w:ind w:left="0" w:leftChars="0" w:right="0" w:firstLine="640"/>
        <w:rPr>
          <w:rFonts w:ascii="仿宋_GB2312" w:eastAsia="仿宋_GB2312"/>
          <w:color w:val="auto"/>
          <w:sz w:val="32"/>
          <w:szCs w:val="32"/>
        </w:rPr>
      </w:pPr>
      <w:r>
        <w:rPr>
          <w:rFonts w:ascii="仿宋_GB2312" w:eastAsia="仿宋_GB2312"/>
          <w:color w:val="auto"/>
          <w:sz w:val="32"/>
          <w:szCs w:val="32"/>
        </w:rPr>
        <w:t>2020</w:t>
      </w:r>
      <w:r>
        <w:rPr>
          <w:rFonts w:hint="eastAsia" w:ascii="仿宋_GB2312" w:eastAsia="仿宋_GB2312"/>
          <w:color w:val="auto"/>
          <w:sz w:val="32"/>
          <w:szCs w:val="32"/>
        </w:rPr>
        <w:t>年政府性基金预算拨款支出</w:t>
      </w:r>
      <w:r>
        <w:rPr>
          <w:rFonts w:hint="eastAsia" w:ascii="仿宋_GB2312" w:eastAsia="仿宋_GB2312"/>
          <w:color w:val="auto"/>
          <w:sz w:val="32"/>
          <w:szCs w:val="32"/>
          <w:lang w:val="en-US" w:eastAsia="zh-CN"/>
        </w:rPr>
        <w:t>9.09</w:t>
      </w:r>
      <w:r>
        <w:rPr>
          <w:rFonts w:hint="eastAsia" w:ascii="仿宋_GB2312" w:eastAsia="仿宋_GB2312"/>
          <w:color w:val="auto"/>
          <w:sz w:val="32"/>
          <w:szCs w:val="32"/>
        </w:rPr>
        <w:t>万元。</w:t>
      </w:r>
    </w:p>
    <w:p w14:paraId="18FFD5B6">
      <w:pPr>
        <w:pageBreakBefore w:val="0"/>
        <w:numPr>
          <w:ilvl w:val="0"/>
          <w:numId w:val="1"/>
        </w:numPr>
        <w:kinsoku/>
        <w:wordWrap/>
        <w:overflowPunct/>
        <w:topLinePunct w:val="0"/>
        <w:bidi w:val="0"/>
        <w:spacing w:line="578" w:lineRule="exact"/>
        <w:ind w:left="0" w:leftChars="0" w:right="0" w:firstLine="640"/>
        <w:outlineLvl w:val="1"/>
        <w:rPr>
          <w:rStyle w:val="15"/>
          <w:rFonts w:ascii="黑体" w:hAnsi="黑体" w:eastAsia="黑体"/>
          <w:b w:val="0"/>
          <w:color w:val="auto"/>
        </w:rPr>
      </w:pPr>
      <w:bookmarkStart w:id="86" w:name="_Toc79163623"/>
      <w:bookmarkStart w:id="87" w:name="_Toc15396611"/>
      <w:bookmarkStart w:id="88" w:name="_Toc79163873"/>
      <w:bookmarkStart w:id="89" w:name="_Toc15377219"/>
      <w:r>
        <w:rPr>
          <w:rStyle w:val="15"/>
          <w:rFonts w:hint="eastAsia" w:ascii="黑体" w:hAnsi="黑体" w:eastAsia="黑体"/>
          <w:b w:val="0"/>
          <w:color w:val="auto"/>
        </w:rPr>
        <w:t>国有资本经营预算支出决算情况说明</w:t>
      </w:r>
      <w:bookmarkEnd w:id="86"/>
      <w:bookmarkEnd w:id="87"/>
      <w:bookmarkEnd w:id="88"/>
      <w:bookmarkEnd w:id="89"/>
    </w:p>
    <w:p w14:paraId="34630D29">
      <w:pPr>
        <w:pageBreakBefore w:val="0"/>
        <w:kinsoku/>
        <w:wordWrap/>
        <w:overflowPunct/>
        <w:topLinePunct w:val="0"/>
        <w:bidi w:val="0"/>
        <w:spacing w:line="578" w:lineRule="exact"/>
        <w:ind w:left="0" w:leftChars="0" w:right="0" w:firstLine="640"/>
        <w:rPr>
          <w:rFonts w:hint="eastAsia" w:ascii="仿宋_GB2312" w:eastAsia="仿宋_GB2312"/>
          <w:color w:val="auto"/>
          <w:sz w:val="32"/>
          <w:szCs w:val="32"/>
        </w:rPr>
      </w:pPr>
      <w:r>
        <w:rPr>
          <w:rFonts w:ascii="仿宋_GB2312" w:eastAsia="仿宋_GB2312"/>
          <w:color w:val="auto"/>
          <w:sz w:val="32"/>
          <w:szCs w:val="32"/>
        </w:rPr>
        <w:t>2020</w:t>
      </w:r>
      <w:r>
        <w:rPr>
          <w:rFonts w:hint="eastAsia" w:ascii="仿宋_GB2312" w:eastAsia="仿宋_GB2312"/>
          <w:color w:val="auto"/>
          <w:sz w:val="32"/>
          <w:szCs w:val="32"/>
        </w:rPr>
        <w:t>年国有资本经营预算拨款支出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bookmarkStart w:id="90" w:name="_Toc15377221"/>
      <w:bookmarkStart w:id="91" w:name="_Toc79163874"/>
      <w:bookmarkStart w:id="92" w:name="_Toc79163624"/>
      <w:bookmarkStart w:id="93" w:name="_Toc15396612"/>
    </w:p>
    <w:p w14:paraId="165B51FE">
      <w:pPr>
        <w:pageBreakBefore w:val="0"/>
        <w:kinsoku/>
        <w:wordWrap/>
        <w:overflowPunct/>
        <w:topLinePunct w:val="0"/>
        <w:bidi w:val="0"/>
        <w:spacing w:line="578" w:lineRule="exact"/>
        <w:ind w:left="0" w:leftChars="0" w:right="0" w:firstLine="640"/>
        <w:rPr>
          <w:rStyle w:val="15"/>
          <w:rFonts w:ascii="黑体" w:hAnsi="黑体" w:eastAsia="黑体"/>
          <w:color w:val="auto"/>
        </w:rPr>
      </w:pPr>
      <w:r>
        <w:rPr>
          <w:rFonts w:hint="eastAsia" w:ascii="黑体" w:hAnsi="黑体" w:eastAsia="黑体"/>
          <w:color w:val="auto"/>
          <w:sz w:val="32"/>
          <w:szCs w:val="32"/>
        </w:rPr>
        <w:t>十</w:t>
      </w:r>
      <w:r>
        <w:rPr>
          <w:rStyle w:val="15"/>
          <w:rFonts w:hint="eastAsia" w:ascii="黑体" w:hAnsi="黑体" w:eastAsia="黑体"/>
          <w:color w:val="auto"/>
        </w:rPr>
        <w:t>、</w:t>
      </w:r>
      <w:r>
        <w:rPr>
          <w:rStyle w:val="15"/>
          <w:rFonts w:hint="eastAsia" w:ascii="黑体" w:hAnsi="黑体" w:eastAsia="黑体"/>
          <w:b w:val="0"/>
          <w:color w:val="auto"/>
        </w:rPr>
        <w:t>其他重要事项的情况说明</w:t>
      </w:r>
      <w:bookmarkEnd w:id="90"/>
      <w:bookmarkEnd w:id="91"/>
      <w:bookmarkEnd w:id="92"/>
      <w:bookmarkEnd w:id="93"/>
    </w:p>
    <w:p w14:paraId="663C222D">
      <w:pPr>
        <w:pageBreakBefore w:val="0"/>
        <w:kinsoku/>
        <w:wordWrap/>
        <w:overflowPunct/>
        <w:topLinePunct w:val="0"/>
        <w:bidi w:val="0"/>
        <w:spacing w:line="578" w:lineRule="exact"/>
        <w:ind w:left="0" w:leftChars="0" w:right="0" w:firstLine="643" w:firstLineChars="200"/>
        <w:outlineLvl w:val="2"/>
        <w:rPr>
          <w:rFonts w:hint="eastAsia" w:ascii="楷体_GB2312" w:hAnsi="楷体_GB2312" w:eastAsia="楷体_GB2312" w:cs="楷体_GB2312"/>
          <w:color w:val="auto"/>
          <w:sz w:val="32"/>
          <w:szCs w:val="32"/>
        </w:rPr>
      </w:pPr>
      <w:bookmarkStart w:id="94" w:name="_Toc15377222"/>
      <w:bookmarkStart w:id="95" w:name="_Toc79163625"/>
      <w:bookmarkStart w:id="96" w:name="_Toc79163875"/>
      <w:r>
        <w:rPr>
          <w:rFonts w:hint="eastAsia" w:ascii="楷体_GB2312" w:hAnsi="楷体_GB2312" w:eastAsia="楷体_GB2312" w:cs="楷体_GB2312"/>
          <w:b/>
          <w:color w:val="auto"/>
          <w:sz w:val="32"/>
          <w:szCs w:val="32"/>
        </w:rPr>
        <w:t>（一）机关运行经费支出情况</w:t>
      </w:r>
      <w:bookmarkEnd w:id="94"/>
      <w:bookmarkEnd w:id="95"/>
      <w:bookmarkEnd w:id="96"/>
    </w:p>
    <w:p w14:paraId="71C3D14C">
      <w:pPr>
        <w:pageBreakBefore w:val="0"/>
        <w:kinsoku/>
        <w:wordWrap/>
        <w:overflowPunct/>
        <w:topLinePunct w:val="0"/>
        <w:bidi w:val="0"/>
        <w:spacing w:line="578" w:lineRule="exact"/>
        <w:ind w:right="0" w:firstLine="640" w:firstLineChars="200"/>
        <w:rPr>
          <w:rFonts w:ascii="仿宋" w:hAnsi="仿宋" w:eastAsia="仿宋"/>
          <w:b/>
          <w:color w:val="auto"/>
          <w:sz w:val="32"/>
          <w:szCs w:val="32"/>
        </w:rPr>
      </w:pPr>
      <w:r>
        <w:rPr>
          <w:rFonts w:ascii="仿宋_GB2312" w:eastAsia="仿宋_GB2312"/>
          <w:color w:val="auto"/>
          <w:sz w:val="32"/>
          <w:szCs w:val="32"/>
        </w:rPr>
        <w:t>2020</w:t>
      </w:r>
      <w:r>
        <w:rPr>
          <w:rFonts w:hint="eastAsia" w:ascii="仿宋_GB2312" w:eastAsia="仿宋_GB2312"/>
          <w:color w:val="auto"/>
          <w:sz w:val="32"/>
          <w:szCs w:val="32"/>
        </w:rPr>
        <w:t>年，</w:t>
      </w:r>
      <w:r>
        <w:rPr>
          <w:rFonts w:hint="eastAsia" w:ascii="仿宋_GB2312" w:eastAsia="仿宋_GB2312"/>
          <w:color w:val="auto"/>
          <w:sz w:val="32"/>
          <w:szCs w:val="32"/>
          <w:lang w:eastAsia="zh-CN"/>
        </w:rPr>
        <w:t>文化体育和旅游局</w:t>
      </w:r>
      <w:r>
        <w:rPr>
          <w:rFonts w:hint="eastAsia" w:ascii="仿宋_GB2312" w:eastAsia="仿宋_GB2312"/>
          <w:color w:val="auto"/>
          <w:sz w:val="32"/>
          <w:szCs w:val="32"/>
        </w:rPr>
        <w:t>机关运行经费支出</w:t>
      </w:r>
      <w:r>
        <w:rPr>
          <w:rFonts w:hint="eastAsia" w:ascii="仿宋_GB2312" w:eastAsia="仿宋_GB2312"/>
          <w:color w:val="auto"/>
          <w:sz w:val="32"/>
          <w:szCs w:val="32"/>
          <w:lang w:val="en-US" w:eastAsia="zh-CN"/>
        </w:rPr>
        <w:t>44.71</w:t>
      </w:r>
      <w:r>
        <w:rPr>
          <w:rFonts w:hint="eastAsia" w:ascii="仿宋_GB2312" w:eastAsia="仿宋_GB2312"/>
          <w:color w:val="auto"/>
          <w:sz w:val="32"/>
          <w:szCs w:val="32"/>
        </w:rPr>
        <w:t>万元，比</w:t>
      </w:r>
      <w:r>
        <w:rPr>
          <w:rFonts w:ascii="仿宋_GB2312" w:eastAsia="仿宋_GB2312"/>
          <w:color w:val="auto"/>
          <w:sz w:val="32"/>
          <w:szCs w:val="32"/>
        </w:rPr>
        <w:t>2019</w:t>
      </w:r>
      <w:r>
        <w:rPr>
          <w:rFonts w:hint="eastAsia" w:ascii="仿宋_GB2312" w:eastAsia="仿宋_GB2312"/>
          <w:color w:val="auto"/>
          <w:sz w:val="32"/>
          <w:szCs w:val="32"/>
        </w:rPr>
        <w:t>年减少</w:t>
      </w:r>
      <w:r>
        <w:rPr>
          <w:rFonts w:hint="eastAsia" w:ascii="仿宋_GB2312" w:eastAsia="仿宋_GB2312"/>
          <w:color w:val="auto"/>
          <w:sz w:val="32"/>
          <w:szCs w:val="32"/>
          <w:lang w:val="en-US" w:eastAsia="zh-CN"/>
        </w:rPr>
        <w:t>607.77</w:t>
      </w:r>
      <w:r>
        <w:rPr>
          <w:rFonts w:hint="eastAsia" w:ascii="仿宋_GB2312" w:eastAsia="仿宋_GB2312"/>
          <w:color w:val="auto"/>
          <w:sz w:val="32"/>
          <w:szCs w:val="32"/>
        </w:rPr>
        <w:t>万元，下降</w:t>
      </w:r>
      <w:r>
        <w:rPr>
          <w:rFonts w:hint="eastAsia" w:ascii="仿宋_GB2312" w:eastAsia="仿宋_GB2312"/>
          <w:color w:val="auto"/>
          <w:sz w:val="32"/>
          <w:szCs w:val="32"/>
          <w:lang w:val="en-US" w:eastAsia="zh-CN"/>
        </w:rPr>
        <w:t>93.15</w:t>
      </w:r>
      <w:r>
        <w:rPr>
          <w:rFonts w:ascii="仿宋_GB2312" w:eastAsia="仿宋_GB2312"/>
          <w:color w:val="auto"/>
          <w:sz w:val="32"/>
          <w:szCs w:val="32"/>
        </w:rPr>
        <w:t>%</w:t>
      </w:r>
      <w:r>
        <w:rPr>
          <w:rFonts w:hint="eastAsia" w:ascii="仿宋_GB2312" w:eastAsia="仿宋_GB2312"/>
          <w:color w:val="auto"/>
          <w:sz w:val="32"/>
          <w:szCs w:val="32"/>
        </w:rPr>
        <w:t>。主要原因是</w:t>
      </w:r>
      <w:r>
        <w:rPr>
          <w:rFonts w:hint="eastAsia" w:ascii="仿宋_GB2312" w:eastAsia="仿宋_GB2312"/>
          <w:color w:val="auto"/>
          <w:sz w:val="32"/>
          <w:szCs w:val="32"/>
          <w:lang w:eastAsia="zh-CN"/>
        </w:rPr>
        <w:t>执行中央八项规定，严格控制预算支出。</w:t>
      </w:r>
    </w:p>
    <w:p w14:paraId="62B3A0F7">
      <w:pPr>
        <w:pageBreakBefore w:val="0"/>
        <w:kinsoku/>
        <w:wordWrap/>
        <w:overflowPunct/>
        <w:topLinePunct w:val="0"/>
        <w:autoSpaceDE w:val="0"/>
        <w:autoSpaceDN w:val="0"/>
        <w:bidi w:val="0"/>
        <w:adjustRightInd w:val="0"/>
        <w:spacing w:line="578" w:lineRule="exact"/>
        <w:ind w:left="0" w:leftChars="0" w:right="0" w:firstLine="643" w:firstLineChars="200"/>
        <w:jc w:val="left"/>
        <w:outlineLvl w:val="2"/>
        <w:rPr>
          <w:rFonts w:hint="eastAsia" w:ascii="楷体_GB2312" w:hAnsi="楷体_GB2312" w:eastAsia="楷体_GB2312" w:cs="楷体_GB2312"/>
          <w:b/>
          <w:color w:val="auto"/>
          <w:sz w:val="32"/>
          <w:szCs w:val="32"/>
        </w:rPr>
      </w:pPr>
      <w:bookmarkStart w:id="97" w:name="_Toc79163626"/>
      <w:bookmarkStart w:id="98" w:name="_Toc15377223"/>
      <w:bookmarkStart w:id="99" w:name="_Toc79163876"/>
      <w:r>
        <w:rPr>
          <w:rFonts w:hint="eastAsia" w:ascii="楷体_GB2312" w:hAnsi="楷体_GB2312" w:eastAsia="楷体_GB2312" w:cs="楷体_GB2312"/>
          <w:b/>
          <w:color w:val="auto"/>
          <w:sz w:val="32"/>
          <w:szCs w:val="32"/>
        </w:rPr>
        <w:t>（二）政府采购支出情况</w:t>
      </w:r>
      <w:bookmarkEnd w:id="97"/>
      <w:bookmarkEnd w:id="98"/>
      <w:bookmarkEnd w:id="99"/>
    </w:p>
    <w:p w14:paraId="44E1CCB9">
      <w:pPr>
        <w:pageBreakBefore w:val="0"/>
        <w:kinsoku/>
        <w:wordWrap/>
        <w:overflowPunct/>
        <w:topLinePunct w:val="0"/>
        <w:bidi w:val="0"/>
        <w:spacing w:line="578" w:lineRule="exact"/>
        <w:ind w:left="0" w:leftChars="0" w:right="0" w:firstLine="640" w:firstLineChars="200"/>
        <w:rPr>
          <w:rFonts w:ascii="仿宋_GB2312" w:eastAsia="仿宋_GB2312"/>
          <w:color w:val="auto"/>
          <w:sz w:val="32"/>
          <w:szCs w:val="32"/>
        </w:rPr>
      </w:pPr>
      <w:r>
        <w:rPr>
          <w:rFonts w:ascii="仿宋_GB2312" w:eastAsia="仿宋_GB2312"/>
          <w:color w:val="auto"/>
          <w:sz w:val="32"/>
          <w:szCs w:val="32"/>
        </w:rPr>
        <w:t>2020</w:t>
      </w:r>
      <w:r>
        <w:rPr>
          <w:rFonts w:hint="eastAsia" w:ascii="仿宋_GB2312" w:eastAsia="仿宋_GB2312"/>
          <w:color w:val="auto"/>
          <w:sz w:val="32"/>
          <w:szCs w:val="32"/>
        </w:rPr>
        <w:t>年，政府采购支出总额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万元，其中：政府采购货物支出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万元、政府采购工程支出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万元、政府采购服务支出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万元。授予中小企业合同金额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万元，占政府采购支出总额的</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，其中：授予小微企业合同金额</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万元，占政府采购支出总额的</w:t>
      </w:r>
      <w:r>
        <w:rPr>
          <w:rFonts w:hint="eastAsia" w:ascii="仿宋_GB2312" w:eastAsia="仿宋_GB2312"/>
          <w:color w:val="auto"/>
          <w:sz w:val="32"/>
          <w:szCs w:val="32"/>
          <w:lang w:val="en-US" w:eastAsia="zh-CN"/>
        </w:rPr>
        <w:t>0</w:t>
      </w:r>
      <w:r>
        <w:rPr>
          <w:rFonts w:ascii="仿宋_GB2312" w:eastAsia="仿宋_GB2312"/>
          <w:color w:val="auto"/>
          <w:sz w:val="32"/>
          <w:szCs w:val="32"/>
        </w:rPr>
        <w:t>%</w:t>
      </w:r>
      <w:r>
        <w:rPr>
          <w:rFonts w:hint="eastAsia" w:ascii="仿宋_GB2312" w:eastAsia="仿宋_GB2312"/>
          <w:color w:val="auto"/>
          <w:sz w:val="32"/>
          <w:szCs w:val="32"/>
        </w:rPr>
        <w:t>。</w:t>
      </w:r>
    </w:p>
    <w:p w14:paraId="10758BD3">
      <w:pPr>
        <w:pageBreakBefore w:val="0"/>
        <w:kinsoku/>
        <w:wordWrap/>
        <w:overflowPunct/>
        <w:topLinePunct w:val="0"/>
        <w:autoSpaceDE w:val="0"/>
        <w:autoSpaceDN w:val="0"/>
        <w:bidi w:val="0"/>
        <w:adjustRightInd w:val="0"/>
        <w:spacing w:line="578" w:lineRule="exact"/>
        <w:ind w:left="0" w:leftChars="0" w:right="0" w:firstLine="643" w:firstLineChars="200"/>
        <w:jc w:val="left"/>
        <w:outlineLvl w:val="2"/>
        <w:rPr>
          <w:rFonts w:hint="eastAsia" w:ascii="楷体_GB2312" w:hAnsi="楷体_GB2312" w:eastAsia="楷体_GB2312" w:cs="楷体_GB2312"/>
          <w:b/>
          <w:color w:val="auto"/>
          <w:sz w:val="32"/>
          <w:szCs w:val="32"/>
        </w:rPr>
      </w:pPr>
      <w:bookmarkStart w:id="100" w:name="_Toc79163627"/>
      <w:bookmarkStart w:id="101" w:name="_Toc79163877"/>
      <w:bookmarkStart w:id="102" w:name="_Toc15377224"/>
      <w:r>
        <w:rPr>
          <w:rFonts w:hint="eastAsia" w:ascii="楷体_GB2312" w:hAnsi="楷体_GB2312" w:eastAsia="楷体_GB2312" w:cs="楷体_GB2312"/>
          <w:b/>
          <w:color w:val="auto"/>
          <w:sz w:val="32"/>
          <w:szCs w:val="32"/>
        </w:rPr>
        <w:t>（三）国有资产占有使用情况</w:t>
      </w:r>
      <w:bookmarkEnd w:id="100"/>
      <w:bookmarkEnd w:id="101"/>
      <w:bookmarkEnd w:id="102"/>
    </w:p>
    <w:p w14:paraId="573182DA">
      <w:pPr>
        <w:pageBreakBefore w:val="0"/>
        <w:kinsoku/>
        <w:wordWrap/>
        <w:overflowPunct/>
        <w:topLinePunct w:val="0"/>
        <w:autoSpaceDE w:val="0"/>
        <w:autoSpaceDN w:val="0"/>
        <w:bidi w:val="0"/>
        <w:adjustRightInd w:val="0"/>
        <w:spacing w:line="578" w:lineRule="exact"/>
        <w:ind w:left="0" w:leftChars="0" w:right="0" w:firstLine="640" w:firstLineChars="200"/>
        <w:jc w:val="left"/>
        <w:rPr>
          <w:rFonts w:ascii="仿宋" w:hAnsi="仿宋" w:eastAsia="仿宋"/>
          <w:b/>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2020</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eastAsia="仿宋_GB2312"/>
          <w:color w:val="auto"/>
          <w:sz w:val="32"/>
          <w:szCs w:val="32"/>
          <w:lang w:eastAsia="zh-CN"/>
        </w:rPr>
        <w:t>文旅局</w:t>
      </w:r>
      <w:r>
        <w:rPr>
          <w:rFonts w:hint="eastAsia" w:ascii="仿宋_GB2312" w:eastAsia="仿宋_GB2312"/>
          <w:color w:val="auto"/>
          <w:sz w:val="32"/>
          <w:szCs w:val="32"/>
        </w:rPr>
        <w:t>共有车辆</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辆，其中：主要领导干部用车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辆、机要通信用车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w:t>
      </w:r>
      <w:r>
        <w:rPr>
          <w:rFonts w:hint="eastAsia" w:ascii="仿宋" w:hAnsi="仿宋" w:eastAsia="仿宋"/>
          <w:color w:val="auto"/>
          <w:sz w:val="32"/>
          <w:szCs w:val="32"/>
        </w:rPr>
        <w:t>执勤执法1辆</w:t>
      </w:r>
      <w:r>
        <w:rPr>
          <w:rFonts w:hint="eastAsia" w:ascii="仿宋_GB2312" w:eastAsia="仿宋_GB2312"/>
          <w:color w:val="auto"/>
          <w:sz w:val="32"/>
          <w:szCs w:val="32"/>
        </w:rPr>
        <w:t>、其他用车</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辆</w:t>
      </w:r>
      <w:r>
        <w:rPr>
          <w:rFonts w:hint="eastAsia" w:ascii="仿宋_GB2312" w:eastAsia="仿宋_GB2312"/>
          <w:color w:val="auto"/>
          <w:sz w:val="32"/>
          <w:szCs w:val="32"/>
          <w:lang w:eastAsia="zh-CN"/>
        </w:rPr>
        <w:t>，</w:t>
      </w:r>
      <w:r>
        <w:rPr>
          <w:rFonts w:hint="eastAsia" w:ascii="仿宋" w:hAnsi="仿宋" w:eastAsia="仿宋"/>
          <w:color w:val="auto"/>
          <w:sz w:val="32"/>
          <w:szCs w:val="32"/>
        </w:rPr>
        <w:t>单价50万元以上通用设备0台（套），单价100万元以上专用设备0台（套）。</w:t>
      </w:r>
    </w:p>
    <w:p w14:paraId="25FFC5A9">
      <w:pPr>
        <w:pageBreakBefore w:val="0"/>
        <w:kinsoku/>
        <w:wordWrap/>
        <w:overflowPunct/>
        <w:topLinePunct w:val="0"/>
        <w:autoSpaceDE w:val="0"/>
        <w:autoSpaceDN w:val="0"/>
        <w:bidi w:val="0"/>
        <w:adjustRightInd w:val="0"/>
        <w:spacing w:line="578" w:lineRule="exact"/>
        <w:ind w:left="0" w:leftChars="0" w:right="0" w:firstLine="643" w:firstLineChars="200"/>
        <w:jc w:val="left"/>
        <w:outlineLvl w:val="2"/>
        <w:rPr>
          <w:rFonts w:hint="eastAsia" w:ascii="楷体_GB2312" w:hAnsi="楷体_GB2312" w:eastAsia="楷体_GB2312" w:cs="楷体_GB2312"/>
          <w:b/>
          <w:color w:val="auto"/>
          <w:sz w:val="32"/>
          <w:szCs w:val="32"/>
        </w:rPr>
      </w:pPr>
      <w:bookmarkStart w:id="103" w:name="_Toc79163878"/>
      <w:bookmarkStart w:id="104" w:name="_Toc79163628"/>
      <w:r>
        <w:rPr>
          <w:rFonts w:hint="eastAsia" w:ascii="楷体_GB2312" w:hAnsi="楷体_GB2312" w:eastAsia="楷体_GB2312" w:cs="楷体_GB2312"/>
          <w:b/>
          <w:color w:val="auto"/>
          <w:sz w:val="32"/>
          <w:szCs w:val="32"/>
        </w:rPr>
        <w:t>（四）预算绩效管理情况。</w:t>
      </w:r>
      <w:bookmarkEnd w:id="103"/>
      <w:bookmarkEnd w:id="104"/>
    </w:p>
    <w:p w14:paraId="7539D988">
      <w:pPr>
        <w:pageBreakBefore w:val="0"/>
        <w:kinsoku/>
        <w:wordWrap/>
        <w:overflowPunct/>
        <w:topLinePunct w:val="0"/>
        <w:bidi w:val="0"/>
        <w:spacing w:line="578"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根据预算绩效管理要求，本部门（单位）在年初预算编制阶段，组织对</w:t>
      </w:r>
      <w:r>
        <w:rPr>
          <w:rFonts w:hint="eastAsia" w:ascii="仿宋_GB2312" w:hAnsi="仿宋_GB2312" w:eastAsia="仿宋_GB2312" w:cs="仿宋_GB2312"/>
          <w:color w:val="auto"/>
          <w:sz w:val="32"/>
          <w:szCs w:val="32"/>
          <w:lang w:val="en-US" w:eastAsia="zh-CN"/>
        </w:rPr>
        <w:t>中央补助地方公共文化服务体系建设资金（重点项目）－戏曲进乡村</w:t>
      </w:r>
      <w:r>
        <w:rPr>
          <w:rFonts w:hint="eastAsia" w:ascii="仿宋_GB2312" w:hAnsi="仿宋_GB2312" w:eastAsia="仿宋_GB2312" w:cs="仿宋_GB2312"/>
          <w:color w:val="auto"/>
          <w:sz w:val="32"/>
          <w:szCs w:val="32"/>
        </w:rPr>
        <w:t>项目开展了预算事前绩效评估，对</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个项目编制了绩效目标，预算执行过程中，选取</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个项目开展绩效监控，年终执行完毕后，对</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个项目开展了绩效目标完成情况自评。</w:t>
      </w:r>
    </w:p>
    <w:p w14:paraId="3B88357F">
      <w:pPr>
        <w:keepNext w:val="0"/>
        <w:keepLines w:val="0"/>
        <w:pageBreakBefore w:val="0"/>
        <w:widowControl w:val="0"/>
        <w:kinsoku/>
        <w:wordWrap/>
        <w:overflowPunct/>
        <w:topLinePunct w:val="0"/>
        <w:autoSpaceDE/>
        <w:autoSpaceDN/>
        <w:bidi w:val="0"/>
        <w:adjustRightInd/>
        <w:snapToGrid/>
        <w:spacing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本部门按要求对2020年部门整体支出开展绩效自评，从评价情况来看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我县戏曲进乡村通过演出的形式带给农牧民群众，节目内容不断更新，节目多元化，从而满足广大群众的精神文化需求，得到了群众的一致好评</w:t>
      </w:r>
      <w:r>
        <w:rPr>
          <w:rFonts w:hint="eastAsia" w:ascii="仿宋_GB2312" w:hAnsi="仿宋_GB2312" w:eastAsia="仿宋_GB2312" w:cs="仿宋_GB2312"/>
          <w:color w:val="auto"/>
          <w:sz w:val="32"/>
          <w:szCs w:val="32"/>
        </w:rPr>
        <w:t>。本部门还自行组织了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个项目支出绩效评价，从评价情况来看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戏曲进乡村通过不断更新节目内容，来丰富群众日常精神生活。使基层文化新宣传多一个载体。</w:t>
      </w:r>
    </w:p>
    <w:p w14:paraId="053037A3">
      <w:pPr>
        <w:pageBreakBefore w:val="0"/>
        <w:kinsoku/>
        <w:wordWrap/>
        <w:overflowPunct/>
        <w:topLinePunct w:val="0"/>
        <w:bidi w:val="0"/>
        <w:spacing w:line="578" w:lineRule="exact"/>
        <w:ind w:right="0"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项目绩效目标完成情况。</w:t>
      </w:r>
      <w:r>
        <w:rPr>
          <w:rFonts w:hint="eastAsia" w:ascii="仿宋_GB2312" w:hAnsi="仿宋_GB2312" w:eastAsia="仿宋_GB2312" w:cs="仿宋_GB2312"/>
          <w:color w:val="auto"/>
          <w:sz w:val="32"/>
          <w:szCs w:val="32"/>
        </w:rPr>
        <w:t>本部门在2020年度部门决算中反映“</w:t>
      </w:r>
      <w:r>
        <w:rPr>
          <w:rFonts w:hint="eastAsia" w:ascii="仿宋_GB2312" w:hAnsi="仿宋_GB2312" w:eastAsia="仿宋_GB2312" w:cs="仿宋_GB2312"/>
          <w:color w:val="auto"/>
          <w:sz w:val="32"/>
          <w:szCs w:val="32"/>
          <w:lang w:val="en-US" w:eastAsia="zh-CN"/>
        </w:rPr>
        <w:t>戏曲进乡村</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个项目绩效目标实际完成情况。（本单位部门项目绩效目标个数在5个以上的，选取5个项目进行公开，目标个数在5个以下的，全部进行公开，公开内容包括选取的全部项目完成情况综述和完成情况表）。</w:t>
      </w:r>
    </w:p>
    <w:p w14:paraId="63D6E280">
      <w:pPr>
        <w:keepNext w:val="0"/>
        <w:keepLines w:val="0"/>
        <w:pageBreakBefore w:val="0"/>
        <w:widowControl w:val="0"/>
        <w:kinsoku/>
        <w:wordWrap/>
        <w:overflowPunct/>
        <w:topLinePunct w:val="0"/>
        <w:autoSpaceDE/>
        <w:autoSpaceDN/>
        <w:bidi w:val="0"/>
        <w:adjustRightInd/>
        <w:snapToGrid/>
        <w:spacing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戏曲进乡村</w:t>
      </w:r>
      <w:r>
        <w:rPr>
          <w:rFonts w:hint="eastAsia" w:ascii="仿宋_GB2312" w:hAnsi="仿宋_GB2312" w:eastAsia="仿宋_GB2312" w:cs="仿宋_GB2312"/>
          <w:color w:val="auto"/>
          <w:sz w:val="32"/>
          <w:szCs w:val="32"/>
        </w:rPr>
        <w:t>项目绩效目标完成情况综述。项目全年预算数</w:t>
      </w:r>
      <w:r>
        <w:rPr>
          <w:rFonts w:hint="eastAsia" w:ascii="仿宋_GB2312" w:hAnsi="仿宋_GB2312" w:eastAsia="仿宋_GB2312" w:cs="仿宋_GB2312"/>
          <w:color w:val="auto"/>
          <w:sz w:val="32"/>
          <w:szCs w:val="32"/>
          <w:lang w:val="en-US" w:eastAsia="zh-CN"/>
        </w:rPr>
        <w:t>75</w:t>
      </w:r>
      <w:r>
        <w:rPr>
          <w:rFonts w:hint="eastAsia" w:ascii="仿宋_GB2312" w:hAnsi="仿宋_GB2312" w:eastAsia="仿宋_GB2312" w:cs="仿宋_GB2312"/>
          <w:color w:val="auto"/>
          <w:sz w:val="32"/>
          <w:szCs w:val="32"/>
        </w:rPr>
        <w:t>万元，执行数为</w:t>
      </w:r>
      <w:r>
        <w:rPr>
          <w:rFonts w:hint="eastAsia" w:ascii="仿宋_GB2312" w:hAnsi="仿宋_GB2312" w:eastAsia="仿宋_GB2312" w:cs="仿宋_GB2312"/>
          <w:color w:val="auto"/>
          <w:sz w:val="32"/>
          <w:szCs w:val="32"/>
          <w:lang w:val="en-US" w:eastAsia="zh-CN"/>
        </w:rPr>
        <w:t>75</w:t>
      </w:r>
      <w:r>
        <w:rPr>
          <w:rFonts w:hint="eastAsia" w:ascii="仿宋_GB2312" w:hAnsi="仿宋_GB2312" w:eastAsia="仿宋_GB2312" w:cs="仿宋_GB2312"/>
          <w:color w:val="auto"/>
          <w:sz w:val="32"/>
          <w:szCs w:val="32"/>
        </w:rPr>
        <w:t>万元，完成预算的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%。通过项目实施，保障了</w:t>
      </w:r>
      <w:r>
        <w:rPr>
          <w:rFonts w:hint="eastAsia" w:ascii="仿宋_GB2312" w:hAnsi="仿宋_GB2312" w:eastAsia="仿宋_GB2312" w:cs="仿宋_GB2312"/>
          <w:color w:val="auto"/>
          <w:sz w:val="32"/>
          <w:szCs w:val="32"/>
          <w:lang w:val="en-US" w:eastAsia="zh-CN"/>
        </w:rPr>
        <w:t>演出节目数量合格，演出质量合格。</w:t>
      </w:r>
      <w:r>
        <w:rPr>
          <w:rFonts w:hint="eastAsia" w:ascii="仿宋_GB2312" w:hAnsi="仿宋_GB2312" w:eastAsia="仿宋_GB2312" w:cs="仿宋_GB2312"/>
          <w:color w:val="auto"/>
          <w:sz w:val="32"/>
          <w:szCs w:val="32"/>
        </w:rPr>
        <w:t>发现的主要问题：</w:t>
      </w:r>
      <w:r>
        <w:rPr>
          <w:rFonts w:hint="eastAsia" w:ascii="仿宋_GB2312" w:hAnsi="仿宋_GB2312" w:eastAsia="仿宋_GB2312" w:cs="仿宋_GB2312"/>
          <w:color w:val="auto"/>
          <w:sz w:val="32"/>
          <w:szCs w:val="32"/>
          <w:lang w:eastAsia="zh-CN"/>
        </w:rPr>
        <w:t>资金拨付进度较慢</w:t>
      </w:r>
      <w:r>
        <w:rPr>
          <w:rFonts w:hint="eastAsia" w:ascii="仿宋_GB2312" w:hAnsi="仿宋_GB2312" w:eastAsia="仿宋_GB2312" w:cs="仿宋_GB2312"/>
          <w:color w:val="auto"/>
          <w:sz w:val="32"/>
          <w:szCs w:val="32"/>
        </w:rPr>
        <w:t>。下一步改进措施：</w:t>
      </w:r>
      <w:r>
        <w:rPr>
          <w:rFonts w:hint="eastAsia" w:ascii="仿宋_GB2312" w:hAnsi="仿宋_GB2312" w:eastAsia="仿宋_GB2312" w:cs="仿宋_GB2312"/>
          <w:color w:val="auto"/>
          <w:sz w:val="32"/>
          <w:szCs w:val="32"/>
          <w:lang w:val="en-US" w:eastAsia="zh-CN"/>
        </w:rPr>
        <w:t>加快资金拨付速度，从而能丰富群众日常精神文化生活需求。</w:t>
      </w:r>
    </w:p>
    <w:p w14:paraId="485D971D">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6E895139">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325D2845">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0CBD89E5">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6815CB92">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44A55B17">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3B9432A7">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5F11036E">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430CAEF4">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5D665A6E">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00F935FE">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6E111DC0">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771AAC02">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176CB76C">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177058B9">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292E8518">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33AB0B14">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7B3E1357">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553182EC">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14AA3B1E">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3C210D71">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p w14:paraId="02753C53">
      <w:pPr>
        <w:pageBreakBefore w:val="0"/>
        <w:kinsoku/>
        <w:wordWrap/>
        <w:overflowPunct/>
        <w:topLinePunct w:val="0"/>
        <w:bidi w:val="0"/>
        <w:spacing w:line="578" w:lineRule="exact"/>
        <w:ind w:left="0" w:leftChars="0" w:right="0" w:firstLine="640" w:firstLineChars="200"/>
        <w:rPr>
          <w:rFonts w:ascii="仿宋_GB2312" w:hAnsi="仿宋_GB2312" w:eastAsia="仿宋_GB2312" w:cs="仿宋_GB2312"/>
          <w:color w:val="auto"/>
          <w:sz w:val="32"/>
          <w:szCs w:val="32"/>
        </w:rPr>
      </w:pPr>
    </w:p>
    <w:tbl>
      <w:tblPr>
        <w:tblStyle w:val="11"/>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25D28076">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7BFE2E66">
            <w:pPr>
              <w:pageBreakBefore w:val="0"/>
              <w:widowControl/>
              <w:kinsoku/>
              <w:wordWrap/>
              <w:overflowPunct/>
              <w:topLinePunct w:val="0"/>
              <w:bidi w:val="0"/>
              <w:spacing w:line="578" w:lineRule="exact"/>
              <w:ind w:left="0" w:leftChars="0" w:right="0"/>
              <w:jc w:val="center"/>
              <w:textAlignment w:val="center"/>
              <w:rPr>
                <w:rFonts w:ascii="宋体" w:cs="宋体"/>
                <w:color w:val="auto"/>
                <w:sz w:val="36"/>
                <w:szCs w:val="36"/>
              </w:rPr>
            </w:pPr>
            <w:r>
              <w:rPr>
                <w:rFonts w:hint="eastAsia" w:ascii="宋体" w:hAnsi="宋体" w:cs="宋体"/>
                <w:b/>
                <w:bCs/>
                <w:color w:val="auto"/>
                <w:kern w:val="0"/>
                <w:sz w:val="36"/>
                <w:szCs w:val="36"/>
              </w:rPr>
              <w:t>项目绩效目标完成情况表</w:t>
            </w:r>
            <w:r>
              <w:rPr>
                <w:rFonts w:ascii="宋体" w:cs="宋体"/>
                <w:b/>
                <w:bCs/>
                <w:color w:val="auto"/>
                <w:kern w:val="0"/>
                <w:sz w:val="36"/>
                <w:szCs w:val="36"/>
              </w:rPr>
              <w:br w:type="textWrapping"/>
            </w:r>
            <w:r>
              <w:rPr>
                <w:rFonts w:hint="eastAsia" w:ascii="宋体" w:cs="宋体"/>
                <w:b/>
                <w:bCs/>
                <w:color w:val="auto"/>
                <w:kern w:val="0"/>
                <w:sz w:val="36"/>
                <w:szCs w:val="36"/>
                <w:lang w:eastAsia="zh-CN"/>
              </w:rPr>
              <w:t>（</w:t>
            </w:r>
            <w:r>
              <w:rPr>
                <w:rFonts w:ascii="宋体" w:hAnsi="宋体" w:cs="宋体"/>
                <w:color w:val="auto"/>
                <w:kern w:val="0"/>
                <w:sz w:val="36"/>
                <w:szCs w:val="36"/>
              </w:rPr>
              <w:t>2020</w:t>
            </w:r>
            <w:r>
              <w:rPr>
                <w:rFonts w:hint="eastAsia" w:ascii="宋体" w:hAnsi="宋体" w:cs="宋体"/>
                <w:color w:val="auto"/>
                <w:kern w:val="0"/>
                <w:sz w:val="36"/>
                <w:szCs w:val="36"/>
              </w:rPr>
              <w:t>年度</w:t>
            </w:r>
            <w:r>
              <w:rPr>
                <w:rFonts w:hint="eastAsia" w:ascii="宋体" w:hAnsi="宋体" w:cs="宋体"/>
                <w:color w:val="auto"/>
                <w:kern w:val="0"/>
                <w:sz w:val="36"/>
                <w:szCs w:val="36"/>
                <w:lang w:eastAsia="zh-CN"/>
              </w:rPr>
              <w:t>）</w:t>
            </w:r>
          </w:p>
        </w:tc>
      </w:tr>
      <w:tr w14:paraId="25CB79B8">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3860C7">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12BE2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中央补助地方公共文化服务体系建设资金（重点项目）</w:t>
            </w:r>
            <w:r>
              <w:rPr>
                <w:rFonts w:hint="eastAsia" w:ascii="宋体" w:cs="宋体"/>
                <w:color w:val="auto"/>
                <w:sz w:val="24"/>
                <w:lang w:eastAsia="zh-CN"/>
              </w:rPr>
              <w:t>－</w:t>
            </w:r>
            <w:r>
              <w:rPr>
                <w:rFonts w:hint="eastAsia" w:ascii="宋体" w:cs="宋体"/>
                <w:color w:val="auto"/>
                <w:sz w:val="24"/>
              </w:rPr>
              <w:t>戏曲进乡村</w:t>
            </w:r>
          </w:p>
        </w:tc>
      </w:tr>
      <w:tr w14:paraId="6A36AC3E">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06A2F">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9F02F8">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10EC0B3D">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EFFE2A">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预算执行情况</w:t>
            </w:r>
            <w:r>
              <w:rPr>
                <w:rFonts w:hint="eastAsia" w:ascii="宋体" w:hAnsi="宋体" w:cs="宋体"/>
                <w:color w:val="auto"/>
                <w:kern w:val="0"/>
                <w:sz w:val="24"/>
                <w:lang w:eastAsia="zh-CN"/>
              </w:rPr>
              <w:t>（</w:t>
            </w:r>
            <w:r>
              <w:rPr>
                <w:rFonts w:hint="eastAsia" w:ascii="宋体" w:hAnsi="宋体" w:cs="宋体"/>
                <w:color w:val="auto"/>
                <w:kern w:val="0"/>
                <w:sz w:val="24"/>
              </w:rPr>
              <w:t>万元</w:t>
            </w:r>
            <w:r>
              <w:rPr>
                <w:rFonts w:hint="eastAsia" w:ascii="宋体" w:hAnsi="宋体" w:cs="宋体"/>
                <w:color w:val="auto"/>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C189B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预算数</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0A6516">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val="en-US" w:eastAsia="zh-CN"/>
              </w:rPr>
            </w:pPr>
            <w:r>
              <w:rPr>
                <w:rFonts w:hint="eastAsia" w:ascii="宋体" w:cs="宋体"/>
                <w:color w:val="auto"/>
                <w:sz w:val="24"/>
                <w:lang w:val="en-US" w:eastAsia="zh-CN"/>
              </w:rPr>
              <w:t>75万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5F64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执行数</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935C8">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val="en-US" w:eastAsia="zh-CN"/>
              </w:rPr>
            </w:pPr>
            <w:r>
              <w:rPr>
                <w:rFonts w:hint="eastAsia" w:ascii="宋体" w:cs="宋体"/>
                <w:color w:val="auto"/>
                <w:sz w:val="24"/>
                <w:lang w:val="en-US" w:eastAsia="zh-CN"/>
              </w:rPr>
              <w:t>75万</w:t>
            </w:r>
          </w:p>
        </w:tc>
      </w:tr>
      <w:tr w14:paraId="19EE31DF">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281F8">
            <w:pPr>
              <w:pageBreakBefore w:val="0"/>
              <w:kinsoku/>
              <w:wordWrap/>
              <w:overflowPunct/>
              <w:topLinePunct w:val="0"/>
              <w:bidi w:val="0"/>
              <w:spacing w:line="578" w:lineRule="exact"/>
              <w:ind w:left="0" w:leftChars="0" w:right="0"/>
              <w:jc w:val="center"/>
              <w:rPr>
                <w:rFonts w:asci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12A7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其中</w:t>
            </w:r>
            <w:r>
              <w:rPr>
                <w:rFonts w:hint="eastAsia" w:ascii="宋体" w:hAnsi="宋体" w:cs="宋体"/>
                <w:color w:val="auto"/>
                <w:kern w:val="0"/>
                <w:sz w:val="24"/>
                <w:lang w:eastAsia="zh-CN"/>
              </w:rPr>
              <w:t>－</w:t>
            </w:r>
            <w:r>
              <w:rPr>
                <w:rFonts w:hint="eastAsia" w:ascii="宋体" w:hAnsi="宋体" w:cs="宋体"/>
                <w:color w:val="auto"/>
                <w:kern w:val="0"/>
                <w:sz w:val="24"/>
              </w:rPr>
              <w:t>财政拨款</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FD7DAE">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1FD347">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其中</w:t>
            </w:r>
            <w:r>
              <w:rPr>
                <w:rFonts w:hint="eastAsia" w:ascii="宋体" w:hAnsi="宋体" w:cs="宋体"/>
                <w:color w:val="auto"/>
                <w:kern w:val="0"/>
                <w:sz w:val="24"/>
                <w:lang w:eastAsia="zh-CN"/>
              </w:rPr>
              <w:t>－</w:t>
            </w:r>
            <w:r>
              <w:rPr>
                <w:rFonts w:hint="eastAsia" w:ascii="宋体" w:hAnsi="宋体" w:cs="宋体"/>
                <w:color w:val="auto"/>
                <w:kern w:val="0"/>
                <w:sz w:val="24"/>
              </w:rPr>
              <w:t>财政拨款</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7ACF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11642703">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DF84D3">
            <w:pPr>
              <w:pageBreakBefore w:val="0"/>
              <w:kinsoku/>
              <w:wordWrap/>
              <w:overflowPunct/>
              <w:topLinePunct w:val="0"/>
              <w:bidi w:val="0"/>
              <w:spacing w:line="578" w:lineRule="exact"/>
              <w:ind w:left="0" w:leftChars="0" w:right="0"/>
              <w:jc w:val="center"/>
              <w:rPr>
                <w:rFonts w:ascii="宋体" w:cs="宋体"/>
                <w:color w:val="auto"/>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C753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lang w:eastAsia="zh-CN"/>
              </w:rPr>
              <w:t>其他</w:t>
            </w:r>
            <w:r>
              <w:rPr>
                <w:rFonts w:hint="eastAsia" w:ascii="宋体" w:hAnsi="宋体" w:cs="宋体"/>
                <w:color w:val="auto"/>
                <w:kern w:val="0"/>
                <w:sz w:val="24"/>
              </w:rPr>
              <w:t>资金</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71A6F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6B7F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lang w:eastAsia="zh-CN"/>
              </w:rPr>
              <w:t>其他</w:t>
            </w:r>
            <w:r>
              <w:rPr>
                <w:rFonts w:hint="eastAsia" w:ascii="宋体" w:hAnsi="宋体" w:cs="宋体"/>
                <w:color w:val="auto"/>
                <w:kern w:val="0"/>
                <w:sz w:val="24"/>
              </w:rPr>
              <w:t>资金</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4EB2D">
            <w:pPr>
              <w:pageBreakBefore w:val="0"/>
              <w:kinsoku/>
              <w:wordWrap/>
              <w:overflowPunct/>
              <w:topLinePunct w:val="0"/>
              <w:bidi w:val="0"/>
              <w:spacing w:line="578" w:lineRule="exact"/>
              <w:ind w:left="0" w:leftChars="0" w:right="0"/>
              <w:jc w:val="center"/>
              <w:rPr>
                <w:rFonts w:ascii="宋体" w:cs="宋体"/>
                <w:color w:val="auto"/>
                <w:sz w:val="24"/>
              </w:rPr>
            </w:pPr>
          </w:p>
        </w:tc>
      </w:tr>
      <w:tr w14:paraId="2DA05065">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79D7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2300A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E8CA2F">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实际完成目标</w:t>
            </w:r>
          </w:p>
        </w:tc>
      </w:tr>
      <w:tr w14:paraId="5A7DD642">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05830C">
            <w:pPr>
              <w:pageBreakBefore w:val="0"/>
              <w:kinsoku/>
              <w:wordWrap/>
              <w:overflowPunct/>
              <w:topLinePunct w:val="0"/>
              <w:bidi w:val="0"/>
              <w:spacing w:line="578" w:lineRule="exact"/>
              <w:ind w:left="0" w:leftChars="0" w:right="0"/>
              <w:jc w:val="center"/>
              <w:rPr>
                <w:rFonts w:ascii="宋体" w:cs="宋体"/>
                <w:color w:val="auto"/>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B52997">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全年完成送文化下乡演出150场</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786F72">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全年完成送文化下乡演出150场</w:t>
            </w:r>
          </w:p>
        </w:tc>
      </w:tr>
      <w:tr w14:paraId="33215548">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6C8BDD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FB244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2502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5FCFA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39623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预期指标值</w:t>
            </w:r>
            <w:r>
              <w:rPr>
                <w:rFonts w:hint="eastAsia" w:ascii="宋体" w:hAnsi="宋体" w:cs="宋体"/>
                <w:color w:val="auto"/>
                <w:kern w:val="0"/>
                <w:sz w:val="24"/>
                <w:lang w:eastAsia="zh-CN"/>
              </w:rPr>
              <w:t>（</w:t>
            </w:r>
            <w:r>
              <w:rPr>
                <w:rFonts w:hint="eastAsia" w:ascii="宋体" w:hAnsi="宋体" w:cs="宋体"/>
                <w:color w:val="auto"/>
                <w:kern w:val="0"/>
                <w:sz w:val="24"/>
              </w:rPr>
              <w:t>包含数字及文字描述</w:t>
            </w:r>
            <w:r>
              <w:rPr>
                <w:rFonts w:hint="eastAsia" w:ascii="宋体" w:hAnsi="宋体" w:cs="宋体"/>
                <w:color w:val="auto"/>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50366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实际完成指标值</w:t>
            </w:r>
            <w:r>
              <w:rPr>
                <w:rFonts w:hint="eastAsia" w:ascii="宋体" w:hAnsi="宋体" w:cs="宋体"/>
                <w:color w:val="auto"/>
                <w:kern w:val="0"/>
                <w:sz w:val="24"/>
                <w:lang w:eastAsia="zh-CN"/>
              </w:rPr>
              <w:t>（</w:t>
            </w:r>
            <w:r>
              <w:rPr>
                <w:rFonts w:hint="eastAsia" w:ascii="宋体" w:hAnsi="宋体" w:cs="宋体"/>
                <w:color w:val="auto"/>
                <w:kern w:val="0"/>
                <w:sz w:val="24"/>
              </w:rPr>
              <w:t>包含数字及文字描述</w:t>
            </w:r>
            <w:r>
              <w:rPr>
                <w:rFonts w:hint="eastAsia" w:ascii="宋体" w:hAnsi="宋体" w:cs="宋体"/>
                <w:color w:val="auto"/>
                <w:kern w:val="0"/>
                <w:sz w:val="24"/>
                <w:lang w:eastAsia="zh-CN"/>
              </w:rPr>
              <w:t>）</w:t>
            </w:r>
          </w:p>
        </w:tc>
      </w:tr>
      <w:tr w14:paraId="4CB4D125">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BA6FC7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9EF0EA">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FFBC5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72F7E">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送文化下乡演出</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6FCDD2">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val="en-US" w:eastAsia="zh-CN"/>
              </w:rPr>
            </w:pPr>
            <w:r>
              <w:rPr>
                <w:rFonts w:hint="eastAsia" w:ascii="宋体" w:cs="宋体"/>
                <w:color w:val="auto"/>
                <w:sz w:val="24"/>
                <w:lang w:val="en-US" w:eastAsia="zh-CN"/>
              </w:rPr>
              <w:t>150场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3B822B">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lang w:val="en-US" w:eastAsia="zh-CN"/>
              </w:rPr>
              <w:t>150场</w:t>
            </w:r>
          </w:p>
        </w:tc>
      </w:tr>
      <w:tr w14:paraId="7BDB2EEC">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1D30BD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78CC66">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98E58D">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eastAsia="zh-CN"/>
              </w:rPr>
            </w:pPr>
            <w:r>
              <w:rPr>
                <w:rFonts w:hint="eastAsia" w:ascii="宋体" w:cs="宋体"/>
                <w:color w:val="auto"/>
                <w:sz w:val="24"/>
                <w:lang w:eastAsia="zh-CN"/>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9657D1">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eastAsia="zh-CN"/>
              </w:rPr>
            </w:pPr>
            <w:r>
              <w:rPr>
                <w:rFonts w:hint="eastAsia" w:ascii="宋体" w:cs="宋体"/>
                <w:color w:val="auto"/>
                <w:sz w:val="24"/>
                <w:lang w:eastAsia="zh-CN"/>
              </w:rPr>
              <w:t>完成情况</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C829C">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val="en-US" w:eastAsia="zh-CN"/>
              </w:rPr>
            </w:pPr>
            <w:r>
              <w:rPr>
                <w:rFonts w:hint="eastAsia" w:ascii="宋体" w:cs="宋体"/>
                <w:color w:val="auto"/>
                <w:sz w:val="24"/>
                <w:lang w:val="en-US" w:eastAsia="zh-CN"/>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87AB94">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lang w:val="en-US" w:eastAsia="zh-CN"/>
              </w:rPr>
              <w:t>100%</w:t>
            </w:r>
          </w:p>
        </w:tc>
      </w:tr>
      <w:tr w14:paraId="5703DFE6">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2B973B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87806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B4DB2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9BF6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2A15AF">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7A301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27FE5D2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C5FFDBA">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478C0">
            <w:pPr>
              <w:pageBreakBefore w:val="0"/>
              <w:widowControl/>
              <w:kinsoku/>
              <w:wordWrap/>
              <w:overflowPunct/>
              <w:topLinePunct w:val="0"/>
              <w:bidi w:val="0"/>
              <w:spacing w:line="578" w:lineRule="exact"/>
              <w:ind w:left="0" w:leftChars="0" w:right="0"/>
              <w:jc w:val="center"/>
              <w:textAlignment w:val="center"/>
              <w:rPr>
                <w:rFonts w:ascii="宋体" w:cs="宋体"/>
                <w:color w:val="auto"/>
                <w:kern w:val="0"/>
                <w:sz w:val="24"/>
              </w:rPr>
            </w:pPr>
            <w:r>
              <w:rPr>
                <w:rFonts w:hint="eastAsia" w:ascii="宋体" w:hAnsi="宋体" w:cs="宋体"/>
                <w:color w:val="auto"/>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1E3D51">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6BFB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EDC8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C03286">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0C28777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3A64956">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D96DB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3130B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963477">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935434">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CADB4">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0584E2D6">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3D76BC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47172">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2A025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2354B">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52B0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B4C6E">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3897829E">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A64218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4C64F2">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FA76E">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837762">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807548">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DB0612">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1CF1EE08">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CB172D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C9CB40">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0714BD">
            <w:pPr>
              <w:pageBreakBefore w:val="0"/>
              <w:widowControl/>
              <w:kinsoku/>
              <w:wordWrap/>
              <w:overflowPunct/>
              <w:topLinePunct w:val="0"/>
              <w:bidi w:val="0"/>
              <w:spacing w:line="578" w:lineRule="exact"/>
              <w:ind w:left="0" w:leftChars="0" w:right="0"/>
              <w:jc w:val="center"/>
              <w:textAlignment w:val="center"/>
              <w:rPr>
                <w:rFonts w:hint="eastAsia" w:ascii="宋体" w:cs="宋体"/>
                <w:color w:val="auto"/>
                <w:sz w:val="24"/>
              </w:rPr>
            </w:pPr>
            <w:r>
              <w:rPr>
                <w:rFonts w:hint="eastAsia" w:ascii="宋体" w:cs="宋体"/>
                <w:color w:val="auto"/>
                <w:sz w:val="24"/>
              </w:rPr>
              <w:t>社会效益</w:t>
            </w:r>
          </w:p>
          <w:p w14:paraId="7E1AB64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60D2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rPr>
              <w:t>通过文艺演出把党和政府的关怀送到各乡镇、村（社区）</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D7A84F">
            <w:pPr>
              <w:pageBreakBefore w:val="0"/>
              <w:widowControl/>
              <w:kinsoku/>
              <w:wordWrap/>
              <w:overflowPunct/>
              <w:topLinePunct w:val="0"/>
              <w:bidi w:val="0"/>
              <w:spacing w:line="578" w:lineRule="exact"/>
              <w:ind w:left="0" w:leftChars="0" w:right="0"/>
              <w:jc w:val="center"/>
              <w:textAlignment w:val="center"/>
              <w:rPr>
                <w:rFonts w:hint="eastAsia" w:ascii="宋体" w:eastAsia="宋体" w:cs="宋体"/>
                <w:color w:val="auto"/>
                <w:sz w:val="24"/>
                <w:lang w:val="en-US" w:eastAsia="zh-CN"/>
              </w:rPr>
            </w:pPr>
            <w:r>
              <w:rPr>
                <w:rFonts w:hint="eastAsia" w:ascii="宋体" w:cs="宋体"/>
                <w:color w:val="auto"/>
                <w:sz w:val="24"/>
                <w:lang w:val="en-US" w:eastAsia="zh-CN"/>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E7D4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cs="宋体"/>
                <w:color w:val="auto"/>
                <w:sz w:val="24"/>
                <w:lang w:val="en-US" w:eastAsia="zh-CN"/>
              </w:rPr>
              <w:t>95%</w:t>
            </w:r>
          </w:p>
        </w:tc>
      </w:tr>
      <w:tr w14:paraId="77240B84">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AF56875">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58283E">
            <w:pPr>
              <w:pageBreakBefore w:val="0"/>
              <w:widowControl/>
              <w:kinsoku/>
              <w:wordWrap/>
              <w:overflowPunct/>
              <w:topLinePunct w:val="0"/>
              <w:bidi w:val="0"/>
              <w:spacing w:line="578" w:lineRule="exact"/>
              <w:ind w:left="0" w:leftChars="0" w:right="0"/>
              <w:jc w:val="center"/>
              <w:textAlignment w:val="center"/>
              <w:rPr>
                <w:rFonts w:ascii="宋体" w:cs="宋体"/>
                <w:color w:val="auto"/>
                <w:kern w:val="0"/>
                <w:sz w:val="24"/>
              </w:rPr>
            </w:pPr>
            <w:r>
              <w:rPr>
                <w:rFonts w:hint="eastAsia" w:ascii="宋体" w:hAnsi="宋体" w:cs="宋体"/>
                <w:color w:val="auto"/>
                <w:kern w:val="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419E1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D5B4C">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0B46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082D9">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r w14:paraId="20EBB1C3">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A0878FF">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A59AAA">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r>
              <w:rPr>
                <w:rFonts w:hint="eastAsia" w:ascii="宋体" w:hAnsi="宋体" w:cs="宋体"/>
                <w:color w:val="auto"/>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8F27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034B6D">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111E8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88C1C3">
            <w:pPr>
              <w:pageBreakBefore w:val="0"/>
              <w:widowControl/>
              <w:kinsoku/>
              <w:wordWrap/>
              <w:overflowPunct/>
              <w:topLinePunct w:val="0"/>
              <w:bidi w:val="0"/>
              <w:spacing w:line="578" w:lineRule="exact"/>
              <w:ind w:left="0" w:leftChars="0" w:right="0"/>
              <w:jc w:val="center"/>
              <w:textAlignment w:val="center"/>
              <w:rPr>
                <w:rFonts w:ascii="宋体" w:cs="宋体"/>
                <w:color w:val="auto"/>
                <w:sz w:val="24"/>
              </w:rPr>
            </w:pPr>
          </w:p>
        </w:tc>
      </w:tr>
    </w:tbl>
    <w:p w14:paraId="5CBAD0E6">
      <w:pPr>
        <w:pageBreakBefore w:val="0"/>
        <w:kinsoku/>
        <w:wordWrap/>
        <w:overflowPunct/>
        <w:topLinePunct w:val="0"/>
        <w:bidi w:val="0"/>
        <w:spacing w:line="578" w:lineRule="exact"/>
        <w:ind w:left="0" w:leftChars="0" w:right="0"/>
        <w:rPr>
          <w:rFonts w:hint="eastAsia" w:ascii="仿宋_GB2312" w:hAnsi="仿宋_GB2312" w:eastAsia="仿宋_GB2312" w:cs="仿宋_GB2312"/>
          <w:color w:val="auto"/>
          <w:sz w:val="32"/>
          <w:szCs w:val="32"/>
          <w:lang w:eastAsia="zh-CN"/>
        </w:rPr>
      </w:pPr>
    </w:p>
    <w:p w14:paraId="05E4A26B">
      <w:pPr>
        <w:pageBreakBefore w:val="0"/>
        <w:kinsoku/>
        <w:wordWrap/>
        <w:overflowPunct/>
        <w:topLinePunct w:val="0"/>
        <w:bidi w:val="0"/>
        <w:spacing w:line="578" w:lineRule="exact"/>
        <w:ind w:left="0" w:leftChars="0" w:right="0"/>
        <w:rPr>
          <w:rFonts w:hint="eastAsia" w:ascii="仿宋_GB2312" w:hAnsi="仿宋_GB2312" w:eastAsia="仿宋_GB2312" w:cs="仿宋_GB2312"/>
          <w:color w:val="auto"/>
          <w:sz w:val="32"/>
          <w:szCs w:val="32"/>
          <w:lang w:eastAsia="zh-CN"/>
        </w:rPr>
      </w:pPr>
    </w:p>
    <w:p w14:paraId="1F300AE3">
      <w:pPr>
        <w:pageBreakBefore w:val="0"/>
        <w:kinsoku/>
        <w:wordWrap/>
        <w:overflowPunct/>
        <w:topLinePunct w:val="0"/>
        <w:bidi w:val="0"/>
        <w:spacing w:line="578" w:lineRule="exact"/>
        <w:ind w:left="0" w:leftChars="0" w:right="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部门绩效评价结果。本部门按要求对2020年部门整体支出绩效评价情况开展自评，《</w:t>
      </w:r>
      <w:r>
        <w:rPr>
          <w:rFonts w:hint="eastAsia" w:ascii="仿宋_GB2312" w:hAnsi="仿宋_GB2312" w:eastAsia="仿宋_GB2312" w:cs="仿宋_GB2312"/>
          <w:color w:val="auto"/>
          <w:sz w:val="32"/>
          <w:szCs w:val="32"/>
          <w:lang w:eastAsia="zh-CN"/>
        </w:rPr>
        <w:t>文旅局</w:t>
      </w:r>
      <w:r>
        <w:rPr>
          <w:rFonts w:hint="eastAsia" w:ascii="仿宋_GB2312" w:hAnsi="仿宋_GB2312" w:eastAsia="仿宋_GB2312" w:cs="仿宋_GB2312"/>
          <w:color w:val="auto"/>
          <w:sz w:val="32"/>
          <w:szCs w:val="32"/>
        </w:rPr>
        <w:t>2020年部门整体支出绩效评价报告》见附件（附件1）。</w:t>
      </w:r>
    </w:p>
    <w:p w14:paraId="365E5CA5">
      <w:pPr>
        <w:pageBreakBefore w:val="0"/>
        <w:kinsoku/>
        <w:wordWrap/>
        <w:overflowPunct/>
        <w:topLinePunct w:val="0"/>
        <w:bidi w:val="0"/>
        <w:spacing w:line="578" w:lineRule="exact"/>
        <w:ind w:left="0" w:leftChars="0" w:right="0" w:firstLine="640"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rPr>
        <w:t>本部门自行组织对中央补助地方公共文化服务体系建设资金（重点项目）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戏曲进乡村项目开展了绩效评价，《中央补助地方公共文化服务体系建设资金（重点项目）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戏曲进乡村项目2020年绩效评价报告》见附件（附件2）。</w:t>
      </w:r>
    </w:p>
    <w:p w14:paraId="60B0A747">
      <w:pPr>
        <w:pageBreakBefore w:val="0"/>
        <w:widowControl/>
        <w:kinsoku/>
        <w:wordWrap/>
        <w:overflowPunct/>
        <w:topLinePunct w:val="0"/>
        <w:bidi w:val="0"/>
        <w:spacing w:line="578" w:lineRule="exact"/>
        <w:ind w:left="0" w:leftChars="0" w:right="0"/>
        <w:jc w:val="left"/>
        <w:rPr>
          <w:rFonts w:ascii="仿宋_GB2312" w:eastAsia="仿宋_GB2312"/>
          <w:b/>
          <w:color w:val="auto"/>
          <w:sz w:val="32"/>
          <w:szCs w:val="32"/>
        </w:rPr>
      </w:pPr>
      <w:r>
        <w:rPr>
          <w:rFonts w:ascii="仿宋_GB2312" w:eastAsia="仿宋_GB2312"/>
          <w:b/>
          <w:color w:val="auto"/>
          <w:sz w:val="32"/>
          <w:szCs w:val="32"/>
        </w:rPr>
        <w:br w:type="page"/>
      </w:r>
    </w:p>
    <w:p w14:paraId="442305FD">
      <w:pPr>
        <w:pageBreakBefore w:val="0"/>
        <w:numPr>
          <w:ilvl w:val="0"/>
          <w:numId w:val="2"/>
        </w:numPr>
        <w:kinsoku/>
        <w:wordWrap/>
        <w:overflowPunct/>
        <w:topLinePunct w:val="0"/>
        <w:bidi w:val="0"/>
        <w:spacing w:line="578" w:lineRule="exact"/>
        <w:ind w:left="0" w:leftChars="0" w:right="0" w:firstLine="660" w:firstLineChars="150"/>
        <w:jc w:val="center"/>
        <w:outlineLvl w:val="0"/>
        <w:rPr>
          <w:rStyle w:val="14"/>
          <w:rFonts w:ascii="黑体" w:hAnsi="黑体" w:eastAsia="黑体"/>
          <w:b w:val="0"/>
          <w:color w:val="auto"/>
        </w:rPr>
      </w:pPr>
      <w:bookmarkStart w:id="105" w:name="_Toc79163879"/>
      <w:bookmarkStart w:id="106" w:name="_Toc15377225"/>
      <w:bookmarkStart w:id="107" w:name="_Toc79163629"/>
      <w:bookmarkStart w:id="108" w:name="_Toc15396613"/>
      <w:r>
        <w:rPr>
          <w:rFonts w:hint="eastAsia" w:ascii="黑体" w:hAnsi="黑体" w:eastAsia="黑体"/>
          <w:color w:val="auto"/>
          <w:sz w:val="44"/>
          <w:szCs w:val="44"/>
        </w:rPr>
        <w:t>名</w:t>
      </w:r>
      <w:r>
        <w:rPr>
          <w:rStyle w:val="14"/>
          <w:rFonts w:hint="eastAsia" w:ascii="黑体" w:hAnsi="黑体" w:eastAsia="黑体"/>
          <w:b w:val="0"/>
          <w:color w:val="auto"/>
        </w:rPr>
        <w:t>词解释</w:t>
      </w:r>
      <w:bookmarkEnd w:id="105"/>
      <w:bookmarkEnd w:id="106"/>
      <w:bookmarkEnd w:id="107"/>
      <w:bookmarkEnd w:id="108"/>
    </w:p>
    <w:p w14:paraId="7B93BFE2">
      <w:pPr>
        <w:pageBreakBefore w:val="0"/>
        <w:kinsoku/>
        <w:wordWrap/>
        <w:overflowPunct/>
        <w:topLinePunct w:val="0"/>
        <w:bidi w:val="0"/>
        <w:spacing w:line="578" w:lineRule="exact"/>
        <w:ind w:left="0" w:leftChars="0" w:right="0"/>
        <w:jc w:val="left"/>
        <w:rPr>
          <w:rFonts w:ascii="宋体"/>
          <w:b/>
          <w:color w:val="auto"/>
          <w:sz w:val="44"/>
          <w:szCs w:val="44"/>
        </w:rPr>
      </w:pPr>
    </w:p>
    <w:p w14:paraId="2CCF9859">
      <w:pPr>
        <w:pageBreakBefore w:val="0"/>
        <w:kinsoku/>
        <w:wordWrap/>
        <w:overflowPunct/>
        <w:topLinePunct w:val="0"/>
        <w:bidi w:val="0"/>
        <w:spacing w:line="578" w:lineRule="exact"/>
        <w:ind w:left="0" w:leftChars="0" w:right="0" w:firstLine="640" w:firstLineChars="200"/>
        <w:rPr>
          <w:rFonts w:ascii="仿宋" w:hAnsi="仿宋" w:eastAsia="仿宋"/>
          <w:color w:val="auto"/>
          <w:sz w:val="32"/>
          <w:szCs w:val="32"/>
        </w:rPr>
      </w:pPr>
      <w:r>
        <w:rPr>
          <w:rFonts w:hint="eastAsia" w:ascii="仿宋" w:hAnsi="仿宋" w:eastAsia="仿宋"/>
          <w:color w:val="auto"/>
          <w:sz w:val="32"/>
          <w:szCs w:val="32"/>
        </w:rPr>
        <w:t xml:space="preserve">1.财政拨款收入：指县级财政当年拨付的资金。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2.年初结转和结余：指以前年度尚未完成、结转到本年按有关规定继续使用的资金。 </w:t>
      </w:r>
      <w:r>
        <w:rPr>
          <w:rFonts w:hint="eastAsia" w:ascii="仿宋" w:hAnsi="仿宋" w:eastAsia="仿宋"/>
          <w:color w:val="auto"/>
          <w:sz w:val="32"/>
          <w:szCs w:val="32"/>
        </w:rPr>
        <w:br w:type="textWrapping"/>
      </w:r>
      <w:r>
        <w:rPr>
          <w:rFonts w:hint="eastAsia" w:ascii="仿宋" w:hAnsi="仿宋" w:eastAsia="仿宋"/>
          <w:color w:val="auto"/>
          <w:sz w:val="32"/>
          <w:szCs w:val="32"/>
        </w:rPr>
        <w:t>　　3.一般公共服务（类）205（款）02（项）99：指其他普通教育支出。（类）207（款）01（项）11：指文化创作与保护。（类）207（款）01（项）99：指其他文化支出。（类）207（款）03（项）99：指其他体育支出。（类）207（款）04（项）06：指电影。（类）207（款）04（项）99：指其他新闻出版广播影视支出。（类）207（款）99（项）03：指文化产业发展专项支出。（类）207（款）99（项）99：指其他文化体育与传媒支出。（类）212（款）05（项）01：指城乡社区环境卫生。</w:t>
      </w:r>
      <w:r>
        <w:rPr>
          <w:rFonts w:hint="eastAsia" w:ascii="仿宋" w:hAnsi="仿宋" w:eastAsia="仿宋"/>
          <w:color w:val="auto"/>
          <w:sz w:val="32"/>
          <w:szCs w:val="32"/>
        </w:rPr>
        <w:br w:type="textWrapping"/>
      </w:r>
      <w:r>
        <w:rPr>
          <w:rFonts w:hint="eastAsia" w:ascii="仿宋" w:hAnsi="仿宋" w:eastAsia="仿宋"/>
          <w:color w:val="auto"/>
          <w:sz w:val="32"/>
          <w:szCs w:val="32"/>
        </w:rPr>
        <w:t>　　4.社会保障和就业（类）208（款）05（项）05：指机关事业单位基本养老保险。</w:t>
      </w:r>
    </w:p>
    <w:p w14:paraId="529E3176">
      <w:pPr>
        <w:pageBreakBefore w:val="0"/>
        <w:kinsoku/>
        <w:wordWrap/>
        <w:overflowPunct/>
        <w:topLinePunct w:val="0"/>
        <w:bidi w:val="0"/>
        <w:spacing w:line="578" w:lineRule="exact"/>
        <w:ind w:right="0" w:firstLine="640" w:firstLineChars="200"/>
        <w:rPr>
          <w:rFonts w:ascii="仿宋" w:hAnsi="仿宋" w:eastAsia="仿宋"/>
          <w:b/>
          <w:color w:val="auto"/>
          <w:sz w:val="32"/>
          <w:szCs w:val="32"/>
        </w:rPr>
      </w:pPr>
      <w:r>
        <w:rPr>
          <w:rFonts w:hint="eastAsia" w:ascii="仿宋" w:hAnsi="仿宋" w:eastAsia="仿宋"/>
          <w:color w:val="auto"/>
          <w:sz w:val="32"/>
          <w:szCs w:val="32"/>
        </w:rPr>
        <w:t xml:space="preserve">5.卫生健康支出（类）210（款）05（项）02：指事业单位医疗。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6.其他支出（类）229（款）60（项）03：指用于体育事业的彩票公益金支出。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7.住房保障（类）221（款）02（项）01：指住房公积金。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8.年末结转和结余：指本年度或以前年度预算安排、因客观条件发生变化无法按原计划实施，需延迟到以后年度按有关规定继续使用的资金。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9.基本支出：指为保障机构正常运转、完成日常工作任务而发生的人员支出和公用支出。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10.项目支出：指在基本支出之外为完成特定行政任务和事业发展目标所发生的支出。 </w:t>
      </w:r>
      <w:r>
        <w:rPr>
          <w:rFonts w:hint="eastAsia" w:ascii="仿宋" w:hAnsi="仿宋" w:eastAsia="仿宋"/>
          <w:color w:val="auto"/>
          <w:sz w:val="32"/>
          <w:szCs w:val="32"/>
        </w:rPr>
        <w:br w:type="textWrapping"/>
      </w:r>
      <w:r>
        <w:rPr>
          <w:rFonts w:hint="eastAsia" w:ascii="仿宋" w:hAnsi="仿宋" w:eastAsia="仿宋"/>
          <w:color w:val="auto"/>
          <w:sz w:val="32"/>
          <w:szCs w:val="32"/>
        </w:rPr>
        <w:t xml:space="preserve">　　11.“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r>
        <w:rPr>
          <w:rFonts w:hint="eastAsia" w:ascii="仿宋" w:hAnsi="仿宋" w:eastAsia="仿宋"/>
          <w:color w:val="auto"/>
          <w:sz w:val="32"/>
          <w:szCs w:val="32"/>
        </w:rPr>
        <w:br w:type="textWrapping"/>
      </w:r>
      <w:r>
        <w:rPr>
          <w:rFonts w:hint="eastAsia" w:ascii="仿宋" w:hAnsi="仿宋" w:eastAsia="仿宋"/>
          <w:color w:val="auto"/>
          <w:sz w:val="32"/>
          <w:szCs w:val="32"/>
        </w:rPr>
        <w:t>　　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7EADDCE">
      <w:pPr>
        <w:pageBreakBefore w:val="0"/>
        <w:kinsoku/>
        <w:wordWrap/>
        <w:overflowPunct/>
        <w:topLinePunct w:val="0"/>
        <w:bidi w:val="0"/>
        <w:spacing w:line="578" w:lineRule="exact"/>
        <w:ind w:left="0" w:leftChars="0" w:right="0"/>
        <w:jc w:val="center"/>
        <w:outlineLvl w:val="0"/>
        <w:rPr>
          <w:rStyle w:val="14"/>
          <w:rFonts w:ascii="黑体" w:hAnsi="黑体" w:eastAsia="黑体"/>
          <w:b w:val="0"/>
          <w:color w:val="auto"/>
        </w:rPr>
      </w:pPr>
      <w:bookmarkStart w:id="109" w:name="_Toc15377226"/>
      <w:r>
        <w:rPr>
          <w:rFonts w:ascii="宋体"/>
          <w:b/>
          <w:color w:val="auto"/>
          <w:sz w:val="44"/>
          <w:szCs w:val="44"/>
        </w:rPr>
        <w:br w:type="page"/>
      </w:r>
      <w:bookmarkStart w:id="110" w:name="_Toc79163630"/>
      <w:bookmarkStart w:id="111" w:name="_Toc79163880"/>
      <w:bookmarkStart w:id="112" w:name="_Toc15396614"/>
      <w:r>
        <w:rPr>
          <w:rFonts w:hint="eastAsia" w:ascii="黑体" w:hAnsi="黑体" w:eastAsia="黑体"/>
          <w:color w:val="auto"/>
          <w:sz w:val="44"/>
          <w:szCs w:val="44"/>
        </w:rPr>
        <w:t>第</w:t>
      </w:r>
      <w:r>
        <w:rPr>
          <w:rStyle w:val="14"/>
          <w:rFonts w:hint="eastAsia" w:ascii="黑体" w:hAnsi="黑体" w:eastAsia="黑体"/>
          <w:b w:val="0"/>
          <w:color w:val="auto"/>
        </w:rPr>
        <w:t>四部分</w:t>
      </w:r>
      <w:r>
        <w:rPr>
          <w:rStyle w:val="14"/>
          <w:rFonts w:ascii="黑体" w:hAnsi="黑体" w:eastAsia="黑体"/>
          <w:b w:val="0"/>
          <w:color w:val="auto"/>
        </w:rPr>
        <w:t xml:space="preserve"> </w:t>
      </w:r>
      <w:r>
        <w:rPr>
          <w:rStyle w:val="14"/>
          <w:rFonts w:hint="eastAsia" w:ascii="黑体" w:hAnsi="黑体" w:eastAsia="黑体"/>
          <w:b w:val="0"/>
          <w:color w:val="auto"/>
        </w:rPr>
        <w:t>附件</w:t>
      </w:r>
      <w:bookmarkEnd w:id="110"/>
      <w:bookmarkEnd w:id="111"/>
      <w:bookmarkEnd w:id="112"/>
    </w:p>
    <w:p w14:paraId="0ED5BC1E">
      <w:pPr>
        <w:pageBreakBefore w:val="0"/>
        <w:kinsoku/>
        <w:wordWrap/>
        <w:overflowPunct/>
        <w:topLinePunct w:val="0"/>
        <w:bidi w:val="0"/>
        <w:spacing w:line="578" w:lineRule="exact"/>
        <w:ind w:left="0" w:leftChars="0" w:right="0"/>
        <w:jc w:val="left"/>
        <w:outlineLvl w:val="0"/>
        <w:rPr>
          <w:rFonts w:ascii="方正小标宋简体" w:hAnsi="方正小标宋简体" w:eastAsia="方正小标宋简体" w:cs="方正小标宋简体"/>
          <w:color w:val="auto"/>
          <w:sz w:val="32"/>
          <w:szCs w:val="32"/>
        </w:rPr>
      </w:pPr>
      <w:bookmarkStart w:id="113" w:name="_Toc79163631"/>
      <w:bookmarkStart w:id="114" w:name="_Toc79163881"/>
      <w:r>
        <w:rPr>
          <w:rFonts w:hint="eastAsia" w:ascii="黑体" w:hAnsi="黑体" w:eastAsia="黑体" w:cs="黑体"/>
          <w:color w:val="auto"/>
          <w:sz w:val="32"/>
          <w:szCs w:val="32"/>
        </w:rPr>
        <w:t>附件</w:t>
      </w:r>
      <w:r>
        <w:rPr>
          <w:rFonts w:ascii="黑体" w:hAnsi="黑体" w:eastAsia="黑体" w:cs="黑体"/>
          <w:color w:val="auto"/>
          <w:sz w:val="32"/>
          <w:szCs w:val="32"/>
        </w:rPr>
        <w:t>1</w:t>
      </w:r>
      <w:bookmarkEnd w:id="113"/>
      <w:bookmarkEnd w:id="114"/>
    </w:p>
    <w:p w14:paraId="02D00E31">
      <w:pPr>
        <w:pageBreakBefore w:val="0"/>
        <w:kinsoku/>
        <w:wordWrap/>
        <w:overflowPunct/>
        <w:topLinePunct w:val="0"/>
        <w:bidi w:val="0"/>
        <w:spacing w:line="578" w:lineRule="exact"/>
        <w:ind w:left="0" w:leftChars="0" w:right="0"/>
        <w:jc w:val="center"/>
        <w:rPr>
          <w:rFonts w:ascii="方正小标宋简体" w:hAnsi="方正小标宋简体" w:eastAsia="方正小标宋简体" w:cs="方正小标宋简体"/>
          <w:color w:val="auto"/>
          <w:sz w:val="44"/>
          <w:szCs w:val="44"/>
        </w:rPr>
      </w:pPr>
    </w:p>
    <w:p w14:paraId="1C8D286B">
      <w:pPr>
        <w:pageBreakBefore w:val="0"/>
        <w:kinsoku/>
        <w:wordWrap/>
        <w:overflowPunct/>
        <w:topLinePunct w:val="0"/>
        <w:bidi w:val="0"/>
        <w:spacing w:line="578" w:lineRule="exact"/>
        <w:ind w:left="0" w:leftChars="0" w:right="0"/>
        <w:jc w:val="center"/>
        <w:outlineLvl w:val="0"/>
        <w:rPr>
          <w:rFonts w:ascii="方正小标宋简体" w:hAnsi="黑体" w:eastAsia="方正小标宋简体" w:cs="黑体"/>
          <w:color w:val="auto"/>
          <w:sz w:val="44"/>
          <w:szCs w:val="44"/>
        </w:rPr>
      </w:pPr>
      <w:bookmarkStart w:id="115" w:name="_Toc79163632"/>
      <w:bookmarkStart w:id="116" w:name="_Toc79163882"/>
      <w:r>
        <w:rPr>
          <w:rFonts w:hint="eastAsia" w:ascii="方正小标宋简体" w:hAnsi="黑体" w:eastAsia="方正小标宋简体" w:cs="黑体"/>
          <w:color w:val="auto"/>
          <w:sz w:val="44"/>
          <w:szCs w:val="44"/>
          <w:lang w:eastAsia="zh-CN"/>
        </w:rPr>
        <w:t>松潘县文化体育和旅游局</w:t>
      </w:r>
      <w:r>
        <w:rPr>
          <w:rFonts w:ascii="方正小标宋简体" w:hAnsi="黑体" w:eastAsia="方正小标宋简体" w:cs="黑体"/>
          <w:color w:val="auto"/>
          <w:sz w:val="44"/>
          <w:szCs w:val="44"/>
        </w:rPr>
        <w:t>2020</w:t>
      </w:r>
      <w:r>
        <w:rPr>
          <w:rFonts w:hint="eastAsia" w:ascii="方正小标宋简体" w:hAnsi="黑体" w:eastAsia="方正小标宋简体" w:cs="黑体"/>
          <w:color w:val="auto"/>
          <w:sz w:val="44"/>
          <w:szCs w:val="44"/>
        </w:rPr>
        <w:t>年部门整体支出绩效评价报告</w:t>
      </w:r>
      <w:bookmarkEnd w:id="115"/>
      <w:bookmarkEnd w:id="116"/>
    </w:p>
    <w:p w14:paraId="019ED7AD">
      <w:pPr>
        <w:pageBreakBefore w:val="0"/>
        <w:widowControl/>
        <w:kinsoku/>
        <w:wordWrap/>
        <w:overflowPunct/>
        <w:topLinePunct w:val="0"/>
        <w:bidi w:val="0"/>
        <w:adjustRightInd w:val="0"/>
        <w:snapToGrid w:val="0"/>
        <w:spacing w:line="578" w:lineRule="exact"/>
        <w:ind w:right="0"/>
        <w:contextualSpacing/>
        <w:jc w:val="left"/>
        <w:rPr>
          <w:rFonts w:ascii="黑体" w:hAnsi="宋体" w:eastAsia="黑体" w:cs="宋体"/>
          <w:color w:val="auto"/>
          <w:kern w:val="0"/>
          <w:sz w:val="24"/>
          <w:szCs w:val="32"/>
          <w:shd w:val="clear" w:color="auto" w:fill="FFFFFF"/>
        </w:rPr>
      </w:pPr>
    </w:p>
    <w:p w14:paraId="029A9AA5">
      <w:pPr>
        <w:pageBreakBefore w:val="0"/>
        <w:widowControl/>
        <w:kinsoku/>
        <w:wordWrap/>
        <w:overflowPunct/>
        <w:topLinePunct w:val="0"/>
        <w:bidi w:val="0"/>
        <w:adjustRightInd w:val="0"/>
        <w:snapToGrid w:val="0"/>
        <w:spacing w:line="578" w:lineRule="exact"/>
        <w:ind w:left="0" w:leftChars="0" w:right="0" w:firstLine="640" w:firstLineChars="200"/>
        <w:contextualSpacing/>
        <w:jc w:val="left"/>
        <w:rPr>
          <w:rFonts w:ascii="黑体" w:hAnsi="宋体" w:eastAsia="黑体" w:cs="宋体"/>
          <w:color w:val="auto"/>
          <w:kern w:val="0"/>
          <w:sz w:val="32"/>
          <w:szCs w:val="32"/>
          <w:shd w:val="clear" w:color="auto" w:fill="FFFFFF"/>
          <w:lang w:val="zh-CN"/>
        </w:rPr>
      </w:pPr>
      <w:r>
        <w:rPr>
          <w:rFonts w:hint="eastAsia" w:ascii="黑体" w:hAnsi="宋体" w:eastAsia="黑体" w:cs="宋体"/>
          <w:color w:val="auto"/>
          <w:kern w:val="0"/>
          <w:sz w:val="32"/>
          <w:szCs w:val="32"/>
          <w:shd w:val="clear" w:color="auto" w:fill="FFFFFF"/>
        </w:rPr>
        <w:t>一、</w:t>
      </w:r>
      <w:r>
        <w:rPr>
          <w:rFonts w:hint="eastAsia" w:ascii="黑体" w:hAnsi="宋体" w:eastAsia="黑体" w:cs="宋体"/>
          <w:color w:val="auto"/>
          <w:kern w:val="0"/>
          <w:sz w:val="32"/>
          <w:szCs w:val="32"/>
          <w:shd w:val="clear" w:color="auto" w:fill="FFFFFF"/>
          <w:lang w:val="zh-CN"/>
        </w:rPr>
        <w:t>部门（单位）概况</w:t>
      </w:r>
    </w:p>
    <w:p w14:paraId="4561AABC">
      <w:pPr>
        <w:pageBreakBefore w:val="0"/>
        <w:widowControl/>
        <w:kinsoku/>
        <w:wordWrap/>
        <w:overflowPunct/>
        <w:topLinePunct w:val="0"/>
        <w:bidi w:val="0"/>
        <w:adjustRightInd w:val="0"/>
        <w:snapToGrid w:val="0"/>
        <w:spacing w:line="578" w:lineRule="exact"/>
        <w:ind w:left="0" w:leftChars="0" w:right="0" w:firstLine="720"/>
        <w:jc w:val="left"/>
        <w:rPr>
          <w:rFonts w:hint="eastAsia" w:ascii="楷体_GB2312" w:hAnsi="楷体_GB2312" w:eastAsia="楷体_GB2312" w:cs="楷体_GB2312"/>
          <w:b/>
          <w:bCs w:val="0"/>
          <w:color w:val="auto"/>
          <w:kern w:val="0"/>
          <w:sz w:val="32"/>
          <w:szCs w:val="32"/>
          <w:lang w:val="zh-CN"/>
        </w:rPr>
      </w:pPr>
      <w:r>
        <w:rPr>
          <w:rFonts w:hint="eastAsia" w:ascii="楷体_GB2312" w:hAnsi="楷体_GB2312" w:eastAsia="楷体_GB2312" w:cs="楷体_GB2312"/>
          <w:b/>
          <w:bCs w:val="0"/>
          <w:color w:val="auto"/>
          <w:kern w:val="0"/>
          <w:sz w:val="32"/>
          <w:szCs w:val="32"/>
          <w:lang w:val="zh-CN"/>
        </w:rPr>
        <w:t>（一）机构组成。</w:t>
      </w:r>
    </w:p>
    <w:p w14:paraId="5C0231B3">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rPr>
        <w:t>我局</w:t>
      </w:r>
      <w:r>
        <w:rPr>
          <w:rFonts w:hint="eastAsia" w:ascii="仿宋" w:hAnsi="仿宋" w:eastAsia="仿宋" w:cs="仿宋"/>
          <w:color w:val="auto"/>
          <w:kern w:val="0"/>
          <w:sz w:val="32"/>
          <w:szCs w:val="32"/>
          <w:lang w:val="zh-CN"/>
        </w:rPr>
        <w:t>系县政府直属事业机构，局机关内设</w:t>
      </w:r>
      <w:r>
        <w:rPr>
          <w:rFonts w:hint="eastAsia" w:ascii="仿宋" w:hAnsi="仿宋" w:eastAsia="仿宋" w:cs="仿宋"/>
          <w:color w:val="auto"/>
          <w:kern w:val="0"/>
          <w:sz w:val="32"/>
          <w:szCs w:val="32"/>
        </w:rPr>
        <w:t>股室5</w:t>
      </w:r>
      <w:r>
        <w:rPr>
          <w:rFonts w:hint="eastAsia" w:ascii="仿宋" w:hAnsi="仿宋" w:eastAsia="仿宋" w:cs="仿宋"/>
          <w:color w:val="auto"/>
          <w:kern w:val="0"/>
          <w:sz w:val="32"/>
          <w:szCs w:val="32"/>
          <w:lang w:val="zh-CN"/>
        </w:rPr>
        <w:t>个（办公室、公共服务股、</w:t>
      </w:r>
      <w:r>
        <w:rPr>
          <w:rFonts w:hint="eastAsia" w:ascii="仿宋" w:hAnsi="仿宋" w:eastAsia="仿宋" w:cs="仿宋"/>
          <w:color w:val="auto"/>
          <w:kern w:val="0"/>
          <w:sz w:val="32"/>
          <w:szCs w:val="32"/>
        </w:rPr>
        <w:t>产业发展股</w:t>
      </w:r>
      <w:r>
        <w:rPr>
          <w:rFonts w:hint="eastAsia" w:ascii="仿宋" w:hAnsi="仿宋" w:eastAsia="仿宋" w:cs="仿宋"/>
          <w:color w:val="auto"/>
          <w:kern w:val="0"/>
          <w:sz w:val="32"/>
          <w:szCs w:val="32"/>
          <w:lang w:val="zh-CN"/>
        </w:rPr>
        <w:t>、</w:t>
      </w:r>
      <w:r>
        <w:rPr>
          <w:rFonts w:hint="eastAsia" w:ascii="仿宋" w:hAnsi="仿宋" w:eastAsia="仿宋" w:cs="仿宋"/>
          <w:color w:val="auto"/>
          <w:kern w:val="0"/>
          <w:sz w:val="32"/>
          <w:szCs w:val="32"/>
        </w:rPr>
        <w:t>市场监管股</w:t>
      </w:r>
      <w:r>
        <w:rPr>
          <w:rFonts w:hint="eastAsia" w:ascii="仿宋" w:hAnsi="仿宋" w:eastAsia="仿宋" w:cs="仿宋"/>
          <w:color w:val="auto"/>
          <w:kern w:val="0"/>
          <w:sz w:val="32"/>
          <w:szCs w:val="32"/>
          <w:lang w:val="zh-CN"/>
        </w:rPr>
        <w:t>、文化遗产和文化艺术股、），下属单位</w:t>
      </w:r>
      <w:r>
        <w:rPr>
          <w:rFonts w:hint="eastAsia" w:ascii="仿宋" w:hAnsi="仿宋" w:eastAsia="仿宋" w:cs="仿宋"/>
          <w:color w:val="auto"/>
          <w:kern w:val="0"/>
          <w:sz w:val="32"/>
          <w:szCs w:val="32"/>
        </w:rPr>
        <w:t>4</w:t>
      </w:r>
      <w:r>
        <w:rPr>
          <w:rFonts w:hint="eastAsia" w:ascii="仿宋" w:hAnsi="仿宋" w:eastAsia="仿宋" w:cs="仿宋"/>
          <w:color w:val="auto"/>
          <w:kern w:val="0"/>
          <w:sz w:val="32"/>
          <w:szCs w:val="32"/>
          <w:lang w:val="zh-CN"/>
        </w:rPr>
        <w:t>个（</w:t>
      </w:r>
      <w:r>
        <w:rPr>
          <w:rFonts w:hint="eastAsia" w:ascii="仿宋" w:hAnsi="仿宋" w:eastAsia="仿宋" w:cs="仿宋"/>
          <w:color w:val="auto"/>
          <w:kern w:val="0"/>
          <w:sz w:val="32"/>
          <w:szCs w:val="32"/>
        </w:rPr>
        <w:t>文化馆、图书馆、文物管理所、文化体育和旅游服务中心</w:t>
      </w:r>
      <w:r>
        <w:rPr>
          <w:rFonts w:hint="eastAsia" w:ascii="仿宋" w:hAnsi="仿宋" w:eastAsia="仿宋" w:cs="仿宋"/>
          <w:color w:val="auto"/>
          <w:kern w:val="0"/>
          <w:sz w:val="32"/>
          <w:szCs w:val="32"/>
          <w:lang w:val="zh-CN"/>
        </w:rPr>
        <w:t>）。</w:t>
      </w:r>
    </w:p>
    <w:p w14:paraId="672529F0">
      <w:pPr>
        <w:pageBreakBefore w:val="0"/>
        <w:kinsoku/>
        <w:wordWrap/>
        <w:overflowPunct/>
        <w:topLinePunct w:val="0"/>
        <w:bidi w:val="0"/>
        <w:spacing w:line="578" w:lineRule="exact"/>
        <w:ind w:left="0" w:leftChars="0" w:right="0" w:firstLine="643" w:firstLineChars="200"/>
        <w:rPr>
          <w:rFonts w:hint="eastAsia" w:ascii="楷体_GB2312" w:hAnsi="楷体_GB2312" w:eastAsia="楷体_GB2312" w:cs="楷体_GB2312"/>
          <w:b/>
          <w:bCs w:val="0"/>
          <w:color w:val="auto"/>
          <w:kern w:val="0"/>
          <w:sz w:val="32"/>
          <w:szCs w:val="32"/>
          <w:lang w:val="zh-CN"/>
        </w:rPr>
      </w:pPr>
      <w:r>
        <w:rPr>
          <w:rFonts w:hint="eastAsia" w:ascii="楷体_GB2312" w:hAnsi="楷体_GB2312" w:eastAsia="楷体_GB2312" w:cs="楷体_GB2312"/>
          <w:b/>
          <w:bCs w:val="0"/>
          <w:color w:val="auto"/>
          <w:kern w:val="0"/>
          <w:sz w:val="32"/>
          <w:szCs w:val="32"/>
          <w:lang w:val="zh-CN"/>
        </w:rPr>
        <w:t>（二）机构职能。</w:t>
      </w:r>
    </w:p>
    <w:p w14:paraId="47AF955C">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1.贯彻落实党和国家关于文化、体育、旅游、广播电视的方针政策和省委、州委、县委的决策部署。拟订相关规范性文件草案。负责本部门依法行政工作。</w:t>
      </w:r>
    </w:p>
    <w:p w14:paraId="6FD34B44">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2.推进文化、体育、旅游、广播电视体制机制改革。组织推动全县文化、体育、旅游、广播电视事业和产业发展，拟订相关发展规划并组织实施。推进文化、体育和旅游与相关产业融合发展。</w:t>
      </w:r>
    </w:p>
    <w:p w14:paraId="5E8FFBC6">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组织实施全县文化、体育和旅游资源的普查、保护与利用。管理全县性重大文化、体育和旅游活动，指导全县重点文化、体育、旅游、广播电视设施建设，组织全县文化、体育和旅游整体形象推广，促进文化、体育和旅游产业市场推广和文化体育、旅游对外合作交流，制定文化、体育和旅游市场开发战略并组织实施，推进全域旅游。</w:t>
      </w:r>
    </w:p>
    <w:p w14:paraId="2435D343">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4.指导管理文艺事业，把握正确的创作导向，推动文化艺术创作生产，扶持体现社会主义核心价值观、具有导向性代表性示范性的文化艺术作品。推动各门类艺术、各艺术品种发展；推动中华优秀传统文化和本地特色文化传承发展。 </w:t>
      </w:r>
    </w:p>
    <w:p w14:paraId="5F4EC718">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负责公共文化、体育、旅游、广播电视事业发展，推进全县公共文化、体育、广播电视服务体系建设和旅游公共服务建设，深入实施惠民工程，统筹推进文化、体育、旅游、广播电视基本公共服务标准化、均等化。</w:t>
      </w:r>
    </w:p>
    <w:p w14:paraId="112EE16A">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6.负责文化、体育和旅游行业信息化、标准化建设。推进文化和旅游科技创新。负责全县体育科研、技术攻关和成果推广。</w:t>
      </w:r>
    </w:p>
    <w:p w14:paraId="3E0ED7BF">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7.负责非物质文化遗产保护工作，推动非物质文化遗产的保护、传承、普及、弘扬和振兴。 </w:t>
      </w:r>
    </w:p>
    <w:p w14:paraId="6C574572">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8.管理和指导全县文物保护利用和考古工作，组织开展文物资源调查工作。协调、指导和监督全县文物安全工作，履行文物行政督察职能，负责全县世界文化遗产保护和管理监督工作，组织开展世界文化与自然遗产、历史文化名城（乡镇、村）申报和管理工作，负责全县文物和博物馆公共服务体系建设。</w:t>
      </w:r>
    </w:p>
    <w:p w14:paraId="3B2A774E">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9.负责拟订全县群众体育发展规划并组织实施。贯彻落实全民健身计划，建立和完善全民健身服务体系，指导和开展群众性体育活动。负责社会体育指导员培训、国民体质监测和高危体育项目管理。负责挖掘、传承、保护全县少数民族传统体育项目。协助体育彩票销售的监督管理。</w:t>
      </w:r>
    </w:p>
    <w:p w14:paraId="2DFCB1A1">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10.负责拟订全县竞技体育发展规划并组织实施。指导体育训练和运动员队伍建设，协调运动员社会保障工作，统筹组织全州综合性运动会、参加州级以上体育竞赛和综合性运动会。负责反兴奋剂监督工作。</w:t>
      </w:r>
    </w:p>
    <w:p w14:paraId="4799A9D6">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11.负责拟订全县青少年（学校）体育工作发展规划并组织实施。负责青少年体育锻炼标准的组织实施，指导各级各类体育学校的建设和青少年业余训练及相关活动</w:t>
      </w:r>
    </w:p>
    <w:p w14:paraId="648A30EF">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12.推动全县文化、体育和旅游市场发展，对全县文化体育和旅游市场依法进行行业监管，依法规范文化、体育和旅游市场。推进文化、体育和旅游行业信用体系建设。</w:t>
      </w:r>
    </w:p>
    <w:p w14:paraId="0F751F02">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13.负责全县旅游景区管理机构、文旅企业的行业管理</w:t>
      </w:r>
    </w:p>
    <w:p w14:paraId="54E0AF01">
      <w:pPr>
        <w:pageBreakBefore w:val="0"/>
        <w:kinsoku/>
        <w:wordWrap/>
        <w:overflowPunct/>
        <w:topLinePunct w:val="0"/>
        <w:bidi w:val="0"/>
        <w:spacing w:line="578" w:lineRule="exact"/>
        <w:ind w:left="0" w:leftChars="0" w:right="0"/>
        <w:rPr>
          <w:rFonts w:hint="eastAsia" w:ascii="仿宋" w:hAnsi="仿宋" w:eastAsia="仿宋" w:cs="仿宋"/>
          <w:color w:val="auto"/>
          <w:sz w:val="32"/>
          <w:szCs w:val="32"/>
        </w:rPr>
      </w:pPr>
      <w:r>
        <w:rPr>
          <w:rFonts w:hint="eastAsia" w:ascii="仿宋" w:hAnsi="仿宋" w:eastAsia="仿宋" w:cs="仿宋"/>
          <w:color w:val="auto"/>
          <w:sz w:val="32"/>
          <w:szCs w:val="32"/>
        </w:rPr>
        <w:t>和标准化建设。</w:t>
      </w:r>
    </w:p>
    <w:p w14:paraId="6D7C1199">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统筹全县文化、文物、体育、旅游、广播电视市场综合行政执法，组织查处全县性、跨区域文化、文物、体育、旅游、广播电视等市场的违法行为，督察督办大案要案，维护市场秩序。</w:t>
      </w:r>
    </w:p>
    <w:p w14:paraId="0F51255F">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负责管理文化、体育和旅游对外及对港澳台交流合作与宣传推广工作，组织大型文化和旅游对外及对</w:t>
      </w:r>
      <w:r>
        <w:rPr>
          <w:rFonts w:hint="eastAsia" w:ascii="仿宋" w:hAnsi="仿宋" w:eastAsia="仿宋" w:cs="仿宋"/>
          <w:color w:val="auto"/>
          <w:sz w:val="32"/>
          <w:szCs w:val="32"/>
          <w:lang w:eastAsia="zh-CN"/>
        </w:rPr>
        <w:t>港澳台</w:t>
      </w:r>
      <w:r>
        <w:rPr>
          <w:rFonts w:hint="eastAsia" w:ascii="仿宋" w:hAnsi="仿宋" w:eastAsia="仿宋" w:cs="仿宋"/>
          <w:color w:val="auto"/>
          <w:sz w:val="32"/>
          <w:szCs w:val="32"/>
        </w:rPr>
        <w:t>交流活动。</w:t>
      </w:r>
    </w:p>
    <w:p w14:paraId="11A78B53">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负责文化、体育、旅游和广播电视行业安全生产工作的综合协调与监督管理，制定职责范围内的安全生产年度监督检查计划并组织实施。依法履行行业职业健康监管职责，承担职责范围内生态环境保护、公共机构节能减排、审批服务便民化等工作。</w:t>
      </w:r>
    </w:p>
    <w:p w14:paraId="1C0710E3">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负责对县内广播电视机构进行业务指导和行业监管，监督管理县内重大广播电视活动。监督审查广播电视和网络视听节目的内容和质量，指导监管广播电视安全播出和广告安全播放。指导广播电视技术创新。</w:t>
      </w:r>
    </w:p>
    <w:p w14:paraId="5D4BB457">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完成县委、县政府交办的其他任务。</w:t>
      </w:r>
    </w:p>
    <w:p w14:paraId="1B36EE37">
      <w:pPr>
        <w:pageBreakBefore w:val="0"/>
        <w:numPr>
          <w:ilvl w:val="0"/>
          <w:numId w:val="3"/>
        </w:numPr>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能转变。强化文化、体育和旅游要素配置，统筹整合形成文化、体育和旅游发展新优势，着力打造具有地方民族特色的文化、体育和旅游品牌，推进文化、体育和旅游融合发展，现固旅游业的战略性支柱产业地位，推动旅游业向主导产业发展，提升松潘文化软实力，建设体育强县，努力开创文化、体育和旅游工作新局面。</w:t>
      </w:r>
    </w:p>
    <w:p w14:paraId="48558314">
      <w:pPr>
        <w:pageBreakBefore w:val="0"/>
        <w:widowControl/>
        <w:kinsoku/>
        <w:wordWrap/>
        <w:overflowPunct/>
        <w:topLinePunct w:val="0"/>
        <w:bidi w:val="0"/>
        <w:adjustRightInd w:val="0"/>
        <w:snapToGrid w:val="0"/>
        <w:spacing w:line="578" w:lineRule="exact"/>
        <w:ind w:left="0" w:leftChars="0" w:right="0" w:firstLine="640" w:firstLineChars="200"/>
        <w:jc w:val="left"/>
        <w:rPr>
          <w:rFonts w:hint="eastAsia" w:ascii="仿宋" w:hAnsi="仿宋" w:eastAsia="仿宋" w:cs="仿宋"/>
          <w:color w:val="auto"/>
          <w:kern w:val="0"/>
          <w:sz w:val="32"/>
          <w:szCs w:val="32"/>
          <w:lang w:val="zh-CN"/>
        </w:rPr>
      </w:pPr>
      <w:r>
        <w:rPr>
          <w:rFonts w:hint="eastAsia" w:ascii="仿宋" w:hAnsi="仿宋" w:eastAsia="仿宋" w:cs="仿宋"/>
          <w:bCs/>
          <w:color w:val="auto"/>
          <w:kern w:val="0"/>
          <w:sz w:val="32"/>
          <w:szCs w:val="32"/>
          <w:lang w:val="zh-CN"/>
        </w:rPr>
        <w:t>（三）人员概况。</w:t>
      </w:r>
      <w:r>
        <w:rPr>
          <w:rFonts w:hint="eastAsia" w:ascii="仿宋" w:hAnsi="仿宋" w:eastAsia="仿宋" w:cs="仿宋"/>
          <w:color w:val="auto"/>
          <w:kern w:val="0"/>
          <w:sz w:val="32"/>
          <w:szCs w:val="32"/>
          <w:lang w:val="zh-CN"/>
        </w:rPr>
        <w:t>现有局长1人、副局长</w:t>
      </w:r>
      <w:r>
        <w:rPr>
          <w:rFonts w:hint="eastAsia" w:ascii="仿宋" w:hAnsi="仿宋" w:eastAsia="仿宋" w:cs="仿宋"/>
          <w:color w:val="auto"/>
          <w:kern w:val="0"/>
          <w:sz w:val="32"/>
          <w:szCs w:val="32"/>
        </w:rPr>
        <w:t>2</w:t>
      </w:r>
      <w:r>
        <w:rPr>
          <w:rFonts w:hint="eastAsia" w:ascii="仿宋" w:hAnsi="仿宋" w:eastAsia="仿宋" w:cs="仿宋"/>
          <w:color w:val="auto"/>
          <w:kern w:val="0"/>
          <w:sz w:val="32"/>
          <w:szCs w:val="32"/>
          <w:lang w:val="zh-CN"/>
        </w:rPr>
        <w:t>人，</w:t>
      </w:r>
      <w:r>
        <w:rPr>
          <w:rFonts w:hint="eastAsia" w:ascii="仿宋" w:hAnsi="仿宋" w:eastAsia="仿宋" w:cs="仿宋"/>
          <w:color w:val="auto"/>
          <w:kern w:val="0"/>
          <w:sz w:val="32"/>
          <w:szCs w:val="32"/>
        </w:rPr>
        <w:t>局本部（公务员）8人；下属单位的文化馆5人；图书馆4人；文物管理所7人；文化体育和旅游服务中心（参公）22人。</w:t>
      </w:r>
    </w:p>
    <w:p w14:paraId="6ED08975">
      <w:pPr>
        <w:pageBreakBefore w:val="0"/>
        <w:widowControl/>
        <w:kinsoku/>
        <w:wordWrap/>
        <w:overflowPunct/>
        <w:topLinePunct w:val="0"/>
        <w:bidi w:val="0"/>
        <w:adjustRightInd w:val="0"/>
        <w:snapToGrid w:val="0"/>
        <w:spacing w:line="578" w:lineRule="exact"/>
        <w:ind w:left="0" w:leftChars="0" w:right="0" w:firstLine="643" w:firstLineChars="200"/>
        <w:contextualSpacing/>
        <w:jc w:val="left"/>
        <w:rPr>
          <w:rFonts w:hint="eastAsia" w:ascii="黑体" w:hAnsi="黑体" w:eastAsia="黑体" w:cs="黑体"/>
          <w:b/>
          <w:bCs/>
          <w:color w:val="auto"/>
          <w:kern w:val="0"/>
          <w:sz w:val="32"/>
          <w:szCs w:val="32"/>
          <w:shd w:val="clear" w:color="auto" w:fill="FFFFFF"/>
        </w:rPr>
      </w:pPr>
      <w:r>
        <w:rPr>
          <w:rFonts w:hint="eastAsia" w:ascii="黑体" w:hAnsi="黑体" w:eastAsia="黑体" w:cs="黑体"/>
          <w:b/>
          <w:bCs/>
          <w:color w:val="auto"/>
          <w:kern w:val="0"/>
          <w:sz w:val="32"/>
          <w:szCs w:val="32"/>
          <w:shd w:val="clear" w:color="auto" w:fill="FFFFFF"/>
        </w:rPr>
        <w:t>二、部门财政资金收支情况</w:t>
      </w:r>
    </w:p>
    <w:p w14:paraId="5B246BEA">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（一）部门财政资金收入情况。</w:t>
      </w: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rPr>
        <w:t>年预算</w:t>
      </w:r>
      <w:r>
        <w:rPr>
          <w:rFonts w:hint="eastAsia" w:ascii="仿宋" w:hAnsi="仿宋" w:eastAsia="仿宋" w:cs="仿宋"/>
          <w:color w:val="auto"/>
          <w:kern w:val="0"/>
          <w:sz w:val="32"/>
          <w:szCs w:val="32"/>
          <w:lang w:val="en-US" w:eastAsia="zh-CN"/>
        </w:rPr>
        <w:t>6832416</w:t>
      </w:r>
      <w:r>
        <w:rPr>
          <w:rFonts w:hint="eastAsia" w:ascii="仿宋" w:hAnsi="仿宋" w:eastAsia="仿宋" w:cs="仿宋"/>
          <w:color w:val="auto"/>
          <w:kern w:val="0"/>
          <w:sz w:val="32"/>
          <w:szCs w:val="32"/>
        </w:rPr>
        <w:t>元。</w:t>
      </w:r>
      <w:r>
        <w:rPr>
          <w:rFonts w:hint="eastAsia" w:ascii="仿宋" w:hAnsi="仿宋" w:eastAsia="仿宋" w:cs="仿宋"/>
          <w:color w:val="auto"/>
          <w:kern w:val="0"/>
          <w:sz w:val="32"/>
          <w:szCs w:val="32"/>
          <w:lang w:eastAsia="zh-CN"/>
        </w:rPr>
        <w:t>决算收入为</w:t>
      </w:r>
      <w:r>
        <w:rPr>
          <w:rFonts w:hint="eastAsia" w:ascii="仿宋" w:hAnsi="仿宋" w:eastAsia="仿宋" w:cs="仿宋"/>
          <w:color w:val="auto"/>
          <w:kern w:val="0"/>
          <w:sz w:val="32"/>
          <w:szCs w:val="32"/>
          <w:lang w:val="en-US" w:eastAsia="zh-CN"/>
        </w:rPr>
        <w:t>44440953元，其中一般公共预算收入为18825998元，政府基金预算收入为196800元，上年结转结余资金为25418155元。</w:t>
      </w:r>
      <w:r>
        <w:rPr>
          <w:rFonts w:hint="eastAsia" w:ascii="仿宋" w:hAnsi="仿宋" w:eastAsia="仿宋" w:cs="仿宋"/>
          <w:color w:val="auto"/>
          <w:kern w:val="0"/>
          <w:sz w:val="32"/>
          <w:szCs w:val="32"/>
        </w:rPr>
        <w:t>2021年预算</w:t>
      </w:r>
      <w:r>
        <w:rPr>
          <w:rFonts w:hint="eastAsia" w:ascii="仿宋" w:hAnsi="仿宋" w:eastAsia="仿宋" w:cs="仿宋"/>
          <w:color w:val="auto"/>
          <w:kern w:val="0"/>
          <w:sz w:val="32"/>
          <w:szCs w:val="32"/>
          <w:lang w:val="en-US" w:eastAsia="zh-CN"/>
        </w:rPr>
        <w:t>6638338</w:t>
      </w:r>
      <w:r>
        <w:rPr>
          <w:rFonts w:hint="eastAsia" w:ascii="仿宋" w:hAnsi="仿宋" w:eastAsia="仿宋" w:cs="仿宋"/>
          <w:color w:val="auto"/>
          <w:kern w:val="0"/>
          <w:sz w:val="32"/>
          <w:szCs w:val="32"/>
        </w:rPr>
        <w:t>元。</w:t>
      </w:r>
    </w:p>
    <w:p w14:paraId="37FA7BB3">
      <w:pPr>
        <w:pageBreakBefore w:val="0"/>
        <w:widowControl/>
        <w:kinsoku/>
        <w:wordWrap/>
        <w:overflowPunct/>
        <w:topLinePunct w:val="0"/>
        <w:bidi w:val="0"/>
        <w:adjustRightInd w:val="0"/>
        <w:snapToGrid w:val="0"/>
        <w:spacing w:line="578" w:lineRule="exact"/>
        <w:ind w:left="0" w:leftChars="0" w:right="0" w:firstLine="960" w:firstLineChars="3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zh-CN"/>
        </w:rPr>
        <w:t>（二）部门财政资金支出情况。</w:t>
      </w:r>
      <w:r>
        <w:rPr>
          <w:rFonts w:hint="eastAsia" w:ascii="仿宋" w:hAnsi="仿宋" w:eastAsia="仿宋" w:cs="仿宋"/>
          <w:color w:val="auto"/>
          <w:kern w:val="0"/>
          <w:sz w:val="32"/>
          <w:szCs w:val="32"/>
          <w:lang w:val="en-US" w:eastAsia="zh-CN"/>
        </w:rPr>
        <w:t>2020年基本支出8024920元，项目支出25102144元，结转至下年资金11313889元。</w:t>
      </w:r>
    </w:p>
    <w:p w14:paraId="3D0C2870">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shd w:val="clear" w:color="auto" w:fill="FFFFFF"/>
          <w:lang w:val="zh-CN"/>
        </w:rPr>
      </w:pPr>
      <w:r>
        <w:rPr>
          <w:rFonts w:hint="eastAsia" w:ascii="仿宋" w:hAnsi="仿宋" w:eastAsia="仿宋" w:cs="仿宋"/>
          <w:color w:val="auto"/>
          <w:kern w:val="0"/>
          <w:sz w:val="32"/>
          <w:szCs w:val="32"/>
        </w:rPr>
        <w:t>2021年1-6月支出数为9073579元。</w:t>
      </w:r>
    </w:p>
    <w:p w14:paraId="2D82B69D">
      <w:pPr>
        <w:pageBreakBefore w:val="0"/>
        <w:widowControl/>
        <w:kinsoku/>
        <w:wordWrap/>
        <w:overflowPunct/>
        <w:topLinePunct w:val="0"/>
        <w:bidi w:val="0"/>
        <w:adjustRightInd w:val="0"/>
        <w:snapToGrid w:val="0"/>
        <w:spacing w:line="578" w:lineRule="exact"/>
        <w:ind w:left="0" w:leftChars="0" w:right="0" w:firstLine="640" w:firstLineChars="200"/>
        <w:contextualSpacing/>
        <w:jc w:val="left"/>
        <w:rPr>
          <w:rFonts w:hint="eastAsia" w:ascii="黑体" w:hAnsi="黑体" w:eastAsia="黑体" w:cs="黑体"/>
          <w:b w:val="0"/>
          <w:bCs w:val="0"/>
          <w:color w:val="auto"/>
          <w:kern w:val="0"/>
          <w:sz w:val="32"/>
          <w:szCs w:val="32"/>
          <w:shd w:val="clear" w:color="auto" w:fill="FFFFFF"/>
        </w:rPr>
      </w:pPr>
      <w:r>
        <w:rPr>
          <w:rFonts w:hint="eastAsia" w:ascii="黑体" w:hAnsi="黑体" w:eastAsia="黑体" w:cs="黑体"/>
          <w:b w:val="0"/>
          <w:bCs w:val="0"/>
          <w:color w:val="auto"/>
          <w:kern w:val="0"/>
          <w:sz w:val="32"/>
          <w:szCs w:val="32"/>
          <w:shd w:val="clear" w:color="auto" w:fill="FFFFFF"/>
        </w:rPr>
        <w:t>三、部门整体预算绩效管理情况</w:t>
      </w:r>
    </w:p>
    <w:p w14:paraId="038EC17B">
      <w:pPr>
        <w:pageBreakBefore w:val="0"/>
        <w:widowControl/>
        <w:kinsoku/>
        <w:wordWrap/>
        <w:overflowPunct/>
        <w:topLinePunct w:val="0"/>
        <w:bidi w:val="0"/>
        <w:adjustRightInd w:val="0"/>
        <w:snapToGrid w:val="0"/>
        <w:spacing w:line="578" w:lineRule="exact"/>
        <w:ind w:left="0" w:leftChars="0" w:right="0" w:firstLine="643" w:firstLineChars="200"/>
        <w:contextualSpacing/>
        <w:jc w:val="left"/>
        <w:rPr>
          <w:rFonts w:hint="eastAsia" w:ascii="楷体_GB2312" w:hAnsi="楷体_GB2312" w:eastAsia="楷体_GB2312" w:cs="楷体_GB2312"/>
          <w:b/>
          <w:bCs/>
          <w:color w:val="auto"/>
          <w:kern w:val="0"/>
          <w:sz w:val="32"/>
          <w:szCs w:val="32"/>
          <w:shd w:val="clear" w:color="auto" w:fill="FFFFFF"/>
          <w:lang w:val="zh-CN"/>
        </w:rPr>
      </w:pPr>
      <w:r>
        <w:rPr>
          <w:rFonts w:hint="eastAsia" w:ascii="楷体_GB2312" w:hAnsi="楷体_GB2312" w:eastAsia="楷体_GB2312" w:cs="楷体_GB2312"/>
          <w:b/>
          <w:bCs/>
          <w:color w:val="auto"/>
          <w:kern w:val="0"/>
          <w:sz w:val="32"/>
          <w:szCs w:val="32"/>
          <w:shd w:val="clear" w:color="auto" w:fill="FFFFFF"/>
          <w:lang w:val="zh-CN"/>
        </w:rPr>
        <w:t>（一）部门预算管理。</w:t>
      </w:r>
    </w:p>
    <w:p w14:paraId="75439E47">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b/>
          <w:bCs/>
          <w:color w:val="auto"/>
          <w:kern w:val="0"/>
          <w:sz w:val="32"/>
          <w:szCs w:val="32"/>
          <w:lang w:val="zh-CN"/>
        </w:rPr>
      </w:pPr>
      <w:r>
        <w:rPr>
          <w:rFonts w:hint="eastAsia" w:ascii="仿宋" w:hAnsi="仿宋" w:eastAsia="仿宋" w:cs="仿宋"/>
          <w:color w:val="auto"/>
          <w:kern w:val="0"/>
          <w:sz w:val="32"/>
          <w:szCs w:val="32"/>
        </w:rPr>
        <w:t>每年根据目标任务编制预算，按科学方法编制预算，确保预算合理有效、可执行。</w:t>
      </w:r>
      <w:r>
        <w:rPr>
          <w:rFonts w:hint="eastAsia" w:ascii="仿宋" w:hAnsi="仿宋" w:eastAsia="仿宋" w:cs="仿宋"/>
          <w:b/>
          <w:bCs/>
          <w:color w:val="auto"/>
          <w:kern w:val="0"/>
          <w:sz w:val="32"/>
          <w:szCs w:val="32"/>
          <w:lang w:val="zh-CN"/>
        </w:rPr>
        <w:tab/>
      </w:r>
    </w:p>
    <w:p w14:paraId="429C2BBB">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1.</w:t>
      </w:r>
      <w:r>
        <w:rPr>
          <w:rFonts w:hint="eastAsia" w:ascii="仿宋" w:hAnsi="仿宋" w:eastAsia="仿宋" w:cs="仿宋"/>
          <w:color w:val="auto"/>
          <w:kern w:val="0"/>
          <w:sz w:val="32"/>
          <w:szCs w:val="32"/>
        </w:rPr>
        <w:t>局领导</w:t>
      </w:r>
      <w:r>
        <w:rPr>
          <w:rFonts w:hint="eastAsia" w:ascii="仿宋" w:hAnsi="仿宋" w:eastAsia="仿宋" w:cs="仿宋"/>
          <w:color w:val="auto"/>
          <w:kern w:val="0"/>
          <w:sz w:val="32"/>
          <w:szCs w:val="32"/>
          <w:lang w:val="zh-CN"/>
        </w:rPr>
        <w:t>高度重视预算执行情况。</w:t>
      </w:r>
      <w:r>
        <w:rPr>
          <w:rFonts w:hint="eastAsia" w:ascii="仿宋" w:hAnsi="仿宋" w:eastAsia="仿宋" w:cs="仿宋"/>
          <w:color w:val="auto"/>
          <w:kern w:val="0"/>
          <w:sz w:val="32"/>
          <w:szCs w:val="32"/>
        </w:rPr>
        <w:t>每个季度</w:t>
      </w:r>
      <w:r>
        <w:rPr>
          <w:rFonts w:hint="eastAsia" w:ascii="仿宋" w:hAnsi="仿宋" w:eastAsia="仿宋" w:cs="仿宋"/>
          <w:color w:val="auto"/>
          <w:kern w:val="0"/>
          <w:sz w:val="32"/>
          <w:szCs w:val="32"/>
          <w:lang w:val="zh-CN"/>
        </w:rPr>
        <w:t>召开预算执行推进会，领导要求各职能</w:t>
      </w:r>
      <w:r>
        <w:rPr>
          <w:rFonts w:hint="eastAsia" w:ascii="仿宋" w:hAnsi="仿宋" w:eastAsia="仿宋" w:cs="仿宋"/>
          <w:color w:val="auto"/>
          <w:kern w:val="0"/>
          <w:sz w:val="32"/>
          <w:szCs w:val="32"/>
        </w:rPr>
        <w:t>股室</w:t>
      </w:r>
      <w:r>
        <w:rPr>
          <w:rFonts w:hint="eastAsia" w:ascii="仿宋" w:hAnsi="仿宋" w:eastAsia="仿宋" w:cs="仿宋"/>
          <w:color w:val="auto"/>
          <w:kern w:val="0"/>
          <w:sz w:val="32"/>
          <w:szCs w:val="32"/>
          <w:lang w:val="zh-CN"/>
        </w:rPr>
        <w:t>要切实担当，高度重视预算执行工作，采取切实有效措施加快预算执行进度。把握时间节点，各职能部门加强联动协调，相互支持和配合，确保年底前各项目预算执行进度达到90%以上。</w:t>
      </w:r>
    </w:p>
    <w:p w14:paraId="6965F332">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2.通过财政一体化平台，定期向</w:t>
      </w:r>
      <w:r>
        <w:rPr>
          <w:rFonts w:hint="eastAsia" w:ascii="仿宋" w:hAnsi="仿宋" w:eastAsia="仿宋" w:cs="仿宋"/>
          <w:color w:val="auto"/>
          <w:kern w:val="0"/>
          <w:sz w:val="32"/>
          <w:szCs w:val="32"/>
        </w:rPr>
        <w:t>县政政局</w:t>
      </w:r>
      <w:r>
        <w:rPr>
          <w:rFonts w:hint="eastAsia" w:ascii="仿宋" w:hAnsi="仿宋" w:eastAsia="仿宋" w:cs="仿宋"/>
          <w:color w:val="auto"/>
          <w:kern w:val="0"/>
          <w:sz w:val="32"/>
          <w:szCs w:val="32"/>
          <w:lang w:val="zh-CN"/>
        </w:rPr>
        <w:t>和</w:t>
      </w:r>
      <w:r>
        <w:rPr>
          <w:rFonts w:hint="eastAsia" w:ascii="仿宋" w:hAnsi="仿宋" w:eastAsia="仿宋" w:cs="仿宋"/>
          <w:color w:val="auto"/>
          <w:kern w:val="0"/>
          <w:sz w:val="32"/>
          <w:szCs w:val="32"/>
        </w:rPr>
        <w:t>州局</w:t>
      </w:r>
      <w:r>
        <w:rPr>
          <w:rFonts w:hint="eastAsia" w:ascii="仿宋" w:hAnsi="仿宋" w:eastAsia="仿宋" w:cs="仿宋"/>
          <w:color w:val="auto"/>
          <w:kern w:val="0"/>
          <w:sz w:val="32"/>
          <w:szCs w:val="32"/>
          <w:lang w:val="zh-CN"/>
        </w:rPr>
        <w:t>上报执行情况，以便及时掌握</w:t>
      </w:r>
      <w:r>
        <w:rPr>
          <w:rFonts w:hint="eastAsia" w:ascii="仿宋" w:hAnsi="仿宋" w:eastAsia="仿宋" w:cs="仿宋"/>
          <w:color w:val="auto"/>
          <w:kern w:val="0"/>
          <w:sz w:val="32"/>
          <w:szCs w:val="32"/>
        </w:rPr>
        <w:t>财政资金</w:t>
      </w:r>
      <w:r>
        <w:rPr>
          <w:rFonts w:hint="eastAsia" w:ascii="仿宋" w:hAnsi="仿宋" w:eastAsia="仿宋" w:cs="仿宋"/>
          <w:color w:val="auto"/>
          <w:kern w:val="0"/>
          <w:sz w:val="32"/>
          <w:szCs w:val="32"/>
          <w:lang w:val="zh-CN"/>
        </w:rPr>
        <w:t>执行进度。对于执行进度较慢的项目，各部门密切加强沟通和协调，查找影响政府采购进度的症结，及时采取相应对策，进一步加快政府采购预算执行力度和进度。</w:t>
      </w:r>
    </w:p>
    <w:p w14:paraId="4A0C5943">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3.相关职能部门主动对接，充分发挥多部门协商机制作用，积极推进</w:t>
      </w:r>
      <w:r>
        <w:rPr>
          <w:rFonts w:hint="eastAsia" w:ascii="仿宋" w:hAnsi="仿宋" w:eastAsia="仿宋" w:cs="仿宋"/>
          <w:color w:val="auto"/>
          <w:kern w:val="0"/>
          <w:sz w:val="32"/>
          <w:szCs w:val="32"/>
        </w:rPr>
        <w:t>免开资金、采购项目资金拨付</w:t>
      </w:r>
      <w:r>
        <w:rPr>
          <w:rFonts w:hint="eastAsia" w:ascii="仿宋" w:hAnsi="仿宋" w:eastAsia="仿宋" w:cs="仿宋"/>
          <w:color w:val="auto"/>
          <w:kern w:val="0"/>
          <w:sz w:val="32"/>
          <w:szCs w:val="32"/>
          <w:lang w:val="zh-CN"/>
        </w:rPr>
        <w:t>进展。</w:t>
      </w:r>
    </w:p>
    <w:p w14:paraId="6230E8C5">
      <w:pPr>
        <w:pageBreakBefore w:val="0"/>
        <w:widowControl/>
        <w:kinsoku/>
        <w:wordWrap/>
        <w:overflowPunct/>
        <w:topLinePunct w:val="0"/>
        <w:bidi w:val="0"/>
        <w:adjustRightInd w:val="0"/>
        <w:snapToGrid w:val="0"/>
        <w:spacing w:line="578" w:lineRule="exact"/>
        <w:ind w:left="0" w:leftChars="0" w:right="0" w:firstLine="643" w:firstLineChars="200"/>
        <w:contextualSpacing/>
        <w:jc w:val="left"/>
        <w:rPr>
          <w:rFonts w:hint="eastAsia" w:ascii="楷体_GB2312" w:hAnsi="楷体_GB2312" w:eastAsia="楷体_GB2312" w:cs="楷体_GB2312"/>
          <w:b/>
          <w:bCs/>
          <w:color w:val="auto"/>
          <w:kern w:val="0"/>
          <w:sz w:val="32"/>
          <w:szCs w:val="32"/>
          <w:shd w:val="clear" w:color="auto" w:fill="FFFFFF"/>
          <w:lang w:val="zh-CN"/>
        </w:rPr>
      </w:pPr>
      <w:r>
        <w:rPr>
          <w:rFonts w:hint="eastAsia" w:ascii="楷体_GB2312" w:hAnsi="楷体_GB2312" w:eastAsia="楷体_GB2312" w:cs="楷体_GB2312"/>
          <w:b/>
          <w:bCs/>
          <w:color w:val="auto"/>
          <w:kern w:val="0"/>
          <w:sz w:val="32"/>
          <w:szCs w:val="32"/>
          <w:shd w:val="clear" w:color="auto" w:fill="FFFFFF"/>
          <w:lang w:val="zh-CN"/>
        </w:rPr>
        <w:t>（二）结果应用情况。</w:t>
      </w:r>
    </w:p>
    <w:p w14:paraId="5CA42E7F">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进一步加强财务管理，降低财务费用，控制各项开支，实行全面预算管理，合理安排，压缩不必要的或不急需的开支，做到全年工作开展、开支有预算，有计划，使局资金得到有效合理的发挥效益。同时财务工作计划中对于机关和各股室的费用，实行科学预算，包干使用，并纳入年底对各单位的考核，有效控制各项费用的不合理开支。 </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1、业务招待费管理。对业务招待费的管理办法依然采取行政负责、包干使用、超支不补、节约归公的原则管好用好业务招待费。</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rPr>
        <w:t>　　2、差旅费管理。严格规范差旅费报销程序和职工借款的还款时限，坚持按照县委县政府下发的《关于加强差旅费和职工借款管理的通知》的精神</w:t>
      </w:r>
      <w:r>
        <w:rPr>
          <w:rFonts w:hint="eastAsia" w:ascii="仿宋" w:hAnsi="仿宋" w:eastAsia="仿宋" w:cs="仿宋"/>
          <w:color w:val="auto"/>
          <w:sz w:val="32"/>
          <w:szCs w:val="32"/>
          <w:lang w:eastAsia="zh-CN"/>
        </w:rPr>
        <w:t>及其他</w:t>
      </w:r>
      <w:r>
        <w:rPr>
          <w:rFonts w:hint="eastAsia" w:ascii="仿宋" w:hAnsi="仿宋" w:eastAsia="仿宋" w:cs="仿宋"/>
          <w:color w:val="auto"/>
          <w:sz w:val="32"/>
          <w:szCs w:val="32"/>
        </w:rPr>
        <w:t>财务管理制度执行。做到坚持原则，</w:t>
      </w:r>
      <w:r>
        <w:rPr>
          <w:rFonts w:hint="eastAsia" w:ascii="仿宋" w:hAnsi="仿宋" w:eastAsia="仿宋" w:cs="仿宋"/>
          <w:color w:val="auto"/>
          <w:sz w:val="32"/>
          <w:szCs w:val="32"/>
          <w:lang w:eastAsia="zh-CN"/>
        </w:rPr>
        <w:t>一视同仁</w:t>
      </w:r>
      <w:r>
        <w:rPr>
          <w:rFonts w:hint="eastAsia" w:ascii="仿宋" w:hAnsi="仿宋" w:eastAsia="仿宋" w:cs="仿宋"/>
          <w:color w:val="auto"/>
          <w:sz w:val="32"/>
          <w:szCs w:val="32"/>
        </w:rPr>
        <w:t xml:space="preserve">，杜绝虚报冒领，借款长期不还，占用挪用资金的现象发生。 </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rPr>
        <w:t xml:space="preserve">    3、办公费管理。办公费管理要按照年初各股室列出计划，经领导审批后，局统一采购、保管，按计划领用的原则执行。 </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rPr>
        <w:t xml:space="preserve">　　4、车辆费用管理。严格执行县委县政府制订的相关车辆费用管理办法，从严从细加强管理。车辆维修必须先有计划，经分管领导审核批准后进行维修；车辆用油由办公室负责审批，做好保管、登记，杜绝乱购、无计划加油。 </w:t>
      </w:r>
    </w:p>
    <w:p w14:paraId="3BEF07AD">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5、做好项目管理工作。我局几乎每年都有项目，做好项目管理尤为重要。严格按照政府项目采购管理办法进行项目管理，资金按照验收合同进行划拨，做到手续齐全、证件齐备合法。</w:t>
      </w:r>
    </w:p>
    <w:p w14:paraId="36543880">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color w:val="auto"/>
          <w:sz w:val="32"/>
          <w:szCs w:val="32"/>
        </w:rPr>
        <w:t>6、继续开展会计规范化管理工作，防范和化解操作风险。在去年会计工作规范管理的基础上，继续开展会计规范化管理工作，提高会计核算管理水平，防范和化解操作风险。具体从7个方面抓起：会计基本规定</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会计核算质量</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会计报表质量</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计算机管理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结算管理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会计档案管理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银行网点管理</w:t>
      </w:r>
      <w:r>
        <w:rPr>
          <w:rFonts w:hint="eastAsia" w:ascii="仿宋" w:hAnsi="仿宋" w:eastAsia="仿宋" w:cs="仿宋"/>
          <w:color w:val="auto"/>
          <w:sz w:val="32"/>
          <w:szCs w:val="32"/>
          <w:lang w:eastAsia="zh-CN"/>
        </w:rPr>
        <w:t>及其他</w:t>
      </w:r>
      <w:r>
        <w:rPr>
          <w:rFonts w:hint="eastAsia" w:ascii="仿宋" w:hAnsi="仿宋" w:eastAsia="仿宋" w:cs="仿宋"/>
          <w:color w:val="auto"/>
          <w:sz w:val="32"/>
          <w:szCs w:val="32"/>
        </w:rPr>
        <w:t>。特别是会计档案管理历年来有所欠缺，每年的会计凭证虽然都归了档，但未按档案管理办法归类整理，需要进一步规范。</w:t>
      </w:r>
    </w:p>
    <w:p w14:paraId="78D93EE8">
      <w:pPr>
        <w:pageBreakBefore w:val="0"/>
        <w:widowControl/>
        <w:kinsoku/>
        <w:wordWrap/>
        <w:overflowPunct/>
        <w:topLinePunct w:val="0"/>
        <w:bidi w:val="0"/>
        <w:adjustRightInd w:val="0"/>
        <w:snapToGrid w:val="0"/>
        <w:spacing w:line="578" w:lineRule="exact"/>
        <w:ind w:left="0" w:leftChars="0" w:right="0" w:firstLine="640" w:firstLineChars="200"/>
        <w:contextualSpacing/>
        <w:jc w:val="left"/>
        <w:rPr>
          <w:rFonts w:hint="eastAsia" w:ascii="黑体" w:hAnsi="黑体" w:eastAsia="黑体" w:cs="黑体"/>
          <w:color w:val="auto"/>
          <w:kern w:val="0"/>
          <w:sz w:val="32"/>
          <w:szCs w:val="32"/>
          <w:shd w:val="clear" w:color="auto" w:fill="FFFFFF"/>
        </w:rPr>
      </w:pPr>
      <w:r>
        <w:rPr>
          <w:rFonts w:hint="eastAsia" w:ascii="黑体" w:hAnsi="黑体" w:eastAsia="黑体" w:cs="黑体"/>
          <w:color w:val="auto"/>
          <w:kern w:val="0"/>
          <w:sz w:val="32"/>
          <w:szCs w:val="32"/>
          <w:shd w:val="clear" w:color="auto" w:fill="FFFFFF"/>
        </w:rPr>
        <w:t>四、评价结论及建议</w:t>
      </w:r>
    </w:p>
    <w:p w14:paraId="59A697A8">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b/>
          <w:bCs/>
          <w:color w:val="auto"/>
          <w:kern w:val="0"/>
          <w:sz w:val="32"/>
          <w:szCs w:val="32"/>
          <w:lang w:val="zh-CN"/>
        </w:rPr>
        <w:t>（一）评价结论。</w:t>
      </w:r>
      <w:r>
        <w:rPr>
          <w:rFonts w:hint="eastAsia" w:ascii="仿宋" w:hAnsi="仿宋" w:eastAsia="仿宋" w:cs="仿宋"/>
          <w:color w:val="auto"/>
          <w:kern w:val="0"/>
          <w:sz w:val="32"/>
          <w:szCs w:val="32"/>
        </w:rPr>
        <w:t>2021年我局财政支出在预算范围内，做到资金使用规范合理，达到开源节流、注重效益的目标。</w:t>
      </w:r>
    </w:p>
    <w:p w14:paraId="18330E15">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lang w:val="zh-CN"/>
        </w:rPr>
      </w:pPr>
      <w:r>
        <w:rPr>
          <w:rFonts w:hint="eastAsia" w:ascii="仿宋" w:hAnsi="仿宋" w:eastAsia="仿宋" w:cs="仿宋"/>
          <w:b/>
          <w:bCs/>
          <w:color w:val="auto"/>
          <w:kern w:val="0"/>
          <w:sz w:val="32"/>
          <w:szCs w:val="32"/>
          <w:lang w:val="zh-CN"/>
        </w:rPr>
        <w:t>（二）存在问题。</w:t>
      </w:r>
      <w:r>
        <w:rPr>
          <w:rFonts w:hint="eastAsia" w:ascii="仿宋" w:hAnsi="仿宋" w:eastAsia="仿宋" w:cs="仿宋"/>
          <w:color w:val="auto"/>
          <w:kern w:val="0"/>
          <w:sz w:val="32"/>
          <w:szCs w:val="32"/>
          <w:lang w:val="zh-CN"/>
        </w:rPr>
        <w:t>本单位事前监管机制较为完善，资金的申请、拨付、使用把关较严，但是事后监管乏力，后续配套措施</w:t>
      </w:r>
      <w:r>
        <w:rPr>
          <w:rFonts w:hint="eastAsia" w:ascii="仿宋" w:hAnsi="仿宋" w:eastAsia="仿宋" w:cs="仿宋"/>
          <w:color w:val="auto"/>
          <w:kern w:val="0"/>
          <w:sz w:val="32"/>
          <w:szCs w:val="32"/>
        </w:rPr>
        <w:t>有提升的空间</w:t>
      </w:r>
      <w:r>
        <w:rPr>
          <w:rFonts w:hint="eastAsia" w:ascii="仿宋" w:hAnsi="仿宋" w:eastAsia="仿宋" w:cs="仿宋"/>
          <w:color w:val="auto"/>
          <w:kern w:val="0"/>
          <w:sz w:val="32"/>
          <w:szCs w:val="32"/>
          <w:lang w:val="zh-CN"/>
        </w:rPr>
        <w:t>，绩效评价仍有较大的提升空间。</w:t>
      </w:r>
    </w:p>
    <w:p w14:paraId="18BB2436">
      <w:pPr>
        <w:pageBreakBefore w:val="0"/>
        <w:widowControl/>
        <w:kinsoku/>
        <w:wordWrap/>
        <w:overflowPunct/>
        <w:topLinePunct w:val="0"/>
        <w:bidi w:val="0"/>
        <w:adjustRightInd w:val="0"/>
        <w:snapToGrid w:val="0"/>
        <w:spacing w:line="578" w:lineRule="exact"/>
        <w:ind w:left="0" w:leftChars="0" w:right="0" w:firstLine="720"/>
        <w:jc w:val="left"/>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lang w:val="zh-CN"/>
        </w:rPr>
        <w:t>（三）改进建议。</w:t>
      </w:r>
      <w:r>
        <w:rPr>
          <w:rFonts w:hint="eastAsia" w:ascii="仿宋" w:hAnsi="仿宋" w:eastAsia="仿宋" w:cs="仿宋"/>
          <w:color w:val="auto"/>
          <w:kern w:val="0"/>
          <w:sz w:val="32"/>
          <w:szCs w:val="32"/>
        </w:rPr>
        <w:t>做好资金的拨付力度，做好项目的后续管理，保证使用的资金发挥出最大的社会效益。</w:t>
      </w:r>
    </w:p>
    <w:p w14:paraId="44BE1F5D">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1C24765A">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48BA346C">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4F06B501">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1A5E3B0D">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4BD12460">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38717D6F">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4F55DCF7">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21D94A5A">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1A721502">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5E2E2C0C">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3534B82F">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48DCC43B">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p>
    <w:p w14:paraId="03E2EA8D">
      <w:pPr>
        <w:pageBreakBefore w:val="0"/>
        <w:kinsoku/>
        <w:wordWrap/>
        <w:overflowPunct/>
        <w:topLinePunct w:val="0"/>
        <w:bidi w:val="0"/>
        <w:spacing w:line="578" w:lineRule="exact"/>
        <w:ind w:left="0" w:leftChars="0" w:right="0"/>
        <w:jc w:val="both"/>
        <w:outlineLvl w:val="0"/>
        <w:rPr>
          <w:rFonts w:hint="eastAsia" w:ascii="宋体" w:hAnsi="宋体" w:eastAsia="宋体" w:cs="宋体"/>
          <w:b/>
          <w:bCs/>
          <w:color w:val="auto"/>
          <w:sz w:val="32"/>
          <w:szCs w:val="32"/>
          <w:lang w:eastAsia="zh-CN"/>
        </w:rPr>
      </w:pPr>
      <w:bookmarkStart w:id="117" w:name="_Toc79163883"/>
      <w:bookmarkStart w:id="118" w:name="_Toc79163633"/>
      <w:r>
        <w:rPr>
          <w:rFonts w:hint="eastAsia" w:ascii="宋体" w:hAnsi="宋体" w:eastAsia="宋体" w:cs="宋体"/>
          <w:b/>
          <w:bCs/>
          <w:color w:val="auto"/>
          <w:sz w:val="32"/>
          <w:szCs w:val="32"/>
          <w:lang w:eastAsia="zh-CN"/>
        </w:rPr>
        <w:t>附件2</w:t>
      </w:r>
      <w:bookmarkEnd w:id="117"/>
      <w:bookmarkEnd w:id="118"/>
    </w:p>
    <w:p w14:paraId="1E43797F">
      <w:pPr>
        <w:pageBreakBefore w:val="0"/>
        <w:kinsoku/>
        <w:wordWrap/>
        <w:overflowPunct/>
        <w:topLinePunct w:val="0"/>
        <w:bidi w:val="0"/>
        <w:spacing w:line="578" w:lineRule="exact"/>
        <w:ind w:left="0" w:leftChars="0" w:right="0"/>
        <w:jc w:val="center"/>
        <w:outlineLvl w:val="0"/>
        <w:rPr>
          <w:rFonts w:hint="eastAsia" w:ascii="方正小标宋简体" w:hAnsi="黑体" w:eastAsia="方正小标宋简体" w:cs="黑体"/>
          <w:color w:val="auto"/>
          <w:sz w:val="44"/>
          <w:szCs w:val="44"/>
          <w:lang w:eastAsia="zh-CN"/>
        </w:rPr>
      </w:pPr>
    </w:p>
    <w:p w14:paraId="4981381A">
      <w:pPr>
        <w:pageBreakBefore w:val="0"/>
        <w:kinsoku/>
        <w:wordWrap/>
        <w:overflowPunct/>
        <w:topLinePunct w:val="0"/>
        <w:bidi w:val="0"/>
        <w:spacing w:line="578" w:lineRule="exact"/>
        <w:ind w:left="0" w:leftChars="0" w:right="0"/>
        <w:jc w:val="center"/>
        <w:outlineLvl w:val="0"/>
        <w:rPr>
          <w:rFonts w:hint="eastAsia" w:ascii="方正小标宋简体" w:hAnsi="黑体" w:eastAsia="方正小标宋简体" w:cs="黑体"/>
          <w:color w:val="auto"/>
          <w:sz w:val="44"/>
          <w:szCs w:val="44"/>
          <w:lang w:val="en-US" w:eastAsia="zh-CN"/>
        </w:rPr>
      </w:pPr>
      <w:bookmarkStart w:id="119" w:name="_Toc79163634"/>
      <w:bookmarkStart w:id="120" w:name="_Toc79163884"/>
      <w:r>
        <w:rPr>
          <w:rFonts w:hint="eastAsia" w:ascii="方正小标宋简体" w:hAnsi="黑体" w:eastAsia="方正小标宋简体" w:cs="黑体"/>
          <w:color w:val="auto"/>
          <w:sz w:val="44"/>
          <w:szCs w:val="44"/>
          <w:lang w:val="en-US" w:eastAsia="zh-CN"/>
        </w:rPr>
        <w:t>松潘县文化体育和旅游局</w:t>
      </w:r>
    </w:p>
    <w:p w14:paraId="4963F677">
      <w:pPr>
        <w:pageBreakBefore w:val="0"/>
        <w:kinsoku/>
        <w:wordWrap/>
        <w:overflowPunct/>
        <w:topLinePunct w:val="0"/>
        <w:bidi w:val="0"/>
        <w:spacing w:line="578" w:lineRule="exact"/>
        <w:ind w:left="0" w:leftChars="0" w:right="0"/>
        <w:jc w:val="center"/>
        <w:outlineLvl w:val="0"/>
        <w:rPr>
          <w:rFonts w:hint="eastAsia" w:ascii="方正小标宋简体" w:hAnsi="黑体" w:eastAsia="方正小标宋简体" w:cs="黑体"/>
          <w:color w:val="auto"/>
          <w:sz w:val="44"/>
          <w:szCs w:val="44"/>
          <w:lang w:eastAsia="zh-CN"/>
        </w:rPr>
      </w:pPr>
      <w:r>
        <w:rPr>
          <w:rFonts w:hint="eastAsia" w:ascii="方正小标宋简体" w:hAnsi="黑体" w:eastAsia="方正小标宋简体" w:cs="黑体"/>
          <w:color w:val="auto"/>
          <w:sz w:val="44"/>
          <w:szCs w:val="44"/>
          <w:lang w:val="en-US" w:eastAsia="zh-CN"/>
        </w:rPr>
        <w:t>中央补助地方公共文化服务体系建设资金（重点项目）－戏曲进乡村</w:t>
      </w:r>
    </w:p>
    <w:p w14:paraId="4FA21B24">
      <w:pPr>
        <w:pageBreakBefore w:val="0"/>
        <w:kinsoku/>
        <w:wordWrap/>
        <w:overflowPunct/>
        <w:topLinePunct w:val="0"/>
        <w:bidi w:val="0"/>
        <w:spacing w:line="578" w:lineRule="exact"/>
        <w:ind w:left="0" w:leftChars="0" w:right="0"/>
        <w:jc w:val="center"/>
        <w:outlineLvl w:val="0"/>
        <w:rPr>
          <w:rFonts w:hint="eastAsia" w:ascii="方正小标宋简体" w:hAnsi="黑体" w:eastAsia="方正小标宋简体" w:cs="黑体"/>
          <w:color w:val="auto"/>
          <w:sz w:val="44"/>
          <w:szCs w:val="44"/>
          <w:lang w:eastAsia="zh-CN"/>
        </w:rPr>
      </w:pPr>
      <w:r>
        <w:rPr>
          <w:rFonts w:hint="eastAsia" w:ascii="方正小标宋简体" w:hAnsi="黑体" w:eastAsia="方正小标宋简体" w:cs="黑体"/>
          <w:color w:val="auto"/>
          <w:sz w:val="44"/>
          <w:szCs w:val="44"/>
          <w:lang w:eastAsia="zh-CN"/>
        </w:rPr>
        <w:t>项目2020年绩效评价报告</w:t>
      </w:r>
      <w:bookmarkEnd w:id="119"/>
      <w:bookmarkEnd w:id="120"/>
    </w:p>
    <w:p w14:paraId="52877A15">
      <w:pPr>
        <w:pageBreakBefore w:val="0"/>
        <w:kinsoku/>
        <w:wordWrap/>
        <w:overflowPunct/>
        <w:topLinePunct w:val="0"/>
        <w:bidi w:val="0"/>
        <w:spacing w:line="578" w:lineRule="exact"/>
        <w:ind w:left="0" w:leftChars="0" w:right="0"/>
        <w:rPr>
          <w:rFonts w:hint="eastAsia" w:ascii="仿宋" w:hAnsi="仿宋" w:eastAsia="仿宋" w:cs="仿宋"/>
          <w:color w:val="auto"/>
          <w:sz w:val="32"/>
          <w:szCs w:val="32"/>
          <w:lang w:val="zh-CN"/>
        </w:rPr>
      </w:pPr>
    </w:p>
    <w:p w14:paraId="25AB3419">
      <w:pPr>
        <w:pageBreakBefore w:val="0"/>
        <w:kinsoku/>
        <w:wordWrap/>
        <w:overflowPunct/>
        <w:topLinePunct w:val="0"/>
        <w:bidi w:val="0"/>
        <w:adjustRightInd w:val="0"/>
        <w:snapToGrid w:val="0"/>
        <w:spacing w:line="578" w:lineRule="exact"/>
        <w:ind w:left="0" w:leftChars="0" w:right="0" w:firstLine="640" w:firstLineChars="200"/>
        <w:rPr>
          <w:rFonts w:hint="eastAsia" w:ascii="黑体" w:hAnsi="黑体" w:eastAsia="黑体" w:cs="黑体"/>
          <w:b w:val="0"/>
          <w:bCs w:val="0"/>
          <w:color w:val="auto"/>
          <w:sz w:val="32"/>
          <w:szCs w:val="32"/>
          <w:lang w:val="zh-CN"/>
        </w:rPr>
      </w:pPr>
      <w:r>
        <w:rPr>
          <w:rFonts w:hint="eastAsia" w:ascii="黑体" w:hAnsi="黑体" w:eastAsia="黑体" w:cs="黑体"/>
          <w:b w:val="0"/>
          <w:bCs w:val="0"/>
          <w:color w:val="auto"/>
          <w:sz w:val="32"/>
          <w:szCs w:val="32"/>
        </w:rPr>
        <w:t>一、</w:t>
      </w:r>
      <w:r>
        <w:rPr>
          <w:rFonts w:hint="eastAsia" w:ascii="黑体" w:hAnsi="黑体" w:eastAsia="黑体" w:cs="黑体"/>
          <w:b w:val="0"/>
          <w:bCs w:val="0"/>
          <w:color w:val="auto"/>
          <w:sz w:val="32"/>
          <w:szCs w:val="32"/>
          <w:lang w:val="zh-CN"/>
        </w:rPr>
        <w:t>项目概况</w:t>
      </w:r>
    </w:p>
    <w:p w14:paraId="15E3A01E">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（一）项目基本情况。</w:t>
      </w:r>
    </w:p>
    <w:p w14:paraId="633314A8">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rPr>
      </w:pPr>
      <w:r>
        <w:rPr>
          <w:rFonts w:hint="eastAsia" w:ascii="仿宋" w:hAnsi="仿宋" w:eastAsia="仿宋" w:cs="仿宋"/>
          <w:color w:val="auto"/>
          <w:sz w:val="32"/>
          <w:szCs w:val="32"/>
        </w:rPr>
        <w:t>根据（阿州财教〔2020〕22号）文件，2020年下达我县戏曲进乡村资金75万元（大写：柒拾伍万元整）。</w:t>
      </w:r>
    </w:p>
    <w:p w14:paraId="3B8C0926">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（二）项目绩效目标。</w:t>
      </w:r>
    </w:p>
    <w:p w14:paraId="281D3E9F">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1．项目主要内容。</w:t>
      </w:r>
    </w:p>
    <w:p w14:paraId="61BEBFF6">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rPr>
        <w:t>2020年下达我县戏曲进乡村资金75万元（大写：柒拾伍万元整）。</w:t>
      </w:r>
    </w:p>
    <w:p w14:paraId="3F6D6359">
      <w:pPr>
        <w:keepNext w:val="0"/>
        <w:keepLines w:val="0"/>
        <w:pageBreakBefore w:val="0"/>
        <w:widowControl w:val="0"/>
        <w:kinsoku/>
        <w:wordWrap/>
        <w:overflowPunct/>
        <w:topLinePunct w:val="0"/>
        <w:autoSpaceDE/>
        <w:autoSpaceDN/>
        <w:bidi w:val="0"/>
        <w:adjustRightInd/>
        <w:snapToGrid/>
        <w:spacing w:line="578" w:lineRule="exact"/>
        <w:ind w:left="0" w:leftChars="0" w:right="0" w:firstLine="640" w:firstLineChars="200"/>
        <w:textAlignment w:val="auto"/>
        <w:rPr>
          <w:rFonts w:hint="eastAsia" w:ascii="仿宋" w:hAnsi="仿宋" w:eastAsia="仿宋" w:cs="仿宋"/>
          <w:color w:val="auto"/>
          <w:sz w:val="32"/>
          <w:szCs w:val="32"/>
          <w:lang w:val="en-US"/>
        </w:rPr>
      </w:pPr>
      <w:r>
        <w:rPr>
          <w:rFonts w:hint="eastAsia" w:ascii="仿宋" w:hAnsi="仿宋" w:eastAsia="仿宋" w:cs="仿宋"/>
          <w:color w:val="auto"/>
          <w:sz w:val="32"/>
          <w:szCs w:val="32"/>
          <w:lang w:val="zh-CN"/>
        </w:rPr>
        <w:t>2．</w:t>
      </w:r>
      <w:r>
        <w:rPr>
          <w:rFonts w:hint="eastAsia" w:ascii="仿宋" w:hAnsi="仿宋" w:eastAsia="仿宋" w:cs="仿宋"/>
          <w:color w:val="auto"/>
          <w:sz w:val="32"/>
          <w:szCs w:val="32"/>
          <w:lang w:val="en-US" w:eastAsia="zh-CN"/>
        </w:rPr>
        <w:t>我县戏曲进乡村通过不断更新节目内容，来丰富群众日常精神生活。使基层文化新宣传多一个载体。完成150场次表演。</w:t>
      </w:r>
    </w:p>
    <w:p w14:paraId="1C3297CE">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3．申报内容与实际相符，申报目标合理可行。</w:t>
      </w:r>
    </w:p>
    <w:p w14:paraId="33F147AD">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（三）项目自评步骤及方法。</w:t>
      </w:r>
    </w:p>
    <w:p w14:paraId="47626C84">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严格按照单位资金使用管理办法，实施资金使用。</w:t>
      </w:r>
    </w:p>
    <w:p w14:paraId="1171C38D">
      <w:pPr>
        <w:pageBreakBefore w:val="0"/>
        <w:kinsoku/>
        <w:wordWrap/>
        <w:overflowPunct/>
        <w:topLinePunct w:val="0"/>
        <w:bidi w:val="0"/>
        <w:adjustRightInd w:val="0"/>
        <w:snapToGrid w:val="0"/>
        <w:spacing w:line="578" w:lineRule="exact"/>
        <w:ind w:left="0" w:leftChars="0" w:right="0" w:firstLine="643" w:firstLineChars="200"/>
        <w:rPr>
          <w:rFonts w:hint="eastAsia" w:ascii="黑体" w:hAnsi="黑体" w:eastAsia="黑体" w:cs="黑体"/>
          <w:b/>
          <w:bCs/>
          <w:color w:val="auto"/>
          <w:sz w:val="32"/>
          <w:szCs w:val="32"/>
        </w:rPr>
      </w:pPr>
      <w:r>
        <w:rPr>
          <w:rFonts w:hint="eastAsia" w:ascii="黑体" w:hAnsi="黑体" w:eastAsia="黑体" w:cs="黑体"/>
          <w:b/>
          <w:bCs/>
          <w:color w:val="auto"/>
          <w:sz w:val="32"/>
          <w:szCs w:val="32"/>
        </w:rPr>
        <w:t>二、项目资金申报及使用情况</w:t>
      </w:r>
    </w:p>
    <w:p w14:paraId="5BD5FAD3">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（一）项目资金申报及批复情况。</w:t>
      </w:r>
    </w:p>
    <w:p w14:paraId="6D255FD5">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单位申请资金，财政批复。</w:t>
      </w:r>
    </w:p>
    <w:p w14:paraId="6490C9EA">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color w:val="auto"/>
          <w:sz w:val="32"/>
          <w:szCs w:val="32"/>
          <w:lang w:val="zh-CN"/>
        </w:rPr>
      </w:pPr>
      <w:r>
        <w:rPr>
          <w:rFonts w:hint="eastAsia" w:ascii="楷体_GB2312" w:hAnsi="楷体_GB2312" w:eastAsia="楷体_GB2312" w:cs="楷体_GB2312"/>
          <w:b/>
          <w:color w:val="auto"/>
          <w:sz w:val="32"/>
          <w:szCs w:val="32"/>
          <w:lang w:val="zh-CN"/>
        </w:rPr>
        <w:t>（二）资金计划、到位及使用情况（可用表格形式反映）。</w:t>
      </w:r>
    </w:p>
    <w:p w14:paraId="58874E26">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1．资金计划。单位出方案，计划使用资金。</w:t>
      </w:r>
    </w:p>
    <w:p w14:paraId="5E49901C">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2．资金到位。</w:t>
      </w:r>
    </w:p>
    <w:p w14:paraId="2B411C4B">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rPr>
        <w:t>3．资金使用。</w:t>
      </w:r>
      <w:r>
        <w:rPr>
          <w:rFonts w:hint="eastAsia" w:ascii="仿宋" w:hAnsi="仿宋" w:eastAsia="仿宋" w:cs="仿宋"/>
          <w:color w:val="auto"/>
          <w:sz w:val="32"/>
          <w:szCs w:val="32"/>
        </w:rPr>
        <w:t>2020年下达我县戏曲进乡村资金75万元</w:t>
      </w:r>
      <w:r>
        <w:rPr>
          <w:rFonts w:hint="eastAsia" w:ascii="仿宋" w:hAnsi="仿宋" w:eastAsia="仿宋" w:cs="仿宋"/>
          <w:color w:val="auto"/>
          <w:sz w:val="32"/>
          <w:szCs w:val="32"/>
          <w:lang w:eastAsia="zh-CN"/>
        </w:rPr>
        <w:t>，与预算相符。</w:t>
      </w:r>
    </w:p>
    <w:p w14:paraId="7B64B2A3">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（三）项目财务管理情况。</w:t>
      </w:r>
    </w:p>
    <w:p w14:paraId="3F3B00D4">
      <w:pPr>
        <w:pageBreakBefore w:val="0"/>
        <w:kinsoku/>
        <w:wordWrap/>
        <w:overflowPunct/>
        <w:topLinePunct w:val="0"/>
        <w:bidi w:val="0"/>
        <w:snapToGrid w:val="0"/>
        <w:spacing w:line="578" w:lineRule="exact"/>
        <w:ind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本单位严格按照资金管理办法，正确使用资金。</w:t>
      </w:r>
    </w:p>
    <w:p w14:paraId="150899DA">
      <w:pPr>
        <w:pageBreakBefore w:val="0"/>
        <w:kinsoku/>
        <w:wordWrap/>
        <w:overflowPunct/>
        <w:topLinePunct w:val="0"/>
        <w:bidi w:val="0"/>
        <w:adjustRightInd w:val="0"/>
        <w:snapToGrid w:val="0"/>
        <w:spacing w:line="578" w:lineRule="exact"/>
        <w:ind w:left="0" w:leftChars="0" w:right="0"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三、项目实施及管理情况</w:t>
      </w:r>
    </w:p>
    <w:p w14:paraId="5FE10A3B">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结合项目组织实施管理办法，重点围绕以下内容进行分析评价，并对自评中发现的问题分析说明。</w:t>
      </w:r>
    </w:p>
    <w:p w14:paraId="7B111D59">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b/>
          <w:color w:val="auto"/>
          <w:sz w:val="32"/>
          <w:szCs w:val="32"/>
          <w:lang w:val="zh-CN"/>
        </w:rPr>
      </w:pPr>
      <w:r>
        <w:rPr>
          <w:rFonts w:hint="eastAsia" w:ascii="楷体_GB2312" w:hAnsi="楷体_GB2312" w:eastAsia="楷体_GB2312" w:cs="楷体_GB2312"/>
          <w:b/>
          <w:color w:val="auto"/>
          <w:sz w:val="32"/>
          <w:szCs w:val="32"/>
          <w:lang w:val="zh-CN"/>
        </w:rPr>
        <w:t>（一）项目组织架构及实施流程。</w:t>
      </w:r>
      <w:r>
        <w:rPr>
          <w:rFonts w:hint="eastAsia" w:ascii="仿宋" w:hAnsi="仿宋" w:eastAsia="仿宋" w:cs="仿宋"/>
          <w:color w:val="auto"/>
          <w:kern w:val="2"/>
          <w:sz w:val="32"/>
          <w:szCs w:val="32"/>
        </w:rPr>
        <w:t>我单位严格按照补助资金的管理和使用坚持统一管理、突出重点、合理安排、专款专用、注重绩效的原则。补助资金使用过程中，严格按照执行国家法律法规和财务规章制度。</w:t>
      </w:r>
    </w:p>
    <w:p w14:paraId="6EC1F88B">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楷体_GB2312" w:hAnsi="楷体_GB2312" w:eastAsia="楷体_GB2312" w:cs="楷体_GB2312"/>
          <w:b/>
          <w:color w:val="auto"/>
          <w:sz w:val="32"/>
          <w:szCs w:val="32"/>
          <w:lang w:val="zh-CN"/>
        </w:rPr>
        <w:t>（二）项目管理情况。</w:t>
      </w:r>
      <w:r>
        <w:rPr>
          <w:rFonts w:hint="eastAsia" w:ascii="仿宋" w:hAnsi="仿宋" w:eastAsia="仿宋" w:cs="仿宋"/>
          <w:color w:val="auto"/>
          <w:sz w:val="32"/>
          <w:szCs w:val="32"/>
        </w:rPr>
        <w:t>我局严格按照相关文件要求，做到了专款专用、支出合理、审批手续齐全</w:t>
      </w:r>
      <w:r>
        <w:rPr>
          <w:rFonts w:hint="eastAsia" w:ascii="仿宋" w:hAnsi="仿宋" w:eastAsia="仿宋" w:cs="仿宋"/>
          <w:color w:val="auto"/>
          <w:sz w:val="32"/>
          <w:szCs w:val="32"/>
          <w:lang w:eastAsia="zh-CN"/>
        </w:rPr>
        <w:t>。</w:t>
      </w:r>
    </w:p>
    <w:p w14:paraId="7C1510B6">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楷体_GB2312" w:hAnsi="楷体_GB2312" w:eastAsia="楷体_GB2312" w:cs="楷体_GB2312"/>
          <w:b/>
          <w:color w:val="auto"/>
          <w:sz w:val="32"/>
          <w:szCs w:val="32"/>
          <w:lang w:val="zh-CN"/>
        </w:rPr>
        <w:t>（三）项目监管情况。</w:t>
      </w:r>
      <w:r>
        <w:rPr>
          <w:rFonts w:hint="eastAsia" w:ascii="仿宋" w:hAnsi="仿宋" w:eastAsia="仿宋" w:cs="仿宋"/>
          <w:color w:val="auto"/>
          <w:sz w:val="32"/>
          <w:szCs w:val="32"/>
          <w:lang w:val="zh-CN"/>
        </w:rPr>
        <w:t>单位严格监管资金使用方向。</w:t>
      </w:r>
    </w:p>
    <w:p w14:paraId="5B1542FD">
      <w:pPr>
        <w:pageBreakBefore w:val="0"/>
        <w:kinsoku/>
        <w:wordWrap/>
        <w:overflowPunct/>
        <w:topLinePunct w:val="0"/>
        <w:bidi w:val="0"/>
        <w:adjustRightInd w:val="0"/>
        <w:snapToGrid w:val="0"/>
        <w:spacing w:line="578" w:lineRule="exact"/>
        <w:ind w:left="0" w:leftChars="0" w:right="0" w:firstLine="643" w:firstLineChars="200"/>
        <w:rPr>
          <w:rFonts w:hint="eastAsia" w:ascii="黑体" w:hAnsi="黑体" w:eastAsia="黑体" w:cs="黑体"/>
          <w:b/>
          <w:bCs/>
          <w:color w:val="auto"/>
          <w:sz w:val="32"/>
          <w:szCs w:val="32"/>
          <w:lang w:val="zh-CN"/>
        </w:rPr>
      </w:pPr>
      <w:r>
        <w:rPr>
          <w:rFonts w:hint="eastAsia" w:ascii="黑体" w:hAnsi="黑体" w:eastAsia="黑体" w:cs="黑体"/>
          <w:b/>
          <w:bCs/>
          <w:color w:val="auto"/>
          <w:sz w:val="32"/>
          <w:szCs w:val="32"/>
        </w:rPr>
        <w:t>四、项目绩效情况</w:t>
      </w:r>
      <w:r>
        <w:rPr>
          <w:rFonts w:hint="eastAsia" w:ascii="黑体" w:hAnsi="黑体" w:eastAsia="黑体" w:cs="黑体"/>
          <w:b/>
          <w:bCs/>
          <w:color w:val="auto"/>
          <w:sz w:val="32"/>
          <w:szCs w:val="32"/>
          <w:lang w:val="zh-CN"/>
        </w:rPr>
        <w:tab/>
      </w:r>
    </w:p>
    <w:p w14:paraId="2D713F42">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（一）项目完成情况。</w:t>
      </w:r>
    </w:p>
    <w:p w14:paraId="3070EC6B">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（1）数量指标。</w:t>
      </w:r>
    </w:p>
    <w:p w14:paraId="7FBC6C3A">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2020年完成根据（阿州财教〔2020〕22号）文件，2020年我县完成戏曲进乡村150场。</w:t>
      </w:r>
    </w:p>
    <w:p w14:paraId="466B2B6E">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（2）质量指标。</w:t>
      </w:r>
    </w:p>
    <w:p w14:paraId="3A5ADBE2">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我县戏曲进乡村完成数量150场，演出节目数量合格，演出质量合格。</w:t>
      </w:r>
    </w:p>
    <w:p w14:paraId="6B4C78E4">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（3）时效指标。</w:t>
      </w:r>
    </w:p>
    <w:p w14:paraId="13C43BD6">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我县戏曲进乡村在12月31日完成150场。</w:t>
      </w:r>
    </w:p>
    <w:p w14:paraId="255DC089">
      <w:pPr>
        <w:pageBreakBefore w:val="0"/>
        <w:kinsoku/>
        <w:wordWrap/>
        <w:overflowPunct/>
        <w:topLinePunct w:val="0"/>
        <w:bidi w:val="0"/>
        <w:adjustRightInd w:val="0"/>
        <w:snapToGrid w:val="0"/>
        <w:spacing w:line="578" w:lineRule="exact"/>
        <w:ind w:left="0" w:leftChars="0" w:right="0" w:firstLine="720"/>
        <w:rPr>
          <w:rFonts w:hint="eastAsia" w:ascii="楷体_GB2312" w:hAnsi="楷体_GB2312" w:eastAsia="楷体_GB2312" w:cs="楷体_GB2312"/>
          <w:b/>
          <w:color w:val="auto"/>
          <w:sz w:val="32"/>
          <w:szCs w:val="32"/>
          <w:lang w:val="zh-CN"/>
        </w:rPr>
      </w:pPr>
      <w:r>
        <w:rPr>
          <w:rFonts w:hint="eastAsia" w:ascii="楷体_GB2312" w:hAnsi="楷体_GB2312" w:eastAsia="楷体_GB2312" w:cs="楷体_GB2312"/>
          <w:b/>
          <w:color w:val="auto"/>
          <w:sz w:val="32"/>
          <w:szCs w:val="32"/>
          <w:lang w:val="zh-CN"/>
        </w:rPr>
        <w:t>（二）项目效益情况。</w:t>
      </w:r>
    </w:p>
    <w:p w14:paraId="35993972">
      <w:pPr>
        <w:pageBreakBefore w:val="0"/>
        <w:kinsoku/>
        <w:wordWrap/>
        <w:overflowPunct/>
        <w:topLinePunct w:val="0"/>
        <w:bidi w:val="0"/>
        <w:spacing w:line="578" w:lineRule="exact"/>
        <w:ind w:left="0" w:leftChars="0" w:right="0" w:firstLine="640" w:firstLineChars="200"/>
        <w:rPr>
          <w:rFonts w:hint="eastAsia" w:ascii="仿宋" w:hAnsi="仿宋" w:eastAsia="仿宋" w:cs="仿宋"/>
          <w:color w:val="auto"/>
          <w:sz w:val="32"/>
          <w:szCs w:val="32"/>
          <w:lang w:val="zh-CN"/>
        </w:rPr>
      </w:pPr>
      <w:r>
        <w:rPr>
          <w:rFonts w:hint="eastAsia" w:ascii="仿宋" w:hAnsi="仿宋" w:eastAsia="仿宋" w:cs="仿宋"/>
          <w:color w:val="auto"/>
          <w:sz w:val="32"/>
          <w:szCs w:val="32"/>
        </w:rPr>
        <w:t>我县戏曲进乡村通过不断更新节目内容，来丰富群众日常精神生活。使基层文化新宣传多一个载体。</w:t>
      </w:r>
    </w:p>
    <w:p w14:paraId="4E228E11">
      <w:pPr>
        <w:pageBreakBefore w:val="0"/>
        <w:kinsoku/>
        <w:wordWrap/>
        <w:overflowPunct/>
        <w:topLinePunct w:val="0"/>
        <w:bidi w:val="0"/>
        <w:adjustRightInd w:val="0"/>
        <w:snapToGrid w:val="0"/>
        <w:spacing w:line="578" w:lineRule="exact"/>
        <w:ind w:left="0" w:leftChars="0" w:right="0"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五、评价结论及建议</w:t>
      </w:r>
    </w:p>
    <w:p w14:paraId="31E29AA9">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rPr>
      </w:pPr>
      <w:r>
        <w:rPr>
          <w:rFonts w:hint="eastAsia" w:ascii="楷体_GB2312" w:hAnsi="楷体_GB2312" w:eastAsia="楷体_GB2312" w:cs="楷体_GB2312"/>
          <w:b/>
          <w:color w:val="auto"/>
          <w:sz w:val="32"/>
          <w:szCs w:val="32"/>
          <w:lang w:val="zh-CN"/>
        </w:rPr>
        <w:t>（一）评价结论。</w:t>
      </w:r>
      <w:r>
        <w:rPr>
          <w:rFonts w:hint="eastAsia" w:ascii="仿宋" w:hAnsi="仿宋" w:eastAsia="仿宋" w:cs="仿宋"/>
          <w:color w:val="auto"/>
          <w:sz w:val="32"/>
          <w:szCs w:val="32"/>
        </w:rPr>
        <w:t>在工作中，我们进一步加强领导，统一思想，提高认识，以更好地适应群众精神文化需求为根本出发点。我们将以群众满意为目标，继续做好戏曲进乡村工作。</w:t>
      </w:r>
    </w:p>
    <w:p w14:paraId="0C518C92">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val="zh-CN"/>
        </w:rPr>
      </w:pPr>
      <w:r>
        <w:rPr>
          <w:rFonts w:hint="eastAsia" w:ascii="楷体_GB2312" w:hAnsi="楷体_GB2312" w:eastAsia="楷体_GB2312" w:cs="楷体_GB2312"/>
          <w:b/>
          <w:color w:val="auto"/>
          <w:sz w:val="32"/>
          <w:szCs w:val="32"/>
          <w:lang w:val="zh-CN"/>
        </w:rPr>
        <w:t>（二）存在的问题。</w:t>
      </w:r>
      <w:r>
        <w:rPr>
          <w:rFonts w:hint="eastAsia" w:ascii="仿宋" w:hAnsi="仿宋" w:eastAsia="仿宋" w:cs="仿宋"/>
          <w:color w:val="auto"/>
          <w:sz w:val="32"/>
          <w:szCs w:val="32"/>
        </w:rPr>
        <w:t>送戏下乡节目不够新颖</w:t>
      </w:r>
      <w:r>
        <w:rPr>
          <w:rFonts w:hint="eastAsia" w:ascii="仿宋" w:hAnsi="仿宋" w:eastAsia="仿宋" w:cs="仿宋"/>
          <w:color w:val="auto"/>
          <w:sz w:val="32"/>
          <w:szCs w:val="32"/>
          <w:lang w:val="zh-CN"/>
        </w:rPr>
        <w:t>。</w:t>
      </w:r>
      <w:r>
        <w:rPr>
          <w:rFonts w:hint="eastAsia" w:ascii="仿宋" w:hAnsi="仿宋" w:eastAsia="仿宋" w:cs="仿宋"/>
          <w:color w:val="auto"/>
          <w:sz w:val="32"/>
          <w:szCs w:val="32"/>
          <w:lang w:val="zh-CN"/>
        </w:rPr>
        <w:tab/>
      </w:r>
    </w:p>
    <w:p w14:paraId="23C490DA">
      <w:pPr>
        <w:pageBreakBefore w:val="0"/>
        <w:kinsoku/>
        <w:wordWrap/>
        <w:overflowPunct/>
        <w:topLinePunct w:val="0"/>
        <w:bidi w:val="0"/>
        <w:adjustRightInd w:val="0"/>
        <w:snapToGrid w:val="0"/>
        <w:spacing w:line="578" w:lineRule="exact"/>
        <w:ind w:left="0" w:leftChars="0" w:right="0" w:firstLine="720"/>
        <w:rPr>
          <w:rFonts w:hint="eastAsia" w:ascii="仿宋" w:hAnsi="仿宋" w:eastAsia="仿宋" w:cs="仿宋"/>
          <w:color w:val="auto"/>
          <w:sz w:val="32"/>
          <w:szCs w:val="32"/>
          <w:lang w:eastAsia="zh-CN"/>
        </w:rPr>
      </w:pPr>
      <w:r>
        <w:rPr>
          <w:rFonts w:hint="eastAsia" w:ascii="楷体_GB2312" w:hAnsi="楷体_GB2312" w:eastAsia="楷体_GB2312" w:cs="楷体_GB2312"/>
          <w:b/>
          <w:color w:val="auto"/>
          <w:sz w:val="32"/>
          <w:szCs w:val="32"/>
          <w:lang w:val="zh-CN"/>
        </w:rPr>
        <w:t>（三）相关建议。</w:t>
      </w:r>
      <w:r>
        <w:rPr>
          <w:rFonts w:hint="eastAsia" w:ascii="仿宋" w:hAnsi="仿宋" w:eastAsia="仿宋" w:cs="仿宋"/>
          <w:color w:val="auto"/>
          <w:sz w:val="32"/>
          <w:szCs w:val="32"/>
        </w:rPr>
        <w:t>结合现代元素及当地特色，创新出更多新的节目</w:t>
      </w:r>
      <w:r>
        <w:rPr>
          <w:rFonts w:hint="eastAsia" w:ascii="仿宋" w:hAnsi="仿宋" w:eastAsia="仿宋" w:cs="仿宋"/>
          <w:color w:val="auto"/>
          <w:sz w:val="32"/>
          <w:szCs w:val="32"/>
          <w:lang w:eastAsia="zh-CN"/>
        </w:rPr>
        <w:t>。</w:t>
      </w:r>
    </w:p>
    <w:p w14:paraId="200B4ED4">
      <w:pPr>
        <w:pageBreakBefore w:val="0"/>
        <w:widowControl/>
        <w:kinsoku/>
        <w:wordWrap/>
        <w:overflowPunct/>
        <w:topLinePunct w:val="0"/>
        <w:bidi w:val="0"/>
        <w:spacing w:line="578" w:lineRule="exact"/>
        <w:ind w:left="0" w:leftChars="0" w:right="0"/>
        <w:jc w:val="left"/>
        <w:rPr>
          <w:rStyle w:val="14"/>
          <w:rFonts w:hint="eastAsia" w:ascii="仿宋" w:hAnsi="仿宋" w:eastAsia="仿宋" w:cs="仿宋"/>
          <w:b w:val="0"/>
          <w:color w:val="auto"/>
          <w:sz w:val="32"/>
          <w:szCs w:val="32"/>
        </w:rPr>
      </w:pPr>
    </w:p>
    <w:p w14:paraId="1DAB05E2">
      <w:pPr>
        <w:pageBreakBefore w:val="0"/>
        <w:widowControl/>
        <w:kinsoku/>
        <w:wordWrap/>
        <w:overflowPunct/>
        <w:topLinePunct w:val="0"/>
        <w:bidi w:val="0"/>
        <w:spacing w:line="578" w:lineRule="exact"/>
        <w:ind w:left="0" w:leftChars="0" w:right="0"/>
        <w:jc w:val="left"/>
        <w:rPr>
          <w:rStyle w:val="14"/>
          <w:rFonts w:ascii="黑体" w:hAnsi="黑体" w:eastAsia="黑体"/>
          <w:b w:val="0"/>
          <w:color w:val="auto"/>
        </w:rPr>
      </w:pPr>
      <w:r>
        <w:rPr>
          <w:rStyle w:val="14"/>
          <w:rFonts w:ascii="黑体" w:hAnsi="黑体" w:eastAsia="黑体"/>
          <w:b w:val="0"/>
          <w:color w:val="auto"/>
        </w:rPr>
        <w:br w:type="page"/>
      </w:r>
    </w:p>
    <w:p w14:paraId="3CD8217F">
      <w:pPr>
        <w:pageBreakBefore w:val="0"/>
        <w:kinsoku/>
        <w:wordWrap/>
        <w:overflowPunct/>
        <w:topLinePunct w:val="0"/>
        <w:bidi w:val="0"/>
        <w:spacing w:line="578" w:lineRule="exact"/>
        <w:ind w:left="0" w:leftChars="0" w:right="0"/>
        <w:jc w:val="center"/>
        <w:outlineLvl w:val="0"/>
        <w:rPr>
          <w:rStyle w:val="14"/>
          <w:rFonts w:ascii="黑体" w:hAnsi="黑体" w:eastAsia="黑体"/>
          <w:b w:val="0"/>
          <w:color w:val="auto"/>
        </w:rPr>
      </w:pPr>
      <w:bookmarkStart w:id="121" w:name="_Toc79163635"/>
      <w:bookmarkStart w:id="122" w:name="_Toc15396618"/>
      <w:bookmarkStart w:id="123" w:name="_Toc79163885"/>
      <w:r>
        <w:rPr>
          <w:rFonts w:hint="eastAsia" w:ascii="黑体" w:hAnsi="黑体" w:eastAsia="黑体"/>
          <w:color w:val="auto"/>
          <w:sz w:val="44"/>
          <w:szCs w:val="44"/>
        </w:rPr>
        <w:t>第</w:t>
      </w:r>
      <w:r>
        <w:rPr>
          <w:rStyle w:val="14"/>
          <w:rFonts w:hint="eastAsia" w:ascii="黑体" w:hAnsi="黑体" w:eastAsia="黑体"/>
          <w:b w:val="0"/>
          <w:color w:val="auto"/>
        </w:rPr>
        <w:t>五部分</w:t>
      </w:r>
      <w:r>
        <w:rPr>
          <w:rStyle w:val="14"/>
          <w:rFonts w:ascii="黑体" w:hAnsi="黑体" w:eastAsia="黑体"/>
          <w:b w:val="0"/>
          <w:color w:val="auto"/>
        </w:rPr>
        <w:t xml:space="preserve"> </w:t>
      </w:r>
      <w:r>
        <w:rPr>
          <w:rStyle w:val="14"/>
          <w:rFonts w:hint="eastAsia" w:ascii="黑体" w:hAnsi="黑体" w:eastAsia="黑体"/>
          <w:b w:val="0"/>
          <w:color w:val="auto"/>
        </w:rPr>
        <w:t>附表</w:t>
      </w:r>
      <w:bookmarkEnd w:id="109"/>
      <w:bookmarkEnd w:id="121"/>
      <w:bookmarkEnd w:id="122"/>
      <w:bookmarkEnd w:id="123"/>
    </w:p>
    <w:p w14:paraId="0339798F">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24" w:name="_Toc15396619"/>
      <w:bookmarkStart w:id="125" w:name="_Toc79163886"/>
      <w:bookmarkStart w:id="126" w:name="_Toc79163636"/>
      <w:r>
        <w:rPr>
          <w:rFonts w:hint="eastAsia" w:ascii="仿宋" w:hAnsi="仿宋" w:eastAsia="仿宋"/>
          <w:b w:val="0"/>
          <w:color w:val="auto"/>
        </w:rPr>
        <w:t>一、收</w:t>
      </w:r>
      <w:r>
        <w:rPr>
          <w:rStyle w:val="15"/>
          <w:rFonts w:hint="eastAsia" w:ascii="仿宋" w:hAnsi="仿宋" w:eastAsia="仿宋"/>
          <w:b w:val="0"/>
          <w:bCs w:val="0"/>
          <w:color w:val="auto"/>
        </w:rPr>
        <w:t>入支出决算总表</w:t>
      </w:r>
      <w:bookmarkEnd w:id="124"/>
      <w:bookmarkEnd w:id="125"/>
      <w:bookmarkEnd w:id="126"/>
    </w:p>
    <w:p w14:paraId="73264905">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27" w:name="_Toc79163637"/>
      <w:bookmarkStart w:id="128" w:name="_Toc79163887"/>
      <w:bookmarkStart w:id="129" w:name="_Toc15396620"/>
      <w:r>
        <w:rPr>
          <w:rFonts w:hint="eastAsia" w:ascii="仿宋" w:hAnsi="仿宋" w:eastAsia="仿宋"/>
          <w:b w:val="0"/>
          <w:color w:val="auto"/>
        </w:rPr>
        <w:t>二、收</w:t>
      </w:r>
      <w:r>
        <w:rPr>
          <w:rStyle w:val="15"/>
          <w:rFonts w:hint="eastAsia" w:ascii="仿宋" w:hAnsi="仿宋" w:eastAsia="仿宋"/>
          <w:b w:val="0"/>
          <w:bCs w:val="0"/>
          <w:color w:val="auto"/>
        </w:rPr>
        <w:t>入决算表</w:t>
      </w:r>
      <w:bookmarkEnd w:id="127"/>
      <w:bookmarkEnd w:id="128"/>
      <w:bookmarkEnd w:id="129"/>
    </w:p>
    <w:p w14:paraId="0517D9A8">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30" w:name="_Toc79163638"/>
      <w:bookmarkStart w:id="131" w:name="_Toc79163888"/>
      <w:bookmarkStart w:id="132" w:name="_Toc15396621"/>
      <w:r>
        <w:rPr>
          <w:rStyle w:val="15"/>
          <w:rFonts w:hint="eastAsia" w:ascii="仿宋" w:hAnsi="仿宋" w:eastAsia="仿宋"/>
          <w:b w:val="0"/>
          <w:bCs w:val="0"/>
          <w:color w:val="auto"/>
        </w:rPr>
        <w:t>三、</w:t>
      </w:r>
      <w:r>
        <w:rPr>
          <w:rFonts w:hint="eastAsia" w:ascii="仿宋" w:hAnsi="仿宋" w:eastAsia="仿宋"/>
          <w:b w:val="0"/>
          <w:color w:val="auto"/>
        </w:rPr>
        <w:t>支</w:t>
      </w:r>
      <w:r>
        <w:rPr>
          <w:rStyle w:val="15"/>
          <w:rFonts w:hint="eastAsia" w:ascii="仿宋" w:hAnsi="仿宋" w:eastAsia="仿宋"/>
          <w:b w:val="0"/>
          <w:bCs w:val="0"/>
          <w:color w:val="auto"/>
        </w:rPr>
        <w:t>出决算表</w:t>
      </w:r>
      <w:bookmarkEnd w:id="130"/>
      <w:bookmarkEnd w:id="131"/>
      <w:bookmarkEnd w:id="132"/>
    </w:p>
    <w:p w14:paraId="67952C8C">
      <w:pPr>
        <w:pStyle w:val="3"/>
        <w:pageBreakBefore w:val="0"/>
        <w:kinsoku/>
        <w:wordWrap/>
        <w:overflowPunct/>
        <w:topLinePunct w:val="0"/>
        <w:bidi w:val="0"/>
        <w:spacing w:before="0" w:after="0" w:line="578" w:lineRule="exact"/>
        <w:ind w:left="0" w:leftChars="0" w:right="0"/>
        <w:rPr>
          <w:rFonts w:ascii="仿宋" w:hAnsi="仿宋" w:eastAsia="仿宋"/>
          <w:b w:val="0"/>
          <w:color w:val="auto"/>
        </w:rPr>
      </w:pPr>
      <w:bookmarkStart w:id="133" w:name="_Toc79163889"/>
      <w:bookmarkStart w:id="134" w:name="_Toc15396622"/>
      <w:bookmarkStart w:id="135" w:name="_Toc79163639"/>
      <w:r>
        <w:rPr>
          <w:rStyle w:val="15"/>
          <w:rFonts w:hint="eastAsia" w:ascii="仿宋" w:hAnsi="仿宋" w:eastAsia="仿宋"/>
          <w:b w:val="0"/>
          <w:bCs w:val="0"/>
          <w:color w:val="auto"/>
        </w:rPr>
        <w:t>四、</w:t>
      </w:r>
      <w:r>
        <w:rPr>
          <w:rFonts w:hint="eastAsia" w:ascii="仿宋" w:hAnsi="仿宋" w:eastAsia="仿宋"/>
          <w:b w:val="0"/>
          <w:color w:val="auto"/>
        </w:rPr>
        <w:t>财</w:t>
      </w:r>
      <w:r>
        <w:rPr>
          <w:rStyle w:val="15"/>
          <w:rFonts w:hint="eastAsia" w:ascii="仿宋" w:hAnsi="仿宋" w:eastAsia="仿宋"/>
          <w:b w:val="0"/>
          <w:bCs w:val="0"/>
          <w:color w:val="auto"/>
        </w:rPr>
        <w:t>政拨款收入支出决算总表</w:t>
      </w:r>
      <w:bookmarkEnd w:id="133"/>
      <w:bookmarkEnd w:id="134"/>
      <w:bookmarkEnd w:id="135"/>
    </w:p>
    <w:p w14:paraId="4EB09C0B">
      <w:pPr>
        <w:pStyle w:val="3"/>
        <w:pageBreakBefore w:val="0"/>
        <w:kinsoku/>
        <w:wordWrap/>
        <w:overflowPunct/>
        <w:topLinePunct w:val="0"/>
        <w:bidi w:val="0"/>
        <w:spacing w:before="0" w:after="0" w:line="578" w:lineRule="exact"/>
        <w:ind w:left="0" w:leftChars="0" w:right="0"/>
        <w:rPr>
          <w:rStyle w:val="15"/>
          <w:rFonts w:ascii="仿宋" w:hAnsi="仿宋" w:eastAsia="仿宋"/>
          <w:b w:val="0"/>
          <w:bCs w:val="0"/>
          <w:color w:val="auto"/>
        </w:rPr>
      </w:pPr>
      <w:bookmarkStart w:id="136" w:name="_Toc79163890"/>
      <w:bookmarkStart w:id="137" w:name="_Toc15396623"/>
      <w:bookmarkStart w:id="138" w:name="_Toc79163640"/>
      <w:r>
        <w:rPr>
          <w:rStyle w:val="15"/>
          <w:rFonts w:hint="eastAsia" w:ascii="仿宋" w:hAnsi="仿宋" w:eastAsia="仿宋"/>
          <w:b w:val="0"/>
          <w:bCs w:val="0"/>
          <w:color w:val="auto"/>
        </w:rPr>
        <w:t>五、</w:t>
      </w:r>
      <w:r>
        <w:rPr>
          <w:rFonts w:hint="eastAsia" w:ascii="仿宋" w:hAnsi="仿宋" w:eastAsia="仿宋"/>
          <w:b w:val="0"/>
          <w:color w:val="auto"/>
        </w:rPr>
        <w:t>财</w:t>
      </w:r>
      <w:r>
        <w:rPr>
          <w:rStyle w:val="15"/>
          <w:rFonts w:hint="eastAsia" w:ascii="仿宋" w:hAnsi="仿宋" w:eastAsia="仿宋"/>
          <w:b w:val="0"/>
          <w:bCs w:val="0"/>
          <w:color w:val="auto"/>
        </w:rPr>
        <w:t>政拨款支出决算明细表</w:t>
      </w:r>
      <w:bookmarkEnd w:id="136"/>
      <w:bookmarkEnd w:id="137"/>
      <w:bookmarkEnd w:id="138"/>
      <w:bookmarkStart w:id="139" w:name="_Toc15396624"/>
    </w:p>
    <w:p w14:paraId="69F542A7">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40" w:name="_Toc79163891"/>
      <w:bookmarkStart w:id="141" w:name="_Toc79163641"/>
      <w:r>
        <w:rPr>
          <w:rStyle w:val="15"/>
          <w:rFonts w:hint="eastAsia" w:ascii="仿宋" w:hAnsi="仿宋" w:eastAsia="仿宋"/>
          <w:b w:val="0"/>
          <w:bCs w:val="0"/>
          <w:color w:val="auto"/>
        </w:rPr>
        <w:t>六、</w:t>
      </w:r>
      <w:r>
        <w:rPr>
          <w:rFonts w:hint="eastAsia" w:ascii="仿宋" w:hAnsi="仿宋" w:eastAsia="仿宋"/>
          <w:b w:val="0"/>
          <w:color w:val="auto"/>
        </w:rPr>
        <w:t>一</w:t>
      </w:r>
      <w:r>
        <w:rPr>
          <w:rStyle w:val="15"/>
          <w:rFonts w:hint="eastAsia" w:ascii="仿宋" w:hAnsi="仿宋" w:eastAsia="仿宋"/>
          <w:b w:val="0"/>
          <w:bCs w:val="0"/>
          <w:color w:val="auto"/>
        </w:rPr>
        <w:t>般公共预算财政拨款支出决算表</w:t>
      </w:r>
      <w:bookmarkEnd w:id="139"/>
      <w:bookmarkEnd w:id="140"/>
      <w:bookmarkEnd w:id="141"/>
    </w:p>
    <w:p w14:paraId="37C6C48B">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42" w:name="_Toc15396625"/>
      <w:bookmarkStart w:id="143" w:name="_Toc79163892"/>
      <w:bookmarkStart w:id="144" w:name="_Toc79163642"/>
      <w:r>
        <w:rPr>
          <w:rStyle w:val="15"/>
          <w:rFonts w:hint="eastAsia" w:ascii="仿宋" w:hAnsi="仿宋" w:eastAsia="仿宋"/>
          <w:b w:val="0"/>
          <w:bCs w:val="0"/>
          <w:color w:val="auto"/>
        </w:rPr>
        <w:t>七、</w:t>
      </w:r>
      <w:r>
        <w:rPr>
          <w:rFonts w:hint="eastAsia" w:ascii="仿宋" w:hAnsi="仿宋" w:eastAsia="仿宋"/>
          <w:b w:val="0"/>
          <w:color w:val="auto"/>
        </w:rPr>
        <w:t>一</w:t>
      </w:r>
      <w:r>
        <w:rPr>
          <w:rStyle w:val="15"/>
          <w:rFonts w:hint="eastAsia" w:ascii="仿宋" w:hAnsi="仿宋" w:eastAsia="仿宋"/>
          <w:b w:val="0"/>
          <w:bCs w:val="0"/>
          <w:color w:val="auto"/>
        </w:rPr>
        <w:t>般公共预算财政拨款支出决算明细表</w:t>
      </w:r>
      <w:bookmarkEnd w:id="142"/>
      <w:bookmarkEnd w:id="143"/>
      <w:bookmarkEnd w:id="144"/>
    </w:p>
    <w:p w14:paraId="1F786659">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45" w:name="_Toc15396626"/>
      <w:bookmarkStart w:id="146" w:name="_Toc79163643"/>
      <w:bookmarkStart w:id="147" w:name="_Toc79163893"/>
      <w:r>
        <w:rPr>
          <w:rStyle w:val="15"/>
          <w:rFonts w:hint="eastAsia" w:ascii="仿宋" w:hAnsi="仿宋" w:eastAsia="仿宋"/>
          <w:b w:val="0"/>
          <w:bCs w:val="0"/>
          <w:color w:val="auto"/>
        </w:rPr>
        <w:t>八、</w:t>
      </w:r>
      <w:r>
        <w:rPr>
          <w:rFonts w:hint="eastAsia" w:ascii="仿宋" w:hAnsi="仿宋" w:eastAsia="仿宋"/>
          <w:b w:val="0"/>
          <w:color w:val="auto"/>
        </w:rPr>
        <w:t>一</w:t>
      </w:r>
      <w:r>
        <w:rPr>
          <w:rStyle w:val="15"/>
          <w:rFonts w:hint="eastAsia" w:ascii="仿宋" w:hAnsi="仿宋" w:eastAsia="仿宋"/>
          <w:b w:val="0"/>
          <w:bCs w:val="0"/>
          <w:color w:val="auto"/>
        </w:rPr>
        <w:t>般公共预算财政拨款基本支出决算表</w:t>
      </w:r>
      <w:bookmarkEnd w:id="145"/>
      <w:bookmarkEnd w:id="146"/>
      <w:bookmarkEnd w:id="147"/>
    </w:p>
    <w:p w14:paraId="6603E60C">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48" w:name="_Toc15396627"/>
      <w:bookmarkStart w:id="149" w:name="_Toc79163644"/>
      <w:bookmarkStart w:id="150" w:name="_Toc79163894"/>
      <w:r>
        <w:rPr>
          <w:rStyle w:val="15"/>
          <w:rFonts w:hint="eastAsia" w:ascii="仿宋" w:hAnsi="仿宋" w:eastAsia="仿宋"/>
          <w:b w:val="0"/>
          <w:bCs w:val="0"/>
          <w:color w:val="auto"/>
        </w:rPr>
        <w:t>九、</w:t>
      </w:r>
      <w:r>
        <w:rPr>
          <w:rFonts w:hint="eastAsia" w:ascii="仿宋" w:hAnsi="仿宋" w:eastAsia="仿宋"/>
          <w:b w:val="0"/>
          <w:color w:val="auto"/>
        </w:rPr>
        <w:t>一</w:t>
      </w:r>
      <w:r>
        <w:rPr>
          <w:rStyle w:val="15"/>
          <w:rFonts w:hint="eastAsia" w:ascii="仿宋" w:hAnsi="仿宋" w:eastAsia="仿宋"/>
          <w:b w:val="0"/>
          <w:bCs w:val="0"/>
          <w:color w:val="auto"/>
        </w:rPr>
        <w:t>般公共预算财政拨款项目支出决算表</w:t>
      </w:r>
      <w:bookmarkEnd w:id="148"/>
      <w:bookmarkEnd w:id="149"/>
      <w:bookmarkEnd w:id="150"/>
    </w:p>
    <w:p w14:paraId="7F39AEA3">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51" w:name="_Toc79163645"/>
      <w:bookmarkStart w:id="152" w:name="_Toc15396628"/>
      <w:bookmarkStart w:id="153" w:name="_Toc79163895"/>
      <w:r>
        <w:rPr>
          <w:rStyle w:val="15"/>
          <w:rFonts w:hint="eastAsia" w:ascii="仿宋" w:hAnsi="仿宋" w:eastAsia="仿宋"/>
          <w:b w:val="0"/>
          <w:bCs w:val="0"/>
          <w:color w:val="auto"/>
        </w:rPr>
        <w:t>十、</w:t>
      </w:r>
      <w:r>
        <w:rPr>
          <w:rFonts w:hint="eastAsia" w:ascii="仿宋" w:hAnsi="仿宋" w:eastAsia="仿宋"/>
          <w:b w:val="0"/>
          <w:color w:val="auto"/>
        </w:rPr>
        <w:t>一</w:t>
      </w:r>
      <w:r>
        <w:rPr>
          <w:rStyle w:val="15"/>
          <w:rFonts w:hint="eastAsia" w:ascii="仿宋" w:hAnsi="仿宋" w:eastAsia="仿宋"/>
          <w:b w:val="0"/>
          <w:bCs w:val="0"/>
          <w:color w:val="auto"/>
        </w:rPr>
        <w:t>般公共预算财政拨款“三公”经费支出决算表</w:t>
      </w:r>
      <w:bookmarkEnd w:id="151"/>
      <w:bookmarkEnd w:id="152"/>
      <w:bookmarkEnd w:id="153"/>
    </w:p>
    <w:p w14:paraId="5EDE2634">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54" w:name="_Toc79163896"/>
      <w:bookmarkStart w:id="155" w:name="_Toc15396629"/>
      <w:bookmarkStart w:id="156" w:name="_Toc79163646"/>
      <w:r>
        <w:rPr>
          <w:rStyle w:val="15"/>
          <w:rFonts w:hint="eastAsia" w:ascii="仿宋" w:hAnsi="仿宋" w:eastAsia="仿宋"/>
          <w:b w:val="0"/>
          <w:bCs w:val="0"/>
          <w:color w:val="auto"/>
        </w:rPr>
        <w:t>十一、</w:t>
      </w:r>
      <w:r>
        <w:rPr>
          <w:rFonts w:hint="eastAsia" w:ascii="仿宋" w:hAnsi="仿宋" w:eastAsia="仿宋"/>
          <w:b w:val="0"/>
          <w:color w:val="auto"/>
        </w:rPr>
        <w:t>政</w:t>
      </w:r>
      <w:r>
        <w:rPr>
          <w:rStyle w:val="15"/>
          <w:rFonts w:hint="eastAsia" w:ascii="仿宋" w:hAnsi="仿宋" w:eastAsia="仿宋"/>
          <w:b w:val="0"/>
          <w:bCs w:val="0"/>
          <w:color w:val="auto"/>
        </w:rPr>
        <w:t>府性基金预算财政拨款收入支出决算表</w:t>
      </w:r>
      <w:bookmarkEnd w:id="154"/>
      <w:bookmarkEnd w:id="155"/>
      <w:bookmarkEnd w:id="156"/>
    </w:p>
    <w:p w14:paraId="198E8E96">
      <w:pPr>
        <w:pStyle w:val="3"/>
        <w:pageBreakBefore w:val="0"/>
        <w:kinsoku/>
        <w:wordWrap/>
        <w:overflowPunct/>
        <w:topLinePunct w:val="0"/>
        <w:bidi w:val="0"/>
        <w:spacing w:before="0" w:after="0" w:line="578" w:lineRule="exact"/>
        <w:ind w:left="0" w:leftChars="0" w:right="0"/>
        <w:rPr>
          <w:rFonts w:ascii="仿宋" w:hAnsi="仿宋" w:eastAsia="仿宋"/>
          <w:color w:val="auto"/>
        </w:rPr>
      </w:pPr>
      <w:bookmarkStart w:id="157" w:name="_Toc15396630"/>
      <w:bookmarkStart w:id="158" w:name="_Toc79163897"/>
      <w:bookmarkStart w:id="159" w:name="_Toc79163647"/>
      <w:r>
        <w:rPr>
          <w:rStyle w:val="15"/>
          <w:rFonts w:hint="eastAsia" w:ascii="仿宋" w:hAnsi="仿宋" w:eastAsia="仿宋"/>
          <w:b w:val="0"/>
          <w:bCs w:val="0"/>
          <w:color w:val="auto"/>
        </w:rPr>
        <w:t>十二、</w:t>
      </w:r>
      <w:r>
        <w:rPr>
          <w:rFonts w:hint="eastAsia" w:ascii="仿宋" w:hAnsi="仿宋" w:eastAsia="仿宋"/>
          <w:b w:val="0"/>
          <w:color w:val="auto"/>
        </w:rPr>
        <w:t>政</w:t>
      </w:r>
      <w:r>
        <w:rPr>
          <w:rStyle w:val="15"/>
          <w:rFonts w:hint="eastAsia" w:ascii="仿宋" w:hAnsi="仿宋" w:eastAsia="仿宋"/>
          <w:b w:val="0"/>
          <w:bCs w:val="0"/>
          <w:color w:val="auto"/>
        </w:rPr>
        <w:t>府性基金预算财政拨款“三公”经费支出决算表</w:t>
      </w:r>
      <w:bookmarkEnd w:id="157"/>
      <w:bookmarkEnd w:id="158"/>
      <w:bookmarkEnd w:id="159"/>
    </w:p>
    <w:p w14:paraId="45C9E6E5">
      <w:pPr>
        <w:pStyle w:val="3"/>
        <w:pageBreakBefore w:val="0"/>
        <w:kinsoku/>
        <w:wordWrap/>
        <w:overflowPunct/>
        <w:topLinePunct w:val="0"/>
        <w:bidi w:val="0"/>
        <w:spacing w:before="0" w:after="0" w:line="578" w:lineRule="exact"/>
        <w:ind w:left="0" w:leftChars="0" w:right="0"/>
        <w:rPr>
          <w:rStyle w:val="15"/>
          <w:rFonts w:ascii="仿宋" w:hAnsi="仿宋" w:eastAsia="仿宋"/>
          <w:b w:val="0"/>
          <w:bCs w:val="0"/>
          <w:color w:val="auto"/>
        </w:rPr>
      </w:pPr>
      <w:bookmarkStart w:id="160" w:name="_Toc79163898"/>
      <w:bookmarkStart w:id="161" w:name="_Toc15396631"/>
      <w:bookmarkStart w:id="162" w:name="_Toc79163648"/>
      <w:r>
        <w:rPr>
          <w:rStyle w:val="15"/>
          <w:rFonts w:hint="eastAsia" w:ascii="仿宋" w:hAnsi="仿宋" w:eastAsia="仿宋"/>
          <w:b w:val="0"/>
          <w:bCs w:val="0"/>
          <w:color w:val="auto"/>
        </w:rPr>
        <w:t>十三、</w:t>
      </w:r>
      <w:r>
        <w:rPr>
          <w:rFonts w:hint="eastAsia" w:ascii="仿宋" w:hAnsi="仿宋" w:eastAsia="仿宋"/>
          <w:b w:val="0"/>
          <w:color w:val="auto"/>
        </w:rPr>
        <w:t>国</w:t>
      </w:r>
      <w:r>
        <w:rPr>
          <w:rStyle w:val="15"/>
          <w:rFonts w:hint="eastAsia" w:ascii="仿宋" w:hAnsi="仿宋" w:eastAsia="仿宋"/>
          <w:b w:val="0"/>
          <w:bCs w:val="0"/>
          <w:color w:val="auto"/>
        </w:rPr>
        <w:t>有资本经营预算财政拨款</w:t>
      </w:r>
      <w:r>
        <w:rPr>
          <w:rStyle w:val="15"/>
          <w:rFonts w:hint="eastAsia" w:ascii="仿宋" w:hAnsi="仿宋" w:eastAsia="仿宋"/>
          <w:b w:val="0"/>
          <w:bCs w:val="0"/>
          <w:color w:val="auto"/>
          <w:lang w:eastAsia="zh-CN"/>
        </w:rPr>
        <w:t>收入</w:t>
      </w:r>
      <w:r>
        <w:rPr>
          <w:rStyle w:val="15"/>
          <w:rFonts w:hint="eastAsia" w:ascii="仿宋" w:hAnsi="仿宋" w:eastAsia="仿宋"/>
          <w:b w:val="0"/>
          <w:bCs w:val="0"/>
          <w:color w:val="auto"/>
        </w:rPr>
        <w:t>支出决算表</w:t>
      </w:r>
      <w:bookmarkEnd w:id="160"/>
      <w:bookmarkEnd w:id="161"/>
      <w:bookmarkEnd w:id="162"/>
    </w:p>
    <w:p w14:paraId="116D7A9F">
      <w:pPr>
        <w:pStyle w:val="3"/>
        <w:pageBreakBefore w:val="0"/>
        <w:kinsoku/>
        <w:wordWrap/>
        <w:overflowPunct/>
        <w:topLinePunct w:val="0"/>
        <w:bidi w:val="0"/>
        <w:spacing w:before="0" w:after="0" w:line="578" w:lineRule="exact"/>
        <w:ind w:left="0" w:leftChars="0" w:right="0"/>
        <w:rPr>
          <w:rStyle w:val="15"/>
          <w:rFonts w:ascii="仿宋" w:hAnsi="仿宋" w:eastAsia="仿宋"/>
          <w:b w:val="0"/>
          <w:bCs w:val="0"/>
          <w:color w:val="auto"/>
        </w:rPr>
      </w:pPr>
      <w:bookmarkStart w:id="163" w:name="_Toc79163649"/>
      <w:bookmarkStart w:id="164" w:name="_Toc79163899"/>
      <w:r>
        <w:rPr>
          <w:rStyle w:val="15"/>
          <w:rFonts w:hint="eastAsia" w:ascii="仿宋" w:hAnsi="仿宋" w:eastAsia="仿宋"/>
          <w:b w:val="0"/>
          <w:bCs w:val="0"/>
          <w:color w:val="auto"/>
        </w:rPr>
        <w:t>十四、国有资本经营预算财政拨款支出决算表</w:t>
      </w:r>
      <w:bookmarkEnd w:id="163"/>
      <w:bookmarkEnd w:id="164"/>
    </w:p>
    <w:p w14:paraId="610E0255">
      <w:pPr>
        <w:pageBreakBefore w:val="0"/>
        <w:kinsoku/>
        <w:wordWrap/>
        <w:overflowPunct/>
        <w:topLinePunct w:val="0"/>
        <w:bidi w:val="0"/>
        <w:spacing w:line="578" w:lineRule="exact"/>
        <w:ind w:left="0" w:leftChars="0" w:right="0"/>
        <w:rPr>
          <w:color w:val="auto"/>
        </w:rPr>
      </w:pPr>
    </w:p>
    <w:p w14:paraId="7EF09CDD">
      <w:pPr>
        <w:pageBreakBefore w:val="0"/>
        <w:kinsoku/>
        <w:wordWrap/>
        <w:overflowPunct/>
        <w:topLinePunct w:val="0"/>
        <w:bidi w:val="0"/>
        <w:spacing w:line="578" w:lineRule="exact"/>
        <w:ind w:left="0" w:leftChars="0" w:right="0"/>
        <w:rPr>
          <w:color w:val="auto"/>
        </w:rPr>
      </w:pPr>
    </w:p>
    <w:p w14:paraId="599B14C1">
      <w:pPr>
        <w:pageBreakBefore w:val="0"/>
        <w:kinsoku/>
        <w:wordWrap/>
        <w:overflowPunct/>
        <w:topLinePunct w:val="0"/>
        <w:bidi w:val="0"/>
        <w:spacing w:line="578" w:lineRule="exact"/>
        <w:ind w:left="0" w:leftChars="0" w:right="0"/>
        <w:jc w:val="right"/>
        <w:rPr>
          <w:rFonts w:hint="eastAsia"/>
          <w:lang w:val="en-US" w:eastAsia="zh-CN"/>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7A602">
    <w:pPr>
      <w:pStyle w:val="6"/>
      <w:jc w:val="center"/>
    </w:pPr>
    <w:r>
      <w:fldChar w:fldCharType="begin"/>
    </w:r>
    <w:r>
      <w:instrText xml:space="preserve">PAGE   \* MERGEFORMAT</w:instrText>
    </w:r>
    <w:r>
      <w:fldChar w:fldCharType="separate"/>
    </w:r>
    <w:r>
      <w:rPr>
        <w:lang w:val="zh-CN"/>
      </w:rPr>
      <w:t>6</w:t>
    </w:r>
    <w:r>
      <w:fldChar w:fldCharType="end"/>
    </w:r>
  </w:p>
  <w:p w14:paraId="658F69A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18FF0">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E5557"/>
    <w:multiLevelType w:val="singleLevel"/>
    <w:tmpl w:val="928E5557"/>
    <w:lvl w:ilvl="0" w:tentative="0">
      <w:start w:val="14"/>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1MWNhN2ZmY2ZhZmY3ODhlYTg0MWU5OGMyY2QwZmUifQ=="/>
  </w:docVars>
  <w:rsids>
    <w:rsidRoot w:val="38E75135"/>
    <w:rsid w:val="16407C72"/>
    <w:rsid w:val="30A9101A"/>
    <w:rsid w:val="38CE1D12"/>
    <w:rsid w:val="38E75135"/>
    <w:rsid w:val="43840F2E"/>
    <w:rsid w:val="46D6680B"/>
    <w:rsid w:val="4A6A0587"/>
    <w:rsid w:val="4C1D37ED"/>
    <w:rsid w:val="51E401AB"/>
    <w:rsid w:val="577159F4"/>
    <w:rsid w:val="649A46AA"/>
    <w:rsid w:val="74E950BF"/>
    <w:rsid w:val="769F3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24"/>
      <w:szCs w:val="20"/>
    </w:rPr>
  </w:style>
  <w:style w:type="paragraph" w:styleId="5">
    <w:name w:val="toc 3"/>
    <w:basedOn w:val="1"/>
    <w:next w:val="1"/>
    <w:unhideWhenUsed/>
    <w:qFormat/>
    <w:uiPriority w:val="39"/>
    <w:pPr>
      <w:ind w:left="420"/>
      <w:jc w:val="left"/>
    </w:pPr>
    <w:rPr>
      <w:rFonts w:asciiTheme="minorHAnsi" w:eastAsiaTheme="minorHAnsi"/>
      <w:i/>
      <w:iCs/>
      <w:sz w:val="20"/>
      <w:szCs w:val="20"/>
    </w:rPr>
  </w:style>
  <w:style w:type="paragraph" w:styleId="6">
    <w:name w:val="footer"/>
    <w:basedOn w:val="1"/>
    <w:qFormat/>
    <w:uiPriority w:val="99"/>
    <w:pPr>
      <w:tabs>
        <w:tab w:val="center" w:pos="4153"/>
        <w:tab w:val="right" w:pos="8306"/>
      </w:tabs>
      <w:snapToGrid w:val="0"/>
      <w:jc w:val="left"/>
    </w:pPr>
    <w:rPr>
      <w:rFonts w:ascii="Calibri" w:hAnsi="Calibri"/>
      <w:kern w:val="0"/>
      <w:sz w:val="18"/>
      <w:szCs w:val="20"/>
    </w:rPr>
  </w:style>
  <w:style w:type="paragraph" w:styleId="7">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8">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9">
    <w:name w:val="toc 2"/>
    <w:basedOn w:val="1"/>
    <w:next w:val="1"/>
    <w:unhideWhenUsed/>
    <w:qFormat/>
    <w:uiPriority w:val="39"/>
    <w:pPr>
      <w:ind w:left="210"/>
      <w:jc w:val="left"/>
    </w:pPr>
    <w:rPr>
      <w:rFonts w:asciiTheme="minorHAnsi" w:eastAsiaTheme="minorHAnsi"/>
      <w:smallCaps/>
      <w:sz w:val="20"/>
      <w:szCs w:val="20"/>
    </w:rPr>
  </w:style>
  <w:style w:type="paragraph" w:styleId="10">
    <w:name w:val="Normal (Web)"/>
    <w:basedOn w:val="1"/>
    <w:qFormat/>
    <w:uiPriority w:val="0"/>
    <w:pPr>
      <w:widowControl/>
      <w:spacing w:beforeAutospacing="1" w:afterAutospacing="1"/>
      <w:jc w:val="left"/>
    </w:pPr>
    <w:rPr>
      <w:rFonts w:ascii="宋体" w:hAnsi="宋体" w:eastAsia="宋体" w:cs="宋体"/>
      <w:kern w:val="0"/>
      <w:sz w:val="24"/>
      <w:szCs w:val="20"/>
    </w:rPr>
  </w:style>
  <w:style w:type="character" w:styleId="13">
    <w:name w:val="Strong"/>
    <w:basedOn w:val="12"/>
    <w:qFormat/>
    <w:uiPriority w:val="99"/>
    <w:rPr>
      <w:rFonts w:cs="Times New Roman"/>
      <w:b/>
    </w:rPr>
  </w:style>
  <w:style w:type="character" w:customStyle="1" w:styleId="14">
    <w:name w:val="标题 1 Char"/>
    <w:basedOn w:val="12"/>
    <w:link w:val="2"/>
    <w:qFormat/>
    <w:locked/>
    <w:uiPriority w:val="9"/>
    <w:rPr>
      <w:b/>
      <w:bCs/>
      <w:kern w:val="44"/>
      <w:sz w:val="44"/>
      <w:szCs w:val="44"/>
    </w:rPr>
  </w:style>
  <w:style w:type="character" w:customStyle="1" w:styleId="15">
    <w:name w:val="标题 2 Char"/>
    <w:basedOn w:val="12"/>
    <w:link w:val="3"/>
    <w:qFormat/>
    <w:locked/>
    <w:uiPriority w:val="9"/>
    <w:rPr>
      <w:rFonts w:ascii="Cambria" w:hAnsi="Cambria"/>
      <w:b/>
      <w:bCs/>
      <w:sz w:val="32"/>
      <w:szCs w:val="32"/>
    </w:rPr>
  </w:style>
  <w:style w:type="paragraph" w:customStyle="1" w:styleId="16">
    <w:name w:val="列表段落1"/>
    <w:basedOn w:val="1"/>
    <w:qFormat/>
    <w:uiPriority w:val="34"/>
    <w:pPr>
      <w:ind w:firstLine="420" w:firstLineChars="200"/>
    </w:pPr>
  </w:style>
  <w:style w:type="paragraph" w:customStyle="1" w:styleId="1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793</Words>
  <Characters>843</Characters>
  <Lines>0</Lines>
  <Paragraphs>0</Paragraphs>
  <TotalTime>1</TotalTime>
  <ScaleCrop>false</ScaleCrop>
  <LinksUpToDate>false</LinksUpToDate>
  <CharactersWithSpaces>916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2021-09-21T09:32:00Z</dcterms:created>
  <dc:creator>Administrator</dc:creator>
  <cp:lastModifiedBy>对影成三人</cp:lastModifiedBy>
  <dcterms:modified xsi:type="dcterms:W3CDTF">2026-09-07T08:42:13Z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9B58E64128DD49BF94677A5C320E3F9A</vt:lpwstr>
  </property>
  <property fmtid="{D5CDD505-2E9C-101B-9397-08002B2CF9AE}" pid="4" name="KSOTemplateDocerSaveRecord">
    <vt:lpwstr>eyJoZGlkIjoiYjA1ZDg3Y2Y1MzJlNDVjZjA5NTk4YjViYTliYmM3NTYiLCJ1c2VySWQiOiIyNDIyNDYwNDUifQ==</vt:lpwstr>
  </property>
</Properties>
</file>