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00390">
      <w:pPr>
        <w:spacing w:line="600" w:lineRule="exact"/>
        <w:jc w:val="center"/>
        <w:outlineLvl w:val="0"/>
        <w:rPr>
          <w:rFonts w:ascii="方正小标宋简体" w:hAnsi="宋体" w:eastAsia="方正小标宋简体"/>
          <w:color w:val="000000"/>
          <w:sz w:val="72"/>
          <w:szCs w:val="72"/>
        </w:rPr>
      </w:pPr>
      <w:bookmarkStart w:id="0" w:name="_Toc15306267"/>
    </w:p>
    <w:p w14:paraId="6D3F7313">
      <w:pPr>
        <w:spacing w:line="600" w:lineRule="exact"/>
        <w:jc w:val="center"/>
        <w:outlineLvl w:val="0"/>
        <w:rPr>
          <w:rFonts w:ascii="方正小标宋简体" w:hAnsi="宋体" w:eastAsia="方正小标宋简体"/>
          <w:color w:val="000000"/>
          <w:sz w:val="72"/>
          <w:szCs w:val="72"/>
        </w:rPr>
      </w:pPr>
    </w:p>
    <w:p w14:paraId="54D53BB5">
      <w:pPr>
        <w:spacing w:line="600" w:lineRule="exact"/>
        <w:jc w:val="center"/>
        <w:outlineLvl w:val="0"/>
        <w:rPr>
          <w:rFonts w:ascii="方正小标宋简体" w:hAnsi="宋体" w:eastAsia="方正小标宋简体"/>
          <w:color w:val="000000"/>
          <w:sz w:val="72"/>
          <w:szCs w:val="72"/>
        </w:rPr>
      </w:pPr>
    </w:p>
    <w:p w14:paraId="665147A7">
      <w:pPr>
        <w:spacing w:line="600" w:lineRule="exact"/>
        <w:jc w:val="center"/>
        <w:outlineLvl w:val="0"/>
        <w:rPr>
          <w:rFonts w:ascii="方正小标宋简体" w:hAnsi="宋体" w:eastAsia="方正小标宋简体"/>
          <w:color w:val="000000"/>
          <w:sz w:val="72"/>
          <w:szCs w:val="72"/>
        </w:rPr>
      </w:pPr>
    </w:p>
    <w:p w14:paraId="12B76B2C">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59D79D96">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06268"/>
      <w:bookmarkStart w:id="7" w:name="_Toc15377194"/>
      <w:bookmarkStart w:id="8" w:name="_Toc15396598"/>
      <w:bookmarkStart w:id="9" w:name="_Toc15378442"/>
      <w:bookmarkStart w:id="10" w:name="_Toc15396476"/>
      <w:bookmarkStart w:id="11" w:name="_Toc15377426"/>
      <w:r>
        <w:rPr>
          <w:rFonts w:hint="eastAsia" w:ascii="方正小标宋简体" w:hAnsi="宋体" w:eastAsia="方正小标宋简体"/>
          <w:color w:val="000000"/>
          <w:sz w:val="72"/>
          <w:szCs w:val="72"/>
        </w:rPr>
        <w:t>阿坝州</w:t>
      </w:r>
      <w:r>
        <w:rPr>
          <w:rFonts w:hint="eastAsia" w:ascii="方正小标宋简体" w:hAnsi="宋体" w:eastAsia="方正小标宋简体"/>
          <w:color w:val="000000"/>
          <w:sz w:val="72"/>
          <w:szCs w:val="72"/>
          <w:lang w:eastAsia="zh-CN"/>
        </w:rPr>
        <w:t>松潘县　　　　　　市场监督管理局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407559BF">
      <w:pPr>
        <w:widowControl/>
        <w:jc w:val="center"/>
        <w:rPr>
          <w:rFonts w:ascii="方正小标宋简体" w:hAnsi="宋体" w:eastAsia="方正小标宋简体"/>
          <w:color w:val="000000"/>
          <w:sz w:val="36"/>
          <w:szCs w:val="36"/>
        </w:rPr>
      </w:pPr>
    </w:p>
    <w:p w14:paraId="3C7BC596">
      <w:pPr>
        <w:widowControl/>
        <w:jc w:val="center"/>
        <w:rPr>
          <w:rFonts w:ascii="方正小标宋简体" w:hAnsi="宋体" w:eastAsia="方正小标宋简体"/>
          <w:color w:val="000000"/>
          <w:sz w:val="36"/>
          <w:szCs w:val="36"/>
        </w:rPr>
      </w:pPr>
    </w:p>
    <w:p w14:paraId="7D046953">
      <w:pPr>
        <w:rPr>
          <w:rFonts w:ascii="方正小标宋简体" w:hAnsi="宋体" w:eastAsia="方正小标宋简体"/>
          <w:sz w:val="36"/>
          <w:szCs w:val="36"/>
        </w:rPr>
      </w:pPr>
    </w:p>
    <w:p w14:paraId="4E9873F7">
      <w:pPr>
        <w:rPr>
          <w:rFonts w:ascii="方正小标宋简体" w:hAnsi="宋体" w:eastAsia="方正小标宋简体"/>
          <w:sz w:val="36"/>
          <w:szCs w:val="36"/>
        </w:rPr>
      </w:pPr>
    </w:p>
    <w:p w14:paraId="20C855FE">
      <w:pPr>
        <w:rPr>
          <w:rFonts w:ascii="方正小标宋简体" w:hAnsi="宋体" w:eastAsia="方正小标宋简体"/>
          <w:sz w:val="36"/>
          <w:szCs w:val="36"/>
        </w:rPr>
      </w:pPr>
    </w:p>
    <w:p w14:paraId="207C4D4C">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C2F2234">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52C9B358">
      <w:pPr>
        <w:widowControl/>
        <w:jc w:val="center"/>
        <w:rPr>
          <w:rFonts w:ascii="方正小标宋简体" w:hAnsi="宋体" w:eastAsia="方正小标宋简体"/>
          <w:sz w:val="36"/>
          <w:szCs w:val="36"/>
        </w:rPr>
      </w:pPr>
    </w:p>
    <w:p w14:paraId="4C51D5AF">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A7BAA2C">
      <w:pPr>
        <w:widowControl/>
        <w:jc w:val="center"/>
        <w:rPr>
          <w:rFonts w:hint="eastAsia" w:ascii="仿宋_GB2312" w:hAnsi="仿宋_GB2312" w:eastAsia="仿宋_GB2312" w:cs="仿宋_GB2312"/>
          <w:sz w:val="28"/>
          <w:szCs w:val="28"/>
        </w:rPr>
      </w:pPr>
    </w:p>
    <w:p w14:paraId="25F90A00">
      <w:pPr>
        <w:pStyle w:val="15"/>
        <w:rPr>
          <w:rFonts w:hint="eastAsia" w:ascii="仿宋_GB2312" w:hAnsi="仿宋_GB2312" w:eastAsia="仿宋_GB2312" w:cs="仿宋_GB2312"/>
        </w:rPr>
      </w:pPr>
      <w:r>
        <w:rPr>
          <w:rFonts w:hint="eastAsia" w:ascii="仿宋_GB2312" w:hAnsi="仿宋_GB2312" w:eastAsia="仿宋_GB2312" w:cs="仿宋_GB2312"/>
        </w:rPr>
        <w:t>公开时间：2020年9月25日</w:t>
      </w:r>
    </w:p>
    <w:p w14:paraId="7ECA594F">
      <w:pPr>
        <w:rPr>
          <w:rFonts w:hint="eastAsia" w:ascii="仿宋_GB2312" w:hAnsi="仿宋_GB2312" w:eastAsia="仿宋_GB2312" w:cs="仿宋_GB2312"/>
        </w:rPr>
      </w:pPr>
    </w:p>
    <w:p w14:paraId="7EEBACAD">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p>
    <w:p w14:paraId="079064DB">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一、基本职能及主要工作</w:t>
      </w:r>
    </w:p>
    <w:p w14:paraId="3AEE139A">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二、机构设置</w:t>
      </w:r>
    </w:p>
    <w:p w14:paraId="24B0B182">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第二部分度部门决算情况说明</w:t>
      </w:r>
    </w:p>
    <w:p w14:paraId="6BFEF96D">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一、收入支出决算总体情况说明</w:t>
      </w:r>
    </w:p>
    <w:p w14:paraId="409AA903">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二、收入决算情况说明</w:t>
      </w:r>
    </w:p>
    <w:p w14:paraId="0DDE9313">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三、支出决算情况说明</w:t>
      </w:r>
    </w:p>
    <w:p w14:paraId="5ACAB743">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四、财政拨款收入支出决算总体情况说明</w:t>
      </w:r>
    </w:p>
    <w:p w14:paraId="430559DE">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五、一般公共预算财政拨款支出决算情况说明</w:t>
      </w:r>
    </w:p>
    <w:p w14:paraId="1A8C42BE">
      <w:pPr>
        <w:pStyle w:val="16"/>
        <w:adjustRightInd w:val="0"/>
        <w:snapToGrid w:val="0"/>
        <w:spacing w:line="440" w:lineRule="exact"/>
        <w:ind w:left="0" w:leftChars="0" w:firstLine="64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14:paraId="75BE8FE1">
      <w:pPr>
        <w:pStyle w:val="16"/>
        <w:adjustRightInd w:val="0"/>
        <w:snapToGrid w:val="0"/>
        <w:spacing w:line="440" w:lineRule="exact"/>
        <w:ind w:left="0" w:leftChars="0" w:firstLine="64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14:paraId="6064180E">
      <w:pPr>
        <w:pStyle w:val="16"/>
        <w:adjustRightInd w:val="0"/>
        <w:snapToGrid w:val="0"/>
        <w:spacing w:line="440" w:lineRule="exact"/>
        <w:ind w:left="0" w:leftChars="0" w:firstLine="64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14:paraId="1A8C77F0">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九、国有资本经营预算支出决算情况说明</w:t>
      </w:r>
    </w:p>
    <w:p w14:paraId="3F3AB7DC">
      <w:pPr>
        <w:adjustRightInd w:val="0"/>
        <w:snapToGrid w:val="0"/>
        <w:spacing w:line="440" w:lineRule="exact"/>
        <w:ind w:firstLine="640" w:firstLineChars="200"/>
        <w:jc w:val="left"/>
        <w:rPr>
          <w:rFonts w:hint="eastAsia" w:ascii="仿宋_GB2312" w:hAnsi="仿宋_GB2312" w:eastAsia="仿宋_GB2312" w:cs="仿宋_GB2312"/>
          <w:sz w:val="32"/>
          <w:szCs w:val="32"/>
        </w:rPr>
      </w:pPr>
      <w:r>
        <w:rPr>
          <w:rStyle w:val="21"/>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p>
    <w:p w14:paraId="1B4AF0AA">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p>
    <w:p w14:paraId="7A745575">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p>
    <w:p w14:paraId="730796DB">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附件1</w:t>
      </w:r>
    </w:p>
    <w:p w14:paraId="398B2D2D">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附件2</w:t>
      </w:r>
    </w:p>
    <w:p w14:paraId="310F1609">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14:paraId="02462307">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一、收入支出决算总表</w:t>
      </w:r>
    </w:p>
    <w:p w14:paraId="535EE016">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二、收入决算表</w:t>
      </w:r>
    </w:p>
    <w:p w14:paraId="51DB7A54">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三、支出决算表</w:t>
      </w:r>
    </w:p>
    <w:p w14:paraId="102BC3C2">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四、财政拨款收入支出决算总表</w:t>
      </w:r>
    </w:p>
    <w:p w14:paraId="05225C8C">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五、财政拨款支出决算明细表</w:t>
      </w:r>
    </w:p>
    <w:p w14:paraId="7DB9DD96">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六、一般公共预算财政拨款支出决算表</w:t>
      </w:r>
    </w:p>
    <w:p w14:paraId="087F1427">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七、一般公共预算财政拨款支出决算明细表</w:t>
      </w:r>
    </w:p>
    <w:p w14:paraId="312B44A7">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八、一般公共预算财政拨款基本支出决算表</w:t>
      </w:r>
    </w:p>
    <w:p w14:paraId="20BCFFAC">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九、一般公共预算财政拨款项目支出决算表</w:t>
      </w:r>
    </w:p>
    <w:p w14:paraId="3467E7A5">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十、一般公共预算财政拨款“三公”经费支出决算表</w:t>
      </w:r>
    </w:p>
    <w:p w14:paraId="32A5F1CC">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十一、政府性基金预算财政拨款收入支出决算表</w:t>
      </w:r>
    </w:p>
    <w:p w14:paraId="3B94DDEB">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十二、政府性基金预算财政拨款“三公”经费支出决算表</w:t>
      </w:r>
    </w:p>
    <w:p w14:paraId="25D3D0ED">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十三、国有资本经营预算支出决算表</w:t>
      </w:r>
    </w:p>
    <w:p w14:paraId="4FBB1F80">
      <w:pPr>
        <w:widowControl/>
        <w:spacing w:line="440" w:lineRule="exact"/>
        <w:jc w:val="left"/>
        <w:rPr>
          <w:rFonts w:hint="eastAsia" w:ascii="仿宋_GB2312" w:hAnsi="仿宋_GB2312" w:eastAsia="仿宋_GB2312" w:cs="仿宋_GB2312"/>
          <w:bCs/>
          <w:kern w:val="44"/>
          <w:sz w:val="32"/>
          <w:szCs w:val="32"/>
        </w:rPr>
      </w:pPr>
      <w:r>
        <w:rPr>
          <w:rFonts w:hint="eastAsia" w:ascii="仿宋_GB2312" w:hAnsi="仿宋_GB2312" w:eastAsia="仿宋_GB2312" w:cs="仿宋_GB2312"/>
          <w:b/>
          <w:sz w:val="32"/>
          <w:szCs w:val="32"/>
        </w:rPr>
        <w:br w:type="page"/>
      </w:r>
    </w:p>
    <w:p w14:paraId="4A2B0F6C">
      <w:pPr>
        <w:pStyle w:val="9"/>
        <w:rPr>
          <w:rFonts w:hint="eastAsia" w:ascii="仿宋_GB2312" w:hAnsi="仿宋_GB2312" w:eastAsia="仿宋_GB2312" w:cs="仿宋_GB2312"/>
        </w:rPr>
      </w:pPr>
    </w:p>
    <w:p w14:paraId="11D412D1">
      <w:pPr>
        <w:pStyle w:val="15"/>
        <w:adjustRightInd w:val="0"/>
        <w:snapToGrid w:val="0"/>
        <w:spacing w:before="0" w:line="440" w:lineRule="exact"/>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 部门概况</w:t>
      </w:r>
    </w:p>
    <w:p w14:paraId="103107FB">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p>
    <w:p w14:paraId="2EF16485">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一、基本职能及主要工作</w:t>
      </w:r>
    </w:p>
    <w:p w14:paraId="3A3D6070">
      <w:pPr>
        <w:snapToGrid w:val="0"/>
        <w:spacing w:line="520" w:lineRule="exact"/>
        <w:ind w:left="64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一）主要职能。</w:t>
      </w:r>
    </w:p>
    <w:p w14:paraId="59DDEE3D">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w:t>
      </w:r>
      <w:r>
        <w:rPr>
          <w:rFonts w:hint="eastAsia" w:ascii="仿宋_GB2312" w:hAnsi="仿宋_GB2312" w:eastAsia="仿宋_GB2312" w:cs="仿宋_GB2312"/>
          <w:color w:val="000000"/>
          <w:sz w:val="32"/>
          <w:szCs w:val="32"/>
          <w:lang w:bidi="ar-SA"/>
        </w:rPr>
        <w:t>负责市场综合监督管理工作。</w:t>
      </w:r>
      <w:r>
        <w:rPr>
          <w:rFonts w:hint="eastAsia" w:ascii="仿宋_GB2312" w:hAnsi="仿宋_GB2312" w:eastAsia="仿宋_GB2312" w:cs="仿宋_GB2312"/>
          <w:color w:val="000000"/>
          <w:kern w:val="0"/>
          <w:sz w:val="32"/>
          <w:szCs w:val="32"/>
          <w:lang w:bidi="ar-SA"/>
        </w:rPr>
        <w:t>贯彻执行国家、省、市关于市场监督管理的方针政策和</w:t>
      </w:r>
      <w:r>
        <w:rPr>
          <w:rFonts w:hint="eastAsia" w:ascii="仿宋_GB2312" w:hAnsi="仿宋_GB2312" w:eastAsia="仿宋_GB2312" w:cs="仿宋_GB2312"/>
          <w:color w:val="000000"/>
          <w:kern w:val="0"/>
          <w:sz w:val="32"/>
          <w:szCs w:val="32"/>
          <w:lang w:eastAsia="zh-CN" w:bidi="ar-SA"/>
        </w:rPr>
        <w:t>法律法规</w:t>
      </w:r>
      <w:r>
        <w:rPr>
          <w:rFonts w:hint="eastAsia" w:ascii="仿宋_GB2312" w:hAnsi="仿宋_GB2312" w:eastAsia="仿宋_GB2312" w:cs="仿宋_GB2312"/>
          <w:color w:val="000000"/>
          <w:kern w:val="0"/>
          <w:sz w:val="32"/>
          <w:szCs w:val="32"/>
          <w:lang w:bidi="ar-SA"/>
        </w:rPr>
        <w:t>、规章，起草有关规范性文件。组织实施质量强县、食品安全、标准化和知识产权战略，组织实施食品安全等规划，规范和维护市场秩序，营造诚实守信、公平竞争的市场环境。</w:t>
      </w:r>
      <w:r>
        <w:rPr>
          <w:rFonts w:hint="eastAsia" w:ascii="仿宋_GB2312" w:hAnsi="仿宋_GB2312" w:eastAsia="仿宋_GB2312" w:cs="仿宋_GB2312"/>
          <w:color w:val="000000"/>
          <w:sz w:val="32"/>
          <w:szCs w:val="32"/>
          <w:lang w:bidi="ar-SA"/>
        </w:rPr>
        <w:t xml:space="preserve"> </w:t>
      </w:r>
    </w:p>
    <w:p w14:paraId="3B6EE5FE">
      <w:pPr>
        <w:autoSpaceDE w:val="0"/>
        <w:autoSpaceDN w:val="0"/>
        <w:adjustRightInd w:val="0"/>
        <w:spacing w:line="600" w:lineRule="atLeas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2.</w:t>
      </w:r>
      <w:r>
        <w:rPr>
          <w:rFonts w:hint="eastAsia" w:ascii="仿宋_GB2312" w:hAnsi="仿宋_GB2312" w:eastAsia="仿宋_GB2312" w:cs="仿宋_GB2312"/>
          <w:color w:val="000000"/>
          <w:sz w:val="32"/>
          <w:szCs w:val="32"/>
          <w:lang w:bidi="ar-SA"/>
        </w:rPr>
        <w:t>负责组织实施市场监督管理综合执法工作。推动实行统一的市场监管综合执法。规范市场监督管理行政执法行为。</w:t>
      </w:r>
    </w:p>
    <w:p w14:paraId="77F89F69">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3.</w:t>
      </w:r>
      <w:r>
        <w:rPr>
          <w:rFonts w:hint="eastAsia" w:ascii="仿宋_GB2312" w:hAnsi="仿宋_GB2312" w:eastAsia="仿宋_GB2312" w:cs="仿宋_GB2312"/>
          <w:color w:val="000000"/>
          <w:sz w:val="32"/>
          <w:szCs w:val="32"/>
          <w:lang w:bidi="ar-SA"/>
        </w:rPr>
        <w:t>负责反垄断相关工作。统筹推进竞争政策实施，指导实施公平竞争审查制度。配合省、州市场监管局做好垄断协议、滥用市场支配地位和滥用行政权力排除、限制竞争、经营者集中等反垄断相关工作。</w:t>
      </w:r>
    </w:p>
    <w:p w14:paraId="020FD4A3">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4.</w:t>
      </w:r>
      <w:r>
        <w:rPr>
          <w:rFonts w:hint="eastAsia" w:ascii="仿宋_GB2312" w:hAnsi="仿宋_GB2312" w:eastAsia="仿宋_GB2312" w:cs="仿宋_GB2312"/>
          <w:color w:val="000000"/>
          <w:sz w:val="32"/>
          <w:szCs w:val="32"/>
          <w:lang w:bidi="ar-SA"/>
        </w:rPr>
        <w:t>负责监督管理市场秩序。依法监督管理市场交易、网络商品交易及有关服务的行为。依法查处价格收费违法违规、不正当竞争、违法直销、传销、制售假冒伪劣产品行为。指导广告业发展</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监督管理广告活动。依法查处无照生产经营和相关无证生产经营行为。指导县消</w:t>
      </w:r>
      <w:r>
        <w:rPr>
          <w:rFonts w:hint="eastAsia" w:ascii="仿宋_GB2312" w:hAnsi="仿宋_GB2312" w:eastAsia="仿宋_GB2312" w:cs="仿宋_GB2312"/>
          <w:color w:val="000000"/>
          <w:sz w:val="32"/>
          <w:szCs w:val="32"/>
          <w:lang w:eastAsia="zh-CN" w:bidi="ar-SA"/>
        </w:rPr>
        <w:t>委会管理服务中心</w:t>
      </w:r>
      <w:r>
        <w:rPr>
          <w:rFonts w:hint="eastAsia" w:ascii="仿宋_GB2312" w:hAnsi="仿宋_GB2312" w:eastAsia="仿宋_GB2312" w:cs="仿宋_GB2312"/>
          <w:color w:val="000000"/>
          <w:sz w:val="32"/>
          <w:szCs w:val="32"/>
          <w:lang w:bidi="ar-SA"/>
        </w:rPr>
        <w:t>开展消费维权工作。</w:t>
      </w:r>
    </w:p>
    <w:p w14:paraId="2E588C7F">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5.</w:t>
      </w:r>
      <w:r>
        <w:rPr>
          <w:rFonts w:hint="eastAsia" w:ascii="仿宋_GB2312" w:hAnsi="仿宋_GB2312" w:eastAsia="仿宋_GB2312" w:cs="仿宋_GB2312"/>
          <w:color w:val="000000"/>
          <w:sz w:val="32"/>
          <w:szCs w:val="32"/>
          <w:lang w:bidi="ar-SA"/>
        </w:rPr>
        <w:t>负责服务新经济发展。促进新经济、民营经济发展和社会企业培育发展。指导推动社会企业参与城乡社区治理和发展。在县委组织部指导下，配合党委组织部门开展小微、个体工商户、专业市场的党建工作。</w:t>
      </w:r>
    </w:p>
    <w:p w14:paraId="04E4B997">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6.</w:t>
      </w:r>
      <w:r>
        <w:rPr>
          <w:rFonts w:hint="eastAsia" w:ascii="仿宋_GB2312" w:hAnsi="仿宋_GB2312" w:eastAsia="仿宋_GB2312" w:cs="仿宋_GB2312"/>
          <w:color w:val="000000"/>
          <w:sz w:val="32"/>
          <w:szCs w:val="32"/>
          <w:lang w:bidi="ar-SA"/>
        </w:rPr>
        <w:t>负责宏观质量管理。拟定并组织实施质量发展的制度措施。会同有关部门组织实施重大工程设备质量监理制度。协助上级开展重大产品质量事故调查工作，贯彻实施缺陷产品召回制度，监督管理产品防伪工作。</w:t>
      </w:r>
    </w:p>
    <w:p w14:paraId="64B71690">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7.</w:t>
      </w:r>
      <w:r>
        <w:rPr>
          <w:rFonts w:hint="eastAsia" w:ascii="仿宋_GB2312" w:hAnsi="仿宋_GB2312" w:eastAsia="仿宋_GB2312" w:cs="仿宋_GB2312"/>
          <w:color w:val="000000"/>
          <w:sz w:val="32"/>
          <w:szCs w:val="32"/>
          <w:lang w:bidi="ar-SA"/>
        </w:rPr>
        <w:t>负责产品质量安全监督管理。负责产品质量监督抽查和风险监控工作，组织实施质量分级制度、质量安全追溯制度。</w:t>
      </w:r>
    </w:p>
    <w:p w14:paraId="64F056DB">
      <w:pPr>
        <w:spacing w:line="560" w:lineRule="exact"/>
        <w:ind w:firstLine="640" w:firstLineChars="200"/>
        <w:rPr>
          <w:rFonts w:hint="eastAsia" w:ascii="仿宋_GB2312" w:hAnsi="仿宋_GB2312" w:eastAsia="仿宋_GB2312" w:cs="仿宋_GB2312"/>
          <w:color w:val="000000"/>
          <w:sz w:val="32"/>
          <w:szCs w:val="32"/>
          <w:u w:val="none"/>
          <w:lang w:bidi="ar-SA"/>
        </w:rPr>
      </w:pPr>
      <w:r>
        <w:rPr>
          <w:rFonts w:hint="eastAsia" w:ascii="仿宋_GB2312" w:hAnsi="仿宋_GB2312" w:eastAsia="仿宋_GB2312" w:cs="仿宋_GB2312"/>
          <w:color w:val="000000"/>
          <w:sz w:val="32"/>
          <w:szCs w:val="32"/>
          <w:lang w:eastAsia="zh-CN" w:bidi="ar-SA"/>
        </w:rPr>
        <w:t>8.</w:t>
      </w:r>
      <w:r>
        <w:rPr>
          <w:rFonts w:hint="eastAsia" w:ascii="仿宋_GB2312" w:hAnsi="仿宋_GB2312" w:eastAsia="仿宋_GB2312" w:cs="仿宋_GB2312"/>
          <w:color w:val="000000"/>
          <w:sz w:val="32"/>
          <w:szCs w:val="32"/>
          <w:lang w:bidi="ar-SA"/>
        </w:rPr>
        <w:t>负责特种设备安全监督管理。综合管理特种设备安全监察、监督工作</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监督检查高耗能特</w:t>
      </w:r>
      <w:r>
        <w:rPr>
          <w:rFonts w:hint="eastAsia" w:ascii="仿宋_GB2312" w:hAnsi="仿宋_GB2312" w:eastAsia="仿宋_GB2312" w:cs="仿宋_GB2312"/>
          <w:color w:val="000000"/>
          <w:sz w:val="32"/>
          <w:szCs w:val="32"/>
          <w:u w:val="none"/>
          <w:lang w:bidi="ar-SA"/>
        </w:rPr>
        <w:t>种设备节能标准和锅炉产品环境保护标准的执行情况。</w:t>
      </w:r>
    </w:p>
    <w:p w14:paraId="5F6FA838">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9.</w:t>
      </w:r>
      <w:r>
        <w:rPr>
          <w:rFonts w:hint="eastAsia" w:ascii="仿宋_GB2312" w:hAnsi="仿宋_GB2312" w:eastAsia="仿宋_GB2312" w:cs="仿宋_GB2312"/>
          <w:color w:val="000000"/>
          <w:sz w:val="32"/>
          <w:szCs w:val="32"/>
          <w:lang w:bidi="ar-SA"/>
        </w:rPr>
        <w:t>负责食品安全监督管理综合协调。统筹指导全县食品安全工作。负责食品安全应急体系建设</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组织指导重大食品安全事件应急处置和调查处理工作。建立健全食品安全重要信息直报制度。承担县食品安全委员会日常工作。</w:t>
      </w:r>
    </w:p>
    <w:p w14:paraId="73A9EE3D">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10.</w:t>
      </w:r>
      <w:r>
        <w:rPr>
          <w:rFonts w:hint="eastAsia" w:ascii="仿宋_GB2312" w:hAnsi="仿宋_GB2312" w:eastAsia="仿宋_GB2312" w:cs="仿宋_GB2312"/>
          <w:color w:val="000000"/>
          <w:sz w:val="32"/>
          <w:szCs w:val="32"/>
          <w:lang w:bidi="ar-SA"/>
        </w:rPr>
        <w:t>负责食品安全监督管理。建立覆盖食品生产、流通、消费全过程的监督检查制度和隐患排查治理机制并组织实施，防范区域性、系统性食品安全风险。推动建立食品生产经营者落实主体责任机制</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健全食品安全追溯体系。组织开展食品安全监督抽检、风险监测、核查处置和风险预警、风险交流工作。</w:t>
      </w:r>
    </w:p>
    <w:p w14:paraId="1E0B0458">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11.</w:t>
      </w:r>
      <w:r>
        <w:rPr>
          <w:rFonts w:hint="eastAsia" w:ascii="仿宋_GB2312" w:hAnsi="仿宋_GB2312" w:eastAsia="仿宋_GB2312" w:cs="仿宋_GB2312"/>
          <w:color w:val="000000"/>
          <w:sz w:val="32"/>
          <w:szCs w:val="32"/>
          <w:lang w:bidi="ar-SA"/>
        </w:rPr>
        <w:t>负责药品、医疗器械和化妆品安全监督管理。依职权负责药品、医疗器械和化妆品的监管和执法工作。</w:t>
      </w:r>
    </w:p>
    <w:p w14:paraId="60A2459A">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12.</w:t>
      </w:r>
      <w:r>
        <w:rPr>
          <w:rFonts w:hint="eastAsia" w:ascii="仿宋_GB2312" w:hAnsi="仿宋_GB2312" w:eastAsia="仿宋_GB2312" w:cs="仿宋_GB2312"/>
          <w:color w:val="000000"/>
          <w:sz w:val="32"/>
          <w:szCs w:val="32"/>
          <w:lang w:bidi="ar-SA"/>
        </w:rPr>
        <w:t>负责统一管理计量工作。监督执行法定计量单位和国家计量制度</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管理计量器具及量值传递和比对工作。规范、监督商品量和计量行为。</w:t>
      </w:r>
    </w:p>
    <w:p w14:paraId="037C293B">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13.</w:t>
      </w:r>
      <w:r>
        <w:rPr>
          <w:rFonts w:hint="eastAsia" w:ascii="仿宋_GB2312" w:hAnsi="仿宋_GB2312" w:eastAsia="仿宋_GB2312" w:cs="仿宋_GB2312"/>
          <w:color w:val="000000"/>
          <w:sz w:val="32"/>
          <w:szCs w:val="32"/>
          <w:lang w:bidi="ar-SA"/>
        </w:rPr>
        <w:t>负责统一管理标准化工作。组织实施标准化战略；依法对标准制定和实施情况开展监督。</w:t>
      </w:r>
    </w:p>
    <w:p w14:paraId="206CA3FD">
      <w:pPr>
        <w:spacing w:line="576" w:lineRule="exact"/>
        <w:ind w:right="23" w:rightChars="11"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14.</w:t>
      </w:r>
      <w:r>
        <w:rPr>
          <w:rFonts w:hint="eastAsia" w:ascii="仿宋_GB2312" w:hAnsi="仿宋_GB2312" w:eastAsia="仿宋_GB2312" w:cs="仿宋_GB2312"/>
          <w:color w:val="000000"/>
          <w:sz w:val="32"/>
          <w:szCs w:val="32"/>
          <w:lang w:bidi="ar-SA"/>
        </w:rPr>
        <w:t>负责统一管理全县检验检测工作。规范检验检测市场，完善检验检测体系，指导协调检验检测行业发展。</w:t>
      </w:r>
    </w:p>
    <w:p w14:paraId="228F9BD0">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15.</w:t>
      </w:r>
      <w:r>
        <w:rPr>
          <w:rFonts w:hint="eastAsia" w:ascii="仿宋_GB2312" w:hAnsi="仿宋_GB2312" w:eastAsia="仿宋_GB2312" w:cs="仿宋_GB2312"/>
          <w:color w:val="000000"/>
          <w:sz w:val="32"/>
          <w:szCs w:val="32"/>
          <w:lang w:bidi="ar-SA"/>
        </w:rPr>
        <w:t>负责统一管理认证认可工作。组织实施认证认可监督管理工作。</w:t>
      </w:r>
    </w:p>
    <w:p w14:paraId="1AA746AE">
      <w:pPr>
        <w:spacing w:line="56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16.</w:t>
      </w:r>
      <w:r>
        <w:rPr>
          <w:rFonts w:hint="eastAsia" w:ascii="仿宋_GB2312" w:hAnsi="仿宋_GB2312" w:eastAsia="仿宋_GB2312" w:cs="仿宋_GB2312"/>
          <w:color w:val="000000"/>
          <w:sz w:val="32"/>
          <w:szCs w:val="32"/>
          <w:lang w:bidi="ar-SA"/>
        </w:rPr>
        <w:t>负责市场监督管理科技和信息化建设、新闻宣传。</w:t>
      </w:r>
    </w:p>
    <w:p w14:paraId="5164BAD4">
      <w:pPr>
        <w:spacing w:line="576" w:lineRule="exact"/>
        <w:ind w:right="23" w:rightChars="11"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17.</w:t>
      </w:r>
      <w:r>
        <w:rPr>
          <w:rFonts w:hint="eastAsia" w:ascii="仿宋_GB2312" w:hAnsi="仿宋_GB2312" w:eastAsia="仿宋_GB2312" w:cs="仿宋_GB2312"/>
          <w:color w:val="000000"/>
          <w:sz w:val="32"/>
          <w:szCs w:val="32"/>
          <w:lang w:bidi="ar-SA"/>
        </w:rPr>
        <w:t xml:space="preserve">负责知识产权战略规划的制定与实施，负责知识产权的保护，依法查处侵犯商标、专利知识产权违法行为。      </w:t>
      </w:r>
    </w:p>
    <w:p w14:paraId="414B4D26">
      <w:pPr>
        <w:spacing w:line="576" w:lineRule="exact"/>
        <w:ind w:right="23" w:rightChars="11"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eastAsia="zh-CN" w:bidi="ar-SA"/>
        </w:rPr>
        <w:t>18.</w:t>
      </w:r>
      <w:r>
        <w:rPr>
          <w:rFonts w:hint="eastAsia" w:ascii="仿宋_GB2312" w:hAnsi="仿宋_GB2312" w:eastAsia="仿宋_GB2312" w:cs="仿宋_GB2312"/>
          <w:sz w:val="32"/>
          <w:szCs w:val="32"/>
          <w:lang w:bidi="ar-SA"/>
        </w:rPr>
        <w:t>负责促进全县民营经济发展。负责全县民营经济发展工作的任务制定、调查研究、统筹协调、督促落实及民营企业合法权益维护。在县委组织部指导下，配合党委组织部门开展小微企业、个体工商户、专业市场的党建工作。</w:t>
      </w:r>
    </w:p>
    <w:p w14:paraId="67414DD8">
      <w:pPr>
        <w:spacing w:line="576" w:lineRule="exact"/>
        <w:ind w:right="23" w:rightChars="11"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eastAsia="zh-CN" w:bidi="ar-SA"/>
        </w:rPr>
        <w:t>19.</w:t>
      </w:r>
      <w:r>
        <w:rPr>
          <w:rFonts w:hint="eastAsia" w:ascii="仿宋_GB2312" w:hAnsi="仿宋_GB2312" w:eastAsia="仿宋_GB2312" w:cs="仿宋_GB2312"/>
          <w:sz w:val="32"/>
          <w:szCs w:val="32"/>
          <w:lang w:bidi="ar-SA"/>
        </w:rPr>
        <w:t>负责职责范围内的安全生产、生态环境保护等工作。</w:t>
      </w:r>
    </w:p>
    <w:p w14:paraId="6576001D">
      <w:pPr>
        <w:pStyle w:val="36"/>
        <w:adjustRightInd w:val="0"/>
        <w:snapToGrid w:val="0"/>
        <w:spacing w:line="580" w:lineRule="exact"/>
        <w:ind w:firstLine="579" w:firstLineChars="18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机构设置</w:t>
      </w:r>
    </w:p>
    <w:p w14:paraId="70FCBA82">
      <w:pPr>
        <w:pStyle w:val="36"/>
        <w:adjustRightInd w:val="0"/>
        <w:snapToGrid w:val="0"/>
        <w:spacing w:line="580" w:lineRule="exact"/>
        <w:ind w:firstLine="579" w:firstLineChars="181"/>
        <w:rPr>
          <w:rFonts w:hint="eastAsia" w:ascii="仿宋_GB2312" w:hAnsi="仿宋_GB2312" w:eastAsia="仿宋_GB2312" w:cs="仿宋_GB2312"/>
          <w:sz w:val="32"/>
          <w:szCs w:val="32"/>
          <w:lang w:bidi="ar-SA"/>
        </w:rPr>
      </w:pPr>
      <w:r>
        <w:rPr>
          <w:rFonts w:hint="eastAsia" w:hAnsi="仿宋_GB2312" w:cs="仿宋_GB2312"/>
          <w:sz w:val="32"/>
          <w:szCs w:val="32"/>
          <w:lang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w:t>
      </w:r>
      <w:r>
        <w:rPr>
          <w:rFonts w:hint="eastAsia" w:ascii="仿宋_GB2312" w:hAnsi="仿宋_GB2312" w:eastAsia="仿宋_GB2312" w:cs="仿宋_GB2312"/>
          <w:sz w:val="32"/>
          <w:szCs w:val="32"/>
          <w:lang w:eastAsia="zh-CN"/>
        </w:rPr>
        <w:t>市场监督管理局</w:t>
      </w:r>
      <w:r>
        <w:rPr>
          <w:rFonts w:hint="eastAsia" w:ascii="仿宋_GB2312" w:hAnsi="仿宋_GB2312" w:eastAsia="仿宋_GB2312" w:cs="仿宋_GB2312"/>
          <w:sz w:val="32"/>
          <w:szCs w:val="32"/>
        </w:rPr>
        <w:t>属一级预算单位，独立编制机构数1个，独立核算机构数1个，</w:t>
      </w:r>
      <w:r>
        <w:rPr>
          <w:rFonts w:hint="eastAsia" w:ascii="仿宋_GB2312" w:hAnsi="仿宋_GB2312" w:eastAsia="仿宋_GB2312" w:cs="仿宋_GB2312"/>
          <w:bCs/>
          <w:color w:val="auto"/>
          <w:sz w:val="32"/>
          <w:szCs w:val="32"/>
          <w:u w:val="none"/>
          <w:lang w:bidi="ar-SA"/>
        </w:rPr>
        <w:t>核定局机关人员编制：</w:t>
      </w:r>
      <w:r>
        <w:rPr>
          <w:rFonts w:hint="eastAsia" w:ascii="仿宋_GB2312" w:hAnsi="仿宋_GB2312" w:eastAsia="仿宋_GB2312" w:cs="仿宋_GB2312"/>
          <w:color w:val="auto"/>
          <w:sz w:val="32"/>
          <w:szCs w:val="32"/>
          <w:u w:val="none"/>
          <w:lang w:bidi="ar-SA"/>
        </w:rPr>
        <w:t>行政编制17名，行政执法类事业编制23名（稽查大队），事业编制2名（消委会管理服务中心），行政工</w:t>
      </w:r>
      <w:r>
        <w:rPr>
          <w:rFonts w:hint="eastAsia" w:ascii="仿宋_GB2312" w:hAnsi="仿宋_GB2312" w:eastAsia="仿宋_GB2312" w:cs="仿宋_GB2312"/>
          <w:sz w:val="32"/>
          <w:szCs w:val="32"/>
          <w:lang w:bidi="ar-SA"/>
        </w:rPr>
        <w:t>勤编制4名。其中：局长1名、副局长</w:t>
      </w:r>
      <w:r>
        <w:rPr>
          <w:rFonts w:hint="eastAsia" w:ascii="仿宋_GB2312" w:hAnsi="仿宋_GB2312" w:eastAsia="仿宋_GB2312" w:cs="仿宋_GB2312"/>
          <w:color w:val="auto"/>
          <w:sz w:val="32"/>
          <w:szCs w:val="32"/>
          <w:u w:val="none"/>
          <w:lang w:bidi="ar-SA"/>
        </w:rPr>
        <w:t>3</w:t>
      </w:r>
      <w:r>
        <w:rPr>
          <w:rFonts w:hint="eastAsia" w:ascii="仿宋_GB2312" w:hAnsi="仿宋_GB2312" w:eastAsia="仿宋_GB2312" w:cs="仿宋_GB2312"/>
          <w:sz w:val="32"/>
          <w:szCs w:val="32"/>
          <w:lang w:bidi="ar-SA"/>
        </w:rPr>
        <w:t>名、股级领导职数14名。</w:t>
      </w:r>
    </w:p>
    <w:p w14:paraId="029807E1">
      <w:pPr>
        <w:spacing w:line="576" w:lineRule="exact"/>
        <w:ind w:right="23" w:rightChars="11"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bCs/>
          <w:sz w:val="32"/>
          <w:szCs w:val="32"/>
          <w:lang w:eastAsia="zh-CN" w:bidi="ar-SA"/>
        </w:rPr>
        <w:t>2.</w:t>
      </w:r>
      <w:r>
        <w:rPr>
          <w:rFonts w:hint="eastAsia" w:ascii="仿宋_GB2312" w:hAnsi="仿宋_GB2312" w:eastAsia="仿宋_GB2312" w:cs="仿宋_GB2312"/>
          <w:bCs/>
          <w:sz w:val="32"/>
          <w:szCs w:val="32"/>
          <w:lang w:bidi="ar-SA"/>
        </w:rPr>
        <w:t>核定派出机构人员编制：</w:t>
      </w:r>
      <w:r>
        <w:rPr>
          <w:rFonts w:hint="eastAsia" w:ascii="仿宋_GB2312" w:hAnsi="仿宋_GB2312" w:eastAsia="仿宋_GB2312" w:cs="仿宋_GB2312"/>
          <w:sz w:val="32"/>
          <w:szCs w:val="32"/>
          <w:lang w:bidi="ar-SA"/>
        </w:rPr>
        <w:t>行政编制</w:t>
      </w:r>
      <w:r>
        <w:rPr>
          <w:rFonts w:hint="eastAsia" w:ascii="仿宋_GB2312" w:hAnsi="仿宋_GB2312" w:eastAsia="仿宋_GB2312" w:cs="仿宋_GB2312"/>
          <w:color w:val="auto"/>
          <w:sz w:val="32"/>
          <w:szCs w:val="32"/>
          <w:u w:val="none"/>
          <w:lang w:bidi="ar-SA"/>
        </w:rPr>
        <w:t>18</w:t>
      </w:r>
      <w:r>
        <w:rPr>
          <w:rFonts w:hint="eastAsia" w:ascii="仿宋_GB2312" w:hAnsi="仿宋_GB2312" w:eastAsia="仿宋_GB2312" w:cs="仿宋_GB2312"/>
          <w:sz w:val="32"/>
          <w:szCs w:val="32"/>
          <w:lang w:bidi="ar-SA"/>
        </w:rPr>
        <w:t>名，行政工勤编制1名。其中：所长6名（副科级），股级领导职数2名。</w:t>
      </w:r>
    </w:p>
    <w:p w14:paraId="6856E959">
      <w:pPr>
        <w:pStyle w:val="15"/>
        <w:adjustRightInd w:val="0"/>
        <w:snapToGrid w:val="0"/>
        <w:spacing w:before="0" w:line="440" w:lineRule="exact"/>
        <w:jc w:val="left"/>
        <w:rPr>
          <w:rFonts w:hint="eastAsia" w:ascii="仿宋_GB2312" w:hAnsi="仿宋_GB2312" w:eastAsia="仿宋_GB2312" w:cs="仿宋_GB2312"/>
          <w:b/>
          <w:sz w:val="32"/>
          <w:szCs w:val="32"/>
        </w:rPr>
      </w:pPr>
    </w:p>
    <w:p w14:paraId="08DC27DD">
      <w:pPr>
        <w:pStyle w:val="15"/>
        <w:adjustRightInd w:val="0"/>
        <w:snapToGrid w:val="0"/>
        <w:spacing w:before="0" w:line="440" w:lineRule="exact"/>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第二部分度部门决算情况说明</w:t>
      </w:r>
    </w:p>
    <w:p w14:paraId="52468039">
      <w:pPr>
        <w:snapToGrid w:val="0"/>
        <w:spacing w:line="520" w:lineRule="exact"/>
        <w:rPr>
          <w:rFonts w:hint="eastAsia" w:ascii="仿宋_GB2312" w:hAnsi="仿宋_GB2312" w:eastAsia="仿宋_GB2312" w:cs="仿宋_GB2312"/>
          <w:sz w:val="32"/>
          <w:szCs w:val="32"/>
          <w:lang w:eastAsia="zh-CN"/>
        </w:rPr>
      </w:pPr>
      <w:bookmarkStart w:id="12" w:name="YS060102"/>
      <w:r>
        <w:rPr>
          <w:rFonts w:hint="eastAsia" w:ascii="仿宋_GB2312" w:hAnsi="仿宋_GB2312" w:eastAsia="仿宋_GB2312" w:cs="仿宋_GB2312"/>
          <w:sz w:val="32"/>
          <w:szCs w:val="32"/>
          <w:lang w:eastAsia="zh-CN"/>
        </w:rPr>
        <w:t>　　</w:t>
      </w:r>
    </w:p>
    <w:p w14:paraId="610F51D6">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一</w:t>
      </w:r>
      <w:r>
        <w:rPr>
          <w:rFonts w:hint="eastAsia" w:ascii="仿宋_GB2312" w:hAnsi="仿宋_GB2312" w:eastAsia="仿宋_GB2312" w:cs="仿宋_GB2312"/>
          <w:sz w:val="32"/>
          <w:szCs w:val="32"/>
        </w:rPr>
        <w:t>、收入支出决算总体情况说明</w:t>
      </w:r>
    </w:p>
    <w:bookmarkEnd w:id="12"/>
    <w:p w14:paraId="4A060E15">
      <w:pPr>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　　1.</w:t>
      </w:r>
      <w:r>
        <w:rPr>
          <w:rFonts w:hint="eastAsia" w:ascii="仿宋_GB2312" w:hAnsi="仿宋_GB2312" w:eastAsia="仿宋_GB2312" w:cs="仿宋_GB2312"/>
          <w:color w:val="000000"/>
          <w:sz w:val="32"/>
          <w:szCs w:val="32"/>
          <w:lang w:bidi="ar-SA"/>
        </w:rPr>
        <w:t>2019年收入</w:t>
      </w:r>
      <w:r>
        <w:rPr>
          <w:rFonts w:hint="eastAsia" w:ascii="仿宋_GB2312" w:hAnsi="仿宋_GB2312" w:eastAsia="仿宋_GB2312" w:cs="仿宋_GB2312"/>
          <w:color w:val="000000"/>
          <w:sz w:val="32"/>
          <w:szCs w:val="32"/>
          <w:lang w:val="en-US" w:eastAsia="zh-CN" w:bidi="ar-SA"/>
        </w:rPr>
        <w:t>1421.66万元，</w:t>
      </w:r>
      <w:r>
        <w:rPr>
          <w:rFonts w:hint="eastAsia" w:ascii="仿宋_GB2312" w:hAnsi="仿宋_GB2312" w:eastAsia="仿宋_GB2312" w:cs="仿宋_GB2312"/>
          <w:color w:val="000000"/>
          <w:sz w:val="32"/>
          <w:szCs w:val="32"/>
          <w:lang w:bidi="ar-SA"/>
        </w:rPr>
        <w:t>比2018年增长12.</w:t>
      </w:r>
      <w:r>
        <w:rPr>
          <w:rFonts w:hint="eastAsia" w:ascii="仿宋_GB2312" w:hAnsi="仿宋_GB2312" w:eastAsia="仿宋_GB2312" w:cs="仿宋_GB2312"/>
          <w:color w:val="000000"/>
          <w:sz w:val="32"/>
          <w:szCs w:val="32"/>
          <w:lang w:val="en-US" w:eastAsia="zh-CN" w:bidi="ar-SA"/>
        </w:rPr>
        <w:t>84</w:t>
      </w:r>
      <w:r>
        <w:rPr>
          <w:rFonts w:hint="eastAsia" w:ascii="仿宋_GB2312" w:hAnsi="仿宋_GB2312" w:eastAsia="仿宋_GB2312" w:cs="仿宋_GB2312"/>
          <w:color w:val="000000"/>
          <w:sz w:val="32"/>
          <w:szCs w:val="32"/>
          <w:lang w:bidi="ar-SA"/>
        </w:rPr>
        <w:t>%，</w:t>
      </w:r>
    </w:p>
    <w:p w14:paraId="42D92033">
      <w:pPr>
        <w:snapToGrid w:val="0"/>
        <w:spacing w:line="52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eastAsia="zh-CN" w:bidi="ar-SA"/>
        </w:rPr>
        <w:t>2.</w:t>
      </w:r>
      <w:r>
        <w:rPr>
          <w:rFonts w:hint="eastAsia" w:ascii="仿宋_GB2312" w:hAnsi="仿宋_GB2312" w:eastAsia="仿宋_GB2312" w:cs="仿宋_GB2312"/>
          <w:color w:val="000000"/>
          <w:sz w:val="32"/>
          <w:szCs w:val="32"/>
          <w:lang w:bidi="ar-SA"/>
        </w:rPr>
        <w:t>2019年支出</w:t>
      </w:r>
      <w:r>
        <w:rPr>
          <w:rFonts w:hint="eastAsia" w:ascii="仿宋_GB2312" w:hAnsi="仿宋_GB2312" w:eastAsia="仿宋_GB2312" w:cs="仿宋_GB2312"/>
          <w:color w:val="000000"/>
          <w:sz w:val="32"/>
          <w:szCs w:val="32"/>
          <w:lang w:val="en-US" w:eastAsia="zh-CN" w:bidi="ar-SA"/>
        </w:rPr>
        <w:t>1399.94万元，其中：基本支出1298.23万元，占92.73%；项目支出101.71万元，占7.27%。</w:t>
      </w:r>
    </w:p>
    <w:p w14:paraId="0B2DB992">
      <w:pPr>
        <w:snapToGrid w:val="0"/>
        <w:spacing w:line="520" w:lineRule="exact"/>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二、收入决算情况说明</w:t>
      </w:r>
    </w:p>
    <w:p w14:paraId="517C86D9">
      <w:pPr>
        <w:snapToGrid w:val="0"/>
        <w:spacing w:line="52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2019年</w:t>
      </w:r>
      <w:r>
        <w:rPr>
          <w:rFonts w:hint="eastAsia" w:ascii="仿宋_GB2312" w:hAnsi="仿宋_GB2312" w:eastAsia="仿宋_GB2312" w:cs="仿宋_GB2312"/>
          <w:color w:val="000000"/>
          <w:sz w:val="32"/>
          <w:szCs w:val="32"/>
          <w:lang w:eastAsia="zh-CN" w:bidi="ar-SA"/>
        </w:rPr>
        <w:t>期初结余</w:t>
      </w:r>
      <w:r>
        <w:rPr>
          <w:rFonts w:hint="eastAsia" w:ascii="仿宋_GB2312" w:hAnsi="仿宋_GB2312" w:eastAsia="仿宋_GB2312" w:cs="仿宋_GB2312"/>
          <w:color w:val="000000"/>
          <w:sz w:val="32"/>
          <w:szCs w:val="32"/>
          <w:lang w:val="en-US" w:eastAsia="zh-CN" w:bidi="ar-SA"/>
        </w:rPr>
        <w:t>97.31万元，</w:t>
      </w:r>
      <w:r>
        <w:rPr>
          <w:rFonts w:hint="eastAsia" w:ascii="仿宋_GB2312" w:hAnsi="仿宋_GB2312" w:eastAsia="仿宋_GB2312" w:cs="仿宋_GB2312"/>
          <w:color w:val="000000"/>
          <w:sz w:val="32"/>
          <w:szCs w:val="32"/>
          <w:lang w:bidi="ar-SA"/>
        </w:rPr>
        <w:t>财政拨款收入142</w:t>
      </w:r>
      <w:r>
        <w:rPr>
          <w:rFonts w:hint="eastAsia" w:ascii="仿宋_GB2312" w:hAnsi="仿宋_GB2312" w:eastAsia="仿宋_GB2312" w:cs="仿宋_GB2312"/>
          <w:color w:val="000000"/>
          <w:sz w:val="32"/>
          <w:szCs w:val="32"/>
          <w:lang w:val="en-US" w:eastAsia="zh-CN" w:bidi="ar-SA"/>
        </w:rPr>
        <w:t>1.66</w:t>
      </w:r>
      <w:r>
        <w:rPr>
          <w:rFonts w:hint="eastAsia" w:ascii="仿宋_GB2312" w:hAnsi="仿宋_GB2312" w:eastAsia="仿宋_GB2312" w:cs="仿宋_GB2312"/>
          <w:color w:val="000000"/>
          <w:sz w:val="32"/>
          <w:szCs w:val="32"/>
          <w:lang w:bidi="ar-SA"/>
        </w:rPr>
        <w:t>万元。其中 ：基本收入</w:t>
      </w:r>
      <w:r>
        <w:rPr>
          <w:rFonts w:hint="eastAsia" w:ascii="仿宋_GB2312" w:hAnsi="仿宋_GB2312" w:eastAsia="仿宋_GB2312" w:cs="仿宋_GB2312"/>
          <w:color w:val="000000"/>
          <w:sz w:val="32"/>
          <w:szCs w:val="32"/>
          <w:lang w:val="en-US" w:eastAsia="zh-CN" w:bidi="ar-SA"/>
        </w:rPr>
        <w:t>1298.23</w:t>
      </w:r>
      <w:r>
        <w:rPr>
          <w:rFonts w:hint="eastAsia" w:ascii="仿宋_GB2312" w:hAnsi="仿宋_GB2312" w:eastAsia="仿宋_GB2312" w:cs="仿宋_GB2312"/>
          <w:color w:val="000000"/>
          <w:sz w:val="32"/>
          <w:szCs w:val="32"/>
          <w:lang w:bidi="ar-SA"/>
        </w:rPr>
        <w:t>万元，占91.</w:t>
      </w:r>
      <w:r>
        <w:rPr>
          <w:rFonts w:hint="eastAsia" w:ascii="仿宋_GB2312" w:hAnsi="仿宋_GB2312" w:eastAsia="仿宋_GB2312" w:cs="仿宋_GB2312"/>
          <w:color w:val="000000"/>
          <w:sz w:val="32"/>
          <w:szCs w:val="32"/>
          <w:lang w:val="en-US" w:eastAsia="zh-CN" w:bidi="ar-SA"/>
        </w:rPr>
        <w:t>22</w:t>
      </w:r>
      <w:r>
        <w:rPr>
          <w:rFonts w:hint="eastAsia" w:ascii="仿宋_GB2312" w:hAnsi="仿宋_GB2312" w:eastAsia="仿宋_GB2312" w:cs="仿宋_GB2312"/>
          <w:color w:val="000000"/>
          <w:sz w:val="32"/>
          <w:szCs w:val="32"/>
          <w:lang w:bidi="ar-SA"/>
        </w:rPr>
        <w:t>%；项目收入123.43万元，占8.</w:t>
      </w:r>
      <w:r>
        <w:rPr>
          <w:rFonts w:hint="eastAsia" w:ascii="仿宋_GB2312" w:hAnsi="仿宋_GB2312" w:eastAsia="仿宋_GB2312" w:cs="仿宋_GB2312"/>
          <w:color w:val="000000"/>
          <w:sz w:val="32"/>
          <w:szCs w:val="32"/>
          <w:lang w:val="en-US" w:eastAsia="zh-CN" w:bidi="ar-SA"/>
        </w:rPr>
        <w:t>78</w:t>
      </w:r>
      <w:r>
        <w:rPr>
          <w:rFonts w:hint="eastAsia" w:ascii="仿宋_GB2312" w:hAnsi="仿宋_GB2312" w:eastAsia="仿宋_GB2312" w:cs="仿宋_GB2312"/>
          <w:color w:val="000000"/>
          <w:sz w:val="32"/>
          <w:szCs w:val="32"/>
          <w:lang w:bidi="ar-SA"/>
        </w:rPr>
        <w:t>%。</w:t>
      </w:r>
    </w:p>
    <w:p w14:paraId="2DF50369">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三、支出决算情况说明</w:t>
      </w:r>
    </w:p>
    <w:p w14:paraId="2D1CDF92">
      <w:pPr>
        <w:snapToGrid w:val="0"/>
        <w:spacing w:line="520"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2019年支出</w:t>
      </w:r>
      <w:r>
        <w:rPr>
          <w:rFonts w:hint="eastAsia" w:ascii="仿宋_GB2312" w:hAnsi="仿宋_GB2312" w:eastAsia="仿宋_GB2312" w:cs="仿宋_GB2312"/>
          <w:color w:val="000000"/>
          <w:sz w:val="32"/>
          <w:szCs w:val="32"/>
          <w:lang w:val="en-US" w:eastAsia="zh-CN" w:bidi="ar-SA"/>
        </w:rPr>
        <w:t>1399.94万元，其中：基本支出1298.23万元，占92.73%；项目支出101.71万元，占7.27%。</w:t>
      </w:r>
    </w:p>
    <w:p w14:paraId="32F61899">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四、财政拨款收入支出决算总体情况说明</w:t>
      </w:r>
    </w:p>
    <w:p w14:paraId="1C02AACC">
      <w:pPr>
        <w:ind w:firstLine="709"/>
        <w:rPr>
          <w:rFonts w:hint="eastAsia" w:ascii="仿宋_GB2312" w:hAnsi="仿宋_GB2312" w:eastAsia="仿宋_GB2312" w:cs="仿宋_GB2312"/>
          <w:color w:val="000000"/>
          <w:sz w:val="32"/>
          <w:szCs w:val="32"/>
          <w:lang w:eastAsia="zh-CN" w:bidi="ar-SA"/>
        </w:rPr>
      </w:pPr>
      <w:r>
        <w:rPr>
          <w:rFonts w:hint="eastAsia" w:ascii="仿宋_GB2312" w:hAnsi="仿宋_GB2312" w:eastAsia="仿宋_GB2312" w:cs="仿宋_GB2312"/>
          <w:color w:val="4E4342"/>
          <w:sz w:val="32"/>
          <w:szCs w:val="32"/>
        </w:rPr>
        <w:t>2019年度财政拨款收入总决算</w:t>
      </w:r>
      <w:r>
        <w:rPr>
          <w:rFonts w:hint="eastAsia" w:ascii="仿宋_GB2312" w:hAnsi="仿宋_GB2312" w:eastAsia="仿宋_GB2312" w:cs="仿宋_GB2312"/>
          <w:color w:val="000000"/>
          <w:sz w:val="32"/>
          <w:szCs w:val="32"/>
          <w:lang w:bidi="ar-SA"/>
        </w:rPr>
        <w:t>142</w:t>
      </w:r>
      <w:r>
        <w:rPr>
          <w:rFonts w:hint="eastAsia" w:ascii="仿宋_GB2312" w:hAnsi="仿宋_GB2312" w:eastAsia="仿宋_GB2312" w:cs="仿宋_GB2312"/>
          <w:color w:val="000000"/>
          <w:sz w:val="32"/>
          <w:szCs w:val="32"/>
          <w:lang w:val="en-US" w:eastAsia="zh-CN" w:bidi="ar-SA"/>
        </w:rPr>
        <w:t>1.66</w:t>
      </w:r>
      <w:r>
        <w:rPr>
          <w:rFonts w:hint="eastAsia" w:ascii="仿宋_GB2312" w:hAnsi="仿宋_GB2312" w:eastAsia="仿宋_GB2312" w:cs="仿宋_GB2312"/>
          <w:color w:val="000000"/>
          <w:sz w:val="32"/>
          <w:szCs w:val="32"/>
          <w:lang w:bidi="ar-SA"/>
        </w:rPr>
        <w:t>万元。比2018年</w:t>
      </w:r>
      <w:r>
        <w:rPr>
          <w:rFonts w:hint="eastAsia" w:ascii="仿宋_GB2312" w:hAnsi="仿宋_GB2312" w:eastAsia="仿宋_GB2312" w:cs="仿宋_GB2312"/>
          <w:color w:val="000000"/>
          <w:sz w:val="32"/>
          <w:szCs w:val="32"/>
          <w:lang w:eastAsia="zh-CN" w:bidi="ar-SA"/>
        </w:rPr>
        <w:t>增加</w:t>
      </w:r>
      <w:r>
        <w:rPr>
          <w:rFonts w:hint="eastAsia" w:ascii="仿宋_GB2312" w:hAnsi="仿宋_GB2312" w:eastAsia="仿宋_GB2312" w:cs="仿宋_GB2312"/>
          <w:color w:val="000000"/>
          <w:sz w:val="32"/>
          <w:szCs w:val="32"/>
          <w:lang w:val="en-US" w:eastAsia="zh-CN" w:bidi="ar-SA"/>
        </w:rPr>
        <w:t>161.74万元，</w:t>
      </w:r>
      <w:r>
        <w:rPr>
          <w:rFonts w:hint="eastAsia" w:ascii="仿宋_GB2312" w:hAnsi="仿宋_GB2312" w:eastAsia="仿宋_GB2312" w:cs="仿宋_GB2312"/>
          <w:color w:val="000000"/>
          <w:sz w:val="32"/>
          <w:szCs w:val="32"/>
          <w:lang w:bidi="ar-SA"/>
        </w:rPr>
        <w:t>增长</w:t>
      </w:r>
      <w:r>
        <w:rPr>
          <w:rFonts w:hint="eastAsia" w:ascii="仿宋_GB2312" w:hAnsi="仿宋_GB2312" w:eastAsia="仿宋_GB2312" w:cs="仿宋_GB2312"/>
          <w:color w:val="000000"/>
          <w:sz w:val="32"/>
          <w:szCs w:val="32"/>
          <w:lang w:val="en-US" w:eastAsia="zh-CN" w:bidi="ar-SA"/>
        </w:rPr>
        <w:t>12.84</w:t>
      </w:r>
      <w:r>
        <w:rPr>
          <w:rFonts w:hint="eastAsia" w:ascii="仿宋_GB2312" w:hAnsi="仿宋_GB2312" w:eastAsia="仿宋_GB2312" w:cs="仿宋_GB2312"/>
          <w:color w:val="000000"/>
          <w:sz w:val="32"/>
          <w:szCs w:val="32"/>
          <w:lang w:bidi="ar-SA"/>
        </w:rPr>
        <w:t>%</w:t>
      </w:r>
      <w:r>
        <w:rPr>
          <w:rFonts w:hint="eastAsia" w:ascii="仿宋_GB2312" w:hAnsi="仿宋_GB2312" w:eastAsia="仿宋_GB2312" w:cs="仿宋_GB2312"/>
          <w:color w:val="000000"/>
          <w:sz w:val="32"/>
          <w:szCs w:val="32"/>
          <w:lang w:eastAsia="zh-CN" w:bidi="ar-SA"/>
        </w:rPr>
        <w:t>。</w:t>
      </w:r>
    </w:p>
    <w:p w14:paraId="72CF47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五、一般公共预算财政拨款支出决算情况说明</w:t>
      </w:r>
    </w:p>
    <w:p w14:paraId="1CABEC1C">
      <w:pPr>
        <w:rPr>
          <w:rFonts w:hint="eastAsia" w:ascii="仿宋_GB2312" w:hAnsi="仿宋_GB2312" w:eastAsia="仿宋_GB2312" w:cs="仿宋_GB2312"/>
          <w:sz w:val="32"/>
          <w:szCs w:val="32"/>
        </w:rPr>
      </w:pP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（一）一般公共预算财政拨款支出决算总体情况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2019年度一般公共预算财政拨款支出</w:t>
      </w:r>
      <w:r>
        <w:rPr>
          <w:rFonts w:hint="eastAsia" w:ascii="仿宋_GB2312" w:hAnsi="仿宋_GB2312" w:eastAsia="仿宋_GB2312" w:cs="仿宋_GB2312"/>
          <w:color w:val="4E4342"/>
          <w:sz w:val="32"/>
          <w:szCs w:val="32"/>
          <w:lang w:val="en-US" w:eastAsia="zh-CN"/>
        </w:rPr>
        <w:t>1399.94</w:t>
      </w:r>
      <w:r>
        <w:rPr>
          <w:rFonts w:hint="eastAsia" w:ascii="仿宋_GB2312" w:hAnsi="仿宋_GB2312" w:eastAsia="仿宋_GB2312" w:cs="仿宋_GB2312"/>
          <w:color w:val="4E4342"/>
          <w:sz w:val="32"/>
          <w:szCs w:val="32"/>
        </w:rPr>
        <w:t>万元，占本年支出合计的100%。与2018年相比，一般公共预算财政拨款增加</w:t>
      </w:r>
      <w:r>
        <w:rPr>
          <w:rFonts w:hint="eastAsia" w:ascii="仿宋_GB2312" w:hAnsi="仿宋_GB2312" w:eastAsia="仿宋_GB2312" w:cs="仿宋_GB2312"/>
          <w:color w:val="4E4342"/>
          <w:sz w:val="32"/>
          <w:szCs w:val="32"/>
          <w:lang w:val="en-US" w:eastAsia="zh-CN"/>
        </w:rPr>
        <w:t>81.72</w:t>
      </w:r>
      <w:r>
        <w:rPr>
          <w:rFonts w:hint="eastAsia" w:ascii="仿宋_GB2312" w:hAnsi="仿宋_GB2312" w:eastAsia="仿宋_GB2312" w:cs="仿宋_GB2312"/>
          <w:color w:val="4E4342"/>
          <w:sz w:val="32"/>
          <w:szCs w:val="32"/>
        </w:rPr>
        <w:t>万元，增长</w:t>
      </w:r>
      <w:r>
        <w:rPr>
          <w:rFonts w:hint="eastAsia" w:ascii="仿宋_GB2312" w:hAnsi="仿宋_GB2312" w:eastAsia="仿宋_GB2312" w:cs="仿宋_GB2312"/>
          <w:color w:val="4E4342"/>
          <w:sz w:val="32"/>
          <w:szCs w:val="32"/>
          <w:lang w:val="en-US" w:eastAsia="zh-CN"/>
        </w:rPr>
        <w:t>6.2</w:t>
      </w: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（二）一般公共预算财政拨款支出决算结构情况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2019年一般公共预算财政拨款支出</w:t>
      </w:r>
      <w:r>
        <w:rPr>
          <w:rFonts w:hint="eastAsia" w:ascii="仿宋_GB2312" w:hAnsi="仿宋_GB2312" w:eastAsia="仿宋_GB2312" w:cs="仿宋_GB2312"/>
          <w:color w:val="4E4342"/>
          <w:sz w:val="32"/>
          <w:szCs w:val="32"/>
          <w:lang w:val="en-US" w:eastAsia="zh-CN"/>
        </w:rPr>
        <w:t>1399.94</w:t>
      </w:r>
      <w:r>
        <w:rPr>
          <w:rFonts w:hint="eastAsia" w:ascii="仿宋_GB2312" w:hAnsi="仿宋_GB2312" w:eastAsia="仿宋_GB2312" w:cs="仿宋_GB2312"/>
          <w:color w:val="4E4342"/>
          <w:sz w:val="32"/>
          <w:szCs w:val="32"/>
        </w:rPr>
        <w:t>万元，主要用于以下方面</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一般公共服务支出</w:t>
      </w:r>
      <w:r>
        <w:rPr>
          <w:rFonts w:hint="eastAsia" w:ascii="仿宋_GB2312" w:hAnsi="仿宋_GB2312" w:eastAsia="仿宋_GB2312" w:cs="仿宋_GB2312"/>
          <w:color w:val="4E4342"/>
          <w:sz w:val="32"/>
          <w:szCs w:val="32"/>
          <w:lang w:val="en-US" w:eastAsia="zh-CN"/>
        </w:rPr>
        <w:t>1107.4</w:t>
      </w:r>
      <w:r>
        <w:rPr>
          <w:rFonts w:hint="eastAsia" w:ascii="仿宋_GB2312" w:hAnsi="仿宋_GB2312" w:eastAsia="仿宋_GB2312" w:cs="仿宋_GB2312"/>
          <w:color w:val="4E4342"/>
          <w:sz w:val="32"/>
          <w:szCs w:val="32"/>
        </w:rPr>
        <w:t>万元，占</w:t>
      </w:r>
      <w:r>
        <w:rPr>
          <w:rFonts w:hint="eastAsia" w:ascii="仿宋_GB2312" w:hAnsi="仿宋_GB2312" w:eastAsia="仿宋_GB2312" w:cs="仿宋_GB2312"/>
          <w:color w:val="4E4342"/>
          <w:sz w:val="32"/>
          <w:szCs w:val="32"/>
          <w:lang w:val="en-US" w:eastAsia="zh-CN"/>
        </w:rPr>
        <w:t>79.11</w:t>
      </w:r>
      <w:r>
        <w:rPr>
          <w:rFonts w:hint="eastAsia" w:ascii="仿宋_GB2312" w:hAnsi="仿宋_GB2312" w:eastAsia="仿宋_GB2312" w:cs="仿宋_GB2312"/>
          <w:color w:val="4E4342"/>
          <w:sz w:val="32"/>
          <w:szCs w:val="32"/>
        </w:rPr>
        <w:t>%；社会保障和就业支出</w:t>
      </w:r>
      <w:r>
        <w:rPr>
          <w:rFonts w:hint="eastAsia" w:ascii="仿宋_GB2312" w:hAnsi="仿宋_GB2312" w:eastAsia="仿宋_GB2312" w:cs="仿宋_GB2312"/>
          <w:color w:val="4E4342"/>
          <w:sz w:val="32"/>
          <w:szCs w:val="32"/>
          <w:lang w:val="en-US" w:eastAsia="zh-CN"/>
        </w:rPr>
        <w:t>110.57</w:t>
      </w:r>
      <w:r>
        <w:rPr>
          <w:rFonts w:hint="eastAsia" w:ascii="仿宋_GB2312" w:hAnsi="仿宋_GB2312" w:eastAsia="仿宋_GB2312" w:cs="仿宋_GB2312"/>
          <w:color w:val="4E4342"/>
          <w:sz w:val="32"/>
          <w:szCs w:val="32"/>
        </w:rPr>
        <w:t>万元，占</w:t>
      </w:r>
      <w:r>
        <w:rPr>
          <w:rFonts w:hint="eastAsia" w:ascii="仿宋_GB2312" w:hAnsi="仿宋_GB2312" w:eastAsia="仿宋_GB2312" w:cs="仿宋_GB2312"/>
          <w:color w:val="4E4342"/>
          <w:sz w:val="32"/>
          <w:szCs w:val="32"/>
          <w:lang w:val="en-US" w:eastAsia="zh-CN"/>
        </w:rPr>
        <w:t>7.90</w:t>
      </w:r>
      <w:r>
        <w:rPr>
          <w:rFonts w:hint="eastAsia" w:ascii="仿宋_GB2312" w:hAnsi="仿宋_GB2312" w:eastAsia="仿宋_GB2312" w:cs="仿宋_GB2312"/>
          <w:color w:val="4E4342"/>
          <w:sz w:val="32"/>
          <w:szCs w:val="32"/>
        </w:rPr>
        <w:t>%；医疗卫生支出</w:t>
      </w:r>
      <w:r>
        <w:rPr>
          <w:rFonts w:hint="eastAsia" w:ascii="仿宋_GB2312" w:hAnsi="仿宋_GB2312" w:eastAsia="仿宋_GB2312" w:cs="仿宋_GB2312"/>
          <w:color w:val="4E4342"/>
          <w:sz w:val="32"/>
          <w:szCs w:val="32"/>
          <w:lang w:val="en-US" w:eastAsia="zh-CN"/>
        </w:rPr>
        <w:t>82.66</w:t>
      </w:r>
      <w:r>
        <w:rPr>
          <w:rFonts w:hint="eastAsia" w:ascii="仿宋_GB2312" w:hAnsi="仿宋_GB2312" w:eastAsia="仿宋_GB2312" w:cs="仿宋_GB2312"/>
          <w:color w:val="4E4342"/>
          <w:sz w:val="32"/>
          <w:szCs w:val="32"/>
        </w:rPr>
        <w:t>万元，占</w:t>
      </w:r>
      <w:r>
        <w:rPr>
          <w:rFonts w:hint="eastAsia" w:ascii="仿宋_GB2312" w:hAnsi="仿宋_GB2312" w:eastAsia="仿宋_GB2312" w:cs="仿宋_GB2312"/>
          <w:color w:val="4E4342"/>
          <w:sz w:val="32"/>
          <w:szCs w:val="32"/>
          <w:lang w:val="en-US" w:eastAsia="zh-CN"/>
        </w:rPr>
        <w:t>5.90</w:t>
      </w:r>
      <w:r>
        <w:rPr>
          <w:rFonts w:hint="eastAsia" w:ascii="仿宋_GB2312" w:hAnsi="仿宋_GB2312" w:eastAsia="仿宋_GB2312" w:cs="仿宋_GB2312"/>
          <w:color w:val="4E4342"/>
          <w:sz w:val="32"/>
          <w:szCs w:val="32"/>
        </w:rPr>
        <w:t>%；住房保障支出</w:t>
      </w:r>
      <w:r>
        <w:rPr>
          <w:rFonts w:hint="eastAsia" w:ascii="仿宋_GB2312" w:hAnsi="仿宋_GB2312" w:eastAsia="仿宋_GB2312" w:cs="仿宋_GB2312"/>
          <w:color w:val="4E4342"/>
          <w:sz w:val="32"/>
          <w:szCs w:val="32"/>
          <w:lang w:val="en-US" w:eastAsia="zh-CN"/>
        </w:rPr>
        <w:t>99.31</w:t>
      </w:r>
      <w:r>
        <w:rPr>
          <w:rFonts w:hint="eastAsia" w:ascii="仿宋_GB2312" w:hAnsi="仿宋_GB2312" w:eastAsia="仿宋_GB2312" w:cs="仿宋_GB2312"/>
          <w:color w:val="4E4342"/>
          <w:sz w:val="32"/>
          <w:szCs w:val="32"/>
        </w:rPr>
        <w:t>万元，占</w:t>
      </w:r>
      <w:r>
        <w:rPr>
          <w:rFonts w:hint="eastAsia" w:ascii="仿宋_GB2312" w:hAnsi="仿宋_GB2312" w:eastAsia="仿宋_GB2312" w:cs="仿宋_GB2312"/>
          <w:color w:val="4E4342"/>
          <w:sz w:val="32"/>
          <w:szCs w:val="32"/>
          <w:lang w:val="en-US" w:eastAsia="zh-CN"/>
        </w:rPr>
        <w:t>7.09</w:t>
      </w:r>
      <w:r>
        <w:rPr>
          <w:rFonts w:hint="eastAsia" w:ascii="仿宋_GB2312" w:hAnsi="仿宋_GB2312" w:eastAsia="仿宋_GB2312" w:cs="仿宋_GB2312"/>
          <w:color w:val="4E4342"/>
          <w:sz w:val="32"/>
          <w:szCs w:val="32"/>
        </w:rPr>
        <w:t xml:space="preserve">%。 </w:t>
      </w:r>
    </w:p>
    <w:p w14:paraId="2CFEF9E3">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六、一般公共预算财政拨款基本支出决算情况说明</w:t>
      </w:r>
    </w:p>
    <w:p w14:paraId="21E5FD58">
      <w:pPr>
        <w:ind w:firstLine="640" w:firstLineChars="200"/>
        <w:rPr>
          <w:rFonts w:hint="eastAsia"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2019年一般公共预算财政拨款基本支出</w:t>
      </w:r>
      <w:r>
        <w:rPr>
          <w:rFonts w:hint="eastAsia" w:ascii="仿宋_GB2312" w:hAnsi="仿宋_GB2312" w:eastAsia="仿宋_GB2312" w:cs="仿宋_GB2312"/>
          <w:color w:val="4E4342"/>
          <w:sz w:val="32"/>
          <w:szCs w:val="32"/>
          <w:lang w:val="en-US" w:eastAsia="zh-CN"/>
        </w:rPr>
        <w:t>1298.23</w:t>
      </w:r>
      <w:r>
        <w:rPr>
          <w:rFonts w:hint="eastAsia" w:ascii="仿宋_GB2312" w:hAnsi="仿宋_GB2312" w:eastAsia="仿宋_GB2312" w:cs="仿宋_GB2312"/>
          <w:color w:val="4E4342"/>
          <w:sz w:val="32"/>
          <w:szCs w:val="32"/>
        </w:rPr>
        <w:t xml:space="preserve">万元，其中：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人员经费</w:t>
      </w:r>
      <w:r>
        <w:rPr>
          <w:rFonts w:hint="eastAsia" w:ascii="仿宋_GB2312" w:hAnsi="仿宋_GB2312" w:eastAsia="仿宋_GB2312" w:cs="仿宋_GB2312"/>
          <w:color w:val="4E4342"/>
          <w:sz w:val="32"/>
          <w:szCs w:val="32"/>
          <w:lang w:val="en-US" w:eastAsia="zh-CN"/>
        </w:rPr>
        <w:t>1146.21</w:t>
      </w:r>
      <w:r>
        <w:rPr>
          <w:rFonts w:hint="eastAsia" w:ascii="仿宋_GB2312" w:hAnsi="仿宋_GB2312" w:eastAsia="仿宋_GB2312" w:cs="仿宋_GB2312"/>
          <w:color w:val="4E434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公用经费</w:t>
      </w:r>
      <w:r>
        <w:rPr>
          <w:rFonts w:hint="eastAsia" w:ascii="仿宋_GB2312" w:hAnsi="仿宋_GB2312" w:eastAsia="仿宋_GB2312" w:cs="仿宋_GB2312"/>
          <w:color w:val="4E4342"/>
          <w:sz w:val="32"/>
          <w:szCs w:val="32"/>
          <w:lang w:val="en-US" w:eastAsia="zh-CN"/>
        </w:rPr>
        <w:t>152.01</w:t>
      </w:r>
      <w:r>
        <w:rPr>
          <w:rFonts w:hint="eastAsia" w:ascii="仿宋_GB2312" w:hAnsi="仿宋_GB2312" w:eastAsia="仿宋_GB2312" w:cs="仿宋_GB2312"/>
          <w:color w:val="4E4342"/>
          <w:sz w:val="32"/>
          <w:szCs w:val="32"/>
        </w:rPr>
        <w:t xml:space="preserve">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 </w:t>
      </w:r>
    </w:p>
    <w:p w14:paraId="10471B42">
      <w:pPr>
        <w:pStyle w:val="16"/>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七、“三公”经费财政拨款支出决算情况说明</w:t>
      </w:r>
    </w:p>
    <w:p w14:paraId="45E3E076">
      <w:pPr>
        <w:rPr>
          <w:rFonts w:hint="eastAsia" w:ascii="仿宋_GB2312" w:hAnsi="仿宋_GB2312" w:eastAsia="仿宋_GB2312" w:cs="仿宋_GB2312"/>
          <w:sz w:val="32"/>
          <w:szCs w:val="32"/>
        </w:rPr>
      </w:pPr>
      <w:r>
        <w:rPr>
          <w:rFonts w:hint="eastAsia" w:ascii="仿宋_GB2312" w:hAnsi="仿宋_GB2312" w:eastAsia="仿宋_GB2312" w:cs="仿宋_GB2312"/>
          <w:color w:val="4E4342"/>
          <w:sz w:val="32"/>
          <w:szCs w:val="32"/>
        </w:rPr>
        <w:t>松潘县人大办2019年度“三公”经费财政拨款支出决算为</w:t>
      </w:r>
      <w:r>
        <w:rPr>
          <w:rFonts w:hint="eastAsia" w:ascii="仿宋_GB2312" w:hAnsi="仿宋_GB2312" w:eastAsia="仿宋_GB2312" w:cs="仿宋_GB2312"/>
          <w:color w:val="4E4342"/>
          <w:sz w:val="32"/>
          <w:szCs w:val="32"/>
          <w:lang w:val="en-US" w:eastAsia="zh-CN"/>
        </w:rPr>
        <w:t>36.18</w:t>
      </w:r>
      <w:r>
        <w:rPr>
          <w:rFonts w:hint="eastAsia" w:ascii="仿宋_GB2312" w:hAnsi="仿宋_GB2312" w:eastAsia="仿宋_GB2312" w:cs="仿宋_GB2312"/>
          <w:color w:val="4E4342"/>
          <w:sz w:val="32"/>
          <w:szCs w:val="32"/>
        </w:rPr>
        <w:t>万元，完成预算100%，其中：因公出国（境）费支出决算为0万元；公务用车购置及运行维护费支出决算为</w:t>
      </w:r>
      <w:r>
        <w:rPr>
          <w:rFonts w:hint="eastAsia" w:ascii="仿宋_GB2312" w:hAnsi="仿宋_GB2312" w:eastAsia="仿宋_GB2312" w:cs="仿宋_GB2312"/>
          <w:color w:val="4E4342"/>
          <w:sz w:val="32"/>
          <w:szCs w:val="32"/>
          <w:lang w:val="en-US" w:eastAsia="zh-CN"/>
        </w:rPr>
        <w:t>35.74</w:t>
      </w:r>
      <w:r>
        <w:rPr>
          <w:rFonts w:hint="eastAsia" w:ascii="仿宋_GB2312" w:hAnsi="仿宋_GB2312" w:eastAsia="仿宋_GB2312" w:cs="仿宋_GB2312"/>
          <w:color w:val="4E4342"/>
          <w:sz w:val="32"/>
          <w:szCs w:val="32"/>
        </w:rPr>
        <w:t>万元，完成预算100%；公务接待费支出决算为</w:t>
      </w:r>
      <w:r>
        <w:rPr>
          <w:rFonts w:hint="eastAsia" w:ascii="仿宋_GB2312" w:hAnsi="仿宋_GB2312" w:eastAsia="仿宋_GB2312" w:cs="仿宋_GB2312"/>
          <w:color w:val="4E4342"/>
          <w:sz w:val="32"/>
          <w:szCs w:val="32"/>
          <w:lang w:val="en-US" w:eastAsia="zh-CN"/>
        </w:rPr>
        <w:t>0.44</w:t>
      </w:r>
      <w:r>
        <w:rPr>
          <w:rFonts w:hint="eastAsia" w:ascii="仿宋_GB2312" w:hAnsi="仿宋_GB2312" w:eastAsia="仿宋_GB2312" w:cs="仿宋_GB2312"/>
          <w:color w:val="4E4342"/>
          <w:sz w:val="32"/>
          <w:szCs w:val="32"/>
        </w:rPr>
        <w:t xml:space="preserve">万元，完成预算100%。2019年度“三公”经费支出决算数与预算数持平的主要原因是严格按照中央八项规定和行政单位会计制度执行。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2019年度“三公”经费财政拨款支出决算数，其中：因公出国（境）费支出决算增加/减少0万元，增长/下降0%；公务接待费支出决算减少</w:t>
      </w:r>
      <w:r>
        <w:rPr>
          <w:rFonts w:hint="eastAsia" w:ascii="仿宋_GB2312" w:hAnsi="仿宋_GB2312" w:eastAsia="仿宋_GB2312" w:cs="仿宋_GB2312"/>
          <w:color w:val="4E4342"/>
          <w:sz w:val="32"/>
          <w:szCs w:val="32"/>
          <w:lang w:val="en-US" w:eastAsia="zh-CN"/>
        </w:rPr>
        <w:t>0.45</w:t>
      </w:r>
      <w:r>
        <w:rPr>
          <w:rFonts w:hint="eastAsia" w:ascii="仿宋_GB2312" w:hAnsi="仿宋_GB2312" w:eastAsia="仿宋_GB2312" w:cs="仿宋_GB2312"/>
          <w:color w:val="4E4342"/>
          <w:sz w:val="32"/>
          <w:szCs w:val="32"/>
        </w:rPr>
        <w:t>万元，减少</w:t>
      </w:r>
      <w:r>
        <w:rPr>
          <w:rFonts w:hint="eastAsia" w:ascii="仿宋_GB2312" w:hAnsi="仿宋_GB2312" w:eastAsia="仿宋_GB2312" w:cs="仿宋_GB2312"/>
          <w:color w:val="4E4342"/>
          <w:sz w:val="32"/>
          <w:szCs w:val="32"/>
          <w:lang w:val="en-US" w:eastAsia="zh-CN"/>
        </w:rPr>
        <w:t>50.69</w:t>
      </w:r>
      <w:r>
        <w:rPr>
          <w:rFonts w:hint="eastAsia" w:ascii="仿宋_GB2312" w:hAnsi="仿宋_GB2312" w:eastAsia="仿宋_GB2312" w:cs="仿宋_GB2312"/>
          <w:color w:val="4E4342"/>
          <w:sz w:val="32"/>
          <w:szCs w:val="32"/>
        </w:rPr>
        <w:t xml:space="preserve">%。减少原因是严格按照中央八项规定。 </w:t>
      </w:r>
      <w:r>
        <w:rPr>
          <w:rFonts w:hint="eastAsia" w:ascii="仿宋_GB2312" w:hAnsi="仿宋_GB2312" w:eastAsia="仿宋_GB2312" w:cs="仿宋_GB2312"/>
          <w:color w:val="4E4342"/>
          <w:sz w:val="32"/>
          <w:szCs w:val="32"/>
        </w:rPr>
        <w:br w:type="textWrapping"/>
      </w:r>
    </w:p>
    <w:p w14:paraId="1314467C">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八、政府性基金预算支出决算情况说明</w:t>
      </w:r>
    </w:p>
    <w:p w14:paraId="4CA262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无</w:t>
      </w:r>
    </w:p>
    <w:p w14:paraId="5D77F0D3">
      <w:pPr>
        <w:pStyle w:val="16"/>
        <w:adjustRightInd w:val="0"/>
        <w:snapToGrid w:val="0"/>
        <w:spacing w:line="440" w:lineRule="exact"/>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九、国有资本经营预算支出决算情况说明</w:t>
      </w:r>
    </w:p>
    <w:p w14:paraId="4F494B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无</w:t>
      </w:r>
    </w:p>
    <w:p w14:paraId="35560BD2">
      <w:pPr>
        <w:numPr>
          <w:ilvl w:val="0"/>
          <w:numId w:val="1"/>
        </w:numPr>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p>
    <w:p w14:paraId="2882C53D">
      <w:pPr>
        <w:numPr>
          <w:ilvl w:val="0"/>
          <w:numId w:val="0"/>
        </w:numPr>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无</w:t>
      </w:r>
    </w:p>
    <w:p w14:paraId="2BE0FC71">
      <w:pPr>
        <w:pStyle w:val="15"/>
        <w:adjustRightInd w:val="0"/>
        <w:snapToGrid w:val="0"/>
        <w:spacing w:before="0" w:line="440" w:lineRule="exact"/>
        <w:jc w:val="left"/>
        <w:rPr>
          <w:rFonts w:hint="eastAsia" w:ascii="仿宋_GB2312" w:hAnsi="仿宋_GB2312" w:eastAsia="仿宋_GB2312" w:cs="仿宋_GB2312"/>
          <w:b/>
          <w:bCs/>
          <w:sz w:val="32"/>
          <w:szCs w:val="32"/>
        </w:rPr>
      </w:pPr>
    </w:p>
    <w:p w14:paraId="5EF5EABB">
      <w:pPr>
        <w:pStyle w:val="15"/>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第三部分名词解释</w:t>
      </w:r>
    </w:p>
    <w:p w14:paraId="28CA216B">
      <w:pPr>
        <w:rPr>
          <w:rFonts w:hint="eastAsia" w:ascii="仿宋_GB2312" w:hAnsi="仿宋_GB2312" w:eastAsia="仿宋_GB2312" w:cs="仿宋_GB2312"/>
          <w:color w:val="4E4342"/>
          <w:sz w:val="32"/>
          <w:szCs w:val="32"/>
          <w:lang w:eastAsia="zh-CN"/>
        </w:rPr>
      </w:pP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color w:val="4E4342"/>
          <w:sz w:val="32"/>
          <w:szCs w:val="32"/>
          <w:lang w:eastAsia="zh-CN"/>
        </w:rPr>
        <w:t>　</w:t>
      </w:r>
    </w:p>
    <w:p w14:paraId="5990FC6C">
      <w:pPr>
        <w:rPr>
          <w:rFonts w:hint="eastAsia"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1.财政拨款收入：指县级财政当年拨付的资金。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2.年初结转和结余：指以前年度尚未完成、结转到本年按有关规定继续使用的资金。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3.一般公共服务（类）201（款）01（项）01：指行政运行。（类）201（款）01（项）04：指人大会议。（类）201（款）01（项）08：指代表工作。</w:t>
      </w:r>
    </w:p>
    <w:p w14:paraId="2EF2CAE3">
      <w:pPr>
        <w:rPr>
          <w:rFonts w:hint="eastAsia" w:ascii="仿宋_GB2312" w:hAnsi="仿宋_GB2312" w:eastAsia="仿宋_GB2312" w:cs="仿宋_GB2312"/>
          <w:sz w:val="32"/>
          <w:szCs w:val="32"/>
        </w:rPr>
      </w:pP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4.社会保障和就业（类）208（款）05（项）05：指机关事业单位基本养老保险。（类）208（款）08（项）01：指死亡抚恤。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5.医疗卫生与计划生育（类）210（款）05（项）01：指行政单位医疗。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6.商业服务（类）216（款）05（项）99：指其他旅游业管理与服务支出。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7.住房保障（类）221（款）02（项）01：指住房公积金。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8.年末结转和结余：指本年度或以前年度预算安排、因客观条件发生变化无法按原计划实施，需延迟到以后年度按有关规定继续使用的资金。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9.基本支出：指为保障机构正常运转、完成日常工作任务而发生的人员支出和公用支出。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10.项目支出：指在基本支出之外为完成特定行政任务和事业发展目标所发生的支出。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lang w:eastAsia="zh-CN"/>
        </w:rPr>
        <w:t>　　</w:t>
      </w:r>
      <w:r>
        <w:rPr>
          <w:rFonts w:hint="eastAsia" w:ascii="仿宋_GB2312" w:hAnsi="仿宋_GB2312" w:eastAsia="仿宋_GB2312" w:cs="仿宋_GB2312"/>
          <w:color w:val="4E4342"/>
          <w:sz w:val="32"/>
          <w:szCs w:val="32"/>
        </w:rPr>
        <w:t xml:space="preserve">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660DFD1C">
      <w:pPr>
        <w:pStyle w:val="15"/>
        <w:adjustRightInd w:val="0"/>
        <w:snapToGrid w:val="0"/>
        <w:spacing w:before="0" w:line="440" w:lineRule="exact"/>
        <w:jc w:val="left"/>
        <w:rPr>
          <w:rFonts w:hint="eastAsia" w:ascii="仿宋_GB2312" w:hAnsi="仿宋_GB2312" w:eastAsia="仿宋_GB2312" w:cs="仿宋_GB2312"/>
          <w:color w:val="000000"/>
          <w:sz w:val="32"/>
          <w:szCs w:val="32"/>
        </w:rPr>
      </w:pPr>
    </w:p>
    <w:p w14:paraId="59B7AB77">
      <w:pPr>
        <w:rPr>
          <w:rFonts w:hint="eastAsia" w:ascii="仿宋_GB2312" w:hAnsi="仿宋_GB2312" w:eastAsia="仿宋_GB2312" w:cs="仿宋_GB2312"/>
          <w:color w:val="000000"/>
          <w:sz w:val="32"/>
          <w:szCs w:val="32"/>
        </w:rPr>
      </w:pPr>
    </w:p>
    <w:p w14:paraId="3743031B">
      <w:pPr>
        <w:pStyle w:val="9"/>
        <w:rPr>
          <w:rFonts w:hint="eastAsia" w:ascii="仿宋_GB2312" w:hAnsi="仿宋_GB2312" w:eastAsia="仿宋_GB2312" w:cs="仿宋_GB2312"/>
          <w:color w:val="000000"/>
          <w:sz w:val="32"/>
          <w:szCs w:val="32"/>
        </w:rPr>
      </w:pPr>
    </w:p>
    <w:p w14:paraId="1EAD1531">
      <w:pPr>
        <w:rPr>
          <w:rFonts w:hint="eastAsia"/>
        </w:rPr>
      </w:pPr>
    </w:p>
    <w:p w14:paraId="53D4BA05">
      <w:pPr>
        <w:pStyle w:val="15"/>
        <w:numPr>
          <w:ilvl w:val="0"/>
          <w:numId w:val="0"/>
        </w:numPr>
        <w:adjustRightInd w:val="0"/>
        <w:snapToGrid w:val="0"/>
        <w:spacing w:before="0" w:line="440" w:lineRule="exact"/>
        <w:jc w:val="left"/>
        <w:rPr>
          <w:rStyle w:val="38"/>
          <w:rFonts w:hint="eastAsia" w:ascii="仿宋_GB2312" w:hAnsi="仿宋_GB2312" w:eastAsia="仿宋_GB2312" w:cs="仿宋_GB2312"/>
          <w:b w:val="0"/>
          <w:sz w:val="32"/>
          <w:szCs w:val="32"/>
        </w:rPr>
      </w:pPr>
      <w:r>
        <w:rPr>
          <w:rStyle w:val="38"/>
          <w:rFonts w:hint="eastAsia" w:ascii="仿宋_GB2312" w:hAnsi="仿宋_GB2312" w:eastAsia="仿宋_GB2312" w:cs="仿宋_GB2312"/>
          <w:b w:val="0"/>
          <w:sz w:val="32"/>
          <w:szCs w:val="32"/>
          <w:lang w:eastAsia="zh-CN"/>
        </w:rPr>
        <w:t>第四部分　</w:t>
      </w:r>
      <w:r>
        <w:rPr>
          <w:rStyle w:val="38"/>
          <w:rFonts w:hint="eastAsia" w:ascii="仿宋_GB2312" w:hAnsi="仿宋_GB2312" w:eastAsia="仿宋_GB2312" w:cs="仿宋_GB2312"/>
          <w:b w:val="0"/>
          <w:sz w:val="32"/>
          <w:szCs w:val="32"/>
        </w:rPr>
        <w:t>附件</w:t>
      </w:r>
    </w:p>
    <w:p w14:paraId="51317358">
      <w:pPr>
        <w:numPr>
          <w:ilvl w:val="0"/>
          <w:numId w:val="0"/>
        </w:numPr>
        <w:rPr>
          <w:rFonts w:hint="eastAsia"/>
        </w:rPr>
      </w:pPr>
    </w:p>
    <w:p w14:paraId="2DBE12D9">
      <w:pPr>
        <w:keepNext w:val="0"/>
        <w:keepLines w:val="0"/>
        <w:pageBreakBefore w:val="0"/>
        <w:widowControl/>
        <w:kinsoku/>
        <w:wordWrap/>
        <w:overflowPunct/>
        <w:topLinePunct w:val="0"/>
        <w:autoSpaceDE/>
        <w:autoSpaceDN/>
        <w:bidi w:val="0"/>
        <w:spacing w:line="578" w:lineRule="exact"/>
        <w:ind w:left="0" w:leftChars="0" w:firstLine="0" w:firstLineChars="0"/>
        <w:jc w:val="center"/>
        <w:rPr>
          <w:rFonts w:hint="eastAsia" w:ascii="方正小标宋简体" w:hAnsi="宋体" w:eastAsia="方正小标宋简体"/>
          <w:color w:val="auto"/>
          <w:sz w:val="44"/>
          <w:szCs w:val="44"/>
          <w:lang w:val="en-US" w:eastAsia="zh-CN"/>
        </w:rPr>
      </w:pPr>
      <w:r>
        <w:rPr>
          <w:rFonts w:hint="eastAsia" w:ascii="方正小标宋简体" w:hAnsi="宋体" w:eastAsia="方正小标宋简体"/>
          <w:color w:val="auto"/>
          <w:sz w:val="44"/>
          <w:szCs w:val="44"/>
          <w:lang w:val="en-US" w:eastAsia="zh-CN"/>
        </w:rPr>
        <w:t>松潘县市场监督管理局</w:t>
      </w:r>
    </w:p>
    <w:p w14:paraId="6D8E60E4">
      <w:pPr>
        <w:keepNext w:val="0"/>
        <w:keepLines w:val="0"/>
        <w:pageBreakBefore w:val="0"/>
        <w:widowControl/>
        <w:kinsoku/>
        <w:wordWrap/>
        <w:overflowPunct/>
        <w:topLinePunct w:val="0"/>
        <w:autoSpaceDE/>
        <w:autoSpaceDN/>
        <w:bidi w:val="0"/>
        <w:spacing w:line="578" w:lineRule="exact"/>
        <w:ind w:left="0" w:leftChars="0" w:firstLine="0" w:firstLineChars="0"/>
        <w:jc w:val="center"/>
        <w:rPr>
          <w:rFonts w:hint="eastAsia" w:ascii="方正小标宋简体" w:hAnsi="宋体" w:eastAsia="方正小标宋简体"/>
          <w:color w:val="auto"/>
          <w:sz w:val="44"/>
          <w:szCs w:val="44"/>
        </w:rPr>
      </w:pPr>
      <w:r>
        <w:rPr>
          <w:rFonts w:ascii="方正小标宋简体" w:hAnsi="宋体" w:eastAsia="方正小标宋简体"/>
          <w:color w:val="auto"/>
          <w:sz w:val="44"/>
          <w:szCs w:val="44"/>
        </w:rPr>
        <w:t>20</w:t>
      </w:r>
      <w:r>
        <w:rPr>
          <w:rFonts w:hint="eastAsia" w:ascii="方正小标宋简体" w:hAnsi="宋体" w:eastAsia="方正小标宋简体"/>
          <w:color w:val="auto"/>
          <w:sz w:val="44"/>
          <w:szCs w:val="44"/>
          <w:lang w:val="en-US" w:eastAsia="zh-CN"/>
        </w:rPr>
        <w:t>19年</w:t>
      </w:r>
      <w:r>
        <w:rPr>
          <w:rFonts w:hint="eastAsia" w:ascii="方正小标宋简体" w:hAnsi="宋体" w:eastAsia="方正小标宋简体"/>
          <w:color w:val="auto"/>
          <w:sz w:val="44"/>
          <w:szCs w:val="44"/>
        </w:rPr>
        <w:t>部门整体支出</w:t>
      </w:r>
    </w:p>
    <w:p w14:paraId="184BC238">
      <w:pPr>
        <w:keepNext w:val="0"/>
        <w:keepLines w:val="0"/>
        <w:pageBreakBefore w:val="0"/>
        <w:widowControl/>
        <w:kinsoku/>
        <w:wordWrap/>
        <w:overflowPunct/>
        <w:topLinePunct w:val="0"/>
        <w:autoSpaceDE/>
        <w:autoSpaceDN/>
        <w:bidi w:val="0"/>
        <w:spacing w:line="578" w:lineRule="exact"/>
        <w:ind w:left="0" w:leftChars="0" w:firstLine="0" w:firstLineChars="0"/>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rPr>
        <w:t>绩效报告</w:t>
      </w:r>
    </w:p>
    <w:p w14:paraId="06C82A35">
      <w:pPr>
        <w:keepNext w:val="0"/>
        <w:keepLines w:val="0"/>
        <w:pageBreakBefore w:val="0"/>
        <w:widowControl/>
        <w:kinsoku/>
        <w:wordWrap/>
        <w:overflowPunct/>
        <w:topLinePunct w:val="0"/>
        <w:autoSpaceDE/>
        <w:autoSpaceDN/>
        <w:bidi w:val="0"/>
        <w:adjustRightInd w:val="0"/>
        <w:snapToGrid w:val="0"/>
        <w:spacing w:line="578" w:lineRule="exact"/>
        <w:jc w:val="left"/>
        <w:rPr>
          <w:rFonts w:hint="eastAsia" w:ascii="黑体" w:hAnsi="宋体" w:eastAsia="黑体" w:cs="宋体"/>
          <w:color w:val="auto"/>
          <w:kern w:val="0"/>
          <w:sz w:val="32"/>
          <w:szCs w:val="32"/>
        </w:rPr>
      </w:pPr>
    </w:p>
    <w:p w14:paraId="60EFF201">
      <w:pPr>
        <w:keepNext w:val="0"/>
        <w:keepLines w:val="0"/>
        <w:pageBreakBefore w:val="0"/>
        <w:widowControl/>
        <w:kinsoku/>
        <w:wordWrap/>
        <w:overflowPunct/>
        <w:topLinePunct w:val="0"/>
        <w:autoSpaceDE/>
        <w:autoSpaceDN/>
        <w:bidi w:val="0"/>
        <w:adjustRightInd w:val="0"/>
        <w:snapToGrid w:val="0"/>
        <w:spacing w:line="578" w:lineRule="exact"/>
        <w:jc w:val="left"/>
        <w:rPr>
          <w:rFonts w:hint="eastAsia" w:ascii="黑体" w:eastAsia="黑体"/>
          <w:sz w:val="32"/>
          <w:szCs w:val="32"/>
        </w:rPr>
      </w:pPr>
      <w:r>
        <w:rPr>
          <w:rFonts w:hint="eastAsia" w:ascii="黑体" w:hAnsi="宋体" w:eastAsia="黑体" w:cs="宋体"/>
          <w:color w:val="auto"/>
          <w:kern w:val="0"/>
          <w:sz w:val="32"/>
          <w:szCs w:val="32"/>
        </w:rPr>
        <w:t>一、</w:t>
      </w:r>
      <w:r>
        <w:rPr>
          <w:rFonts w:hint="eastAsia" w:ascii="黑体" w:hAnsi="宋体" w:eastAsia="黑体" w:cs="宋体"/>
          <w:color w:val="auto"/>
          <w:kern w:val="0"/>
          <w:sz w:val="32"/>
          <w:szCs w:val="32"/>
          <w:lang w:val="zh-CN"/>
        </w:rPr>
        <w:t>单位概况</w:t>
      </w:r>
    </w:p>
    <w:p w14:paraId="4A7F8A2B">
      <w:pPr>
        <w:snapToGrid w:val="0"/>
        <w:spacing w:line="520" w:lineRule="exact"/>
        <w:ind w:left="640" w:firstLine="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一）主要职能。</w:t>
      </w:r>
    </w:p>
    <w:p w14:paraId="348802C4">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w:t>
      </w:r>
      <w:r>
        <w:rPr>
          <w:rFonts w:hint="eastAsia" w:ascii="仿宋_GB2312" w:eastAsia="仿宋_GB2312" w:cs="仿宋_GB2312"/>
          <w:color w:val="000000"/>
          <w:sz w:val="32"/>
          <w:szCs w:val="32"/>
          <w:lang w:bidi="ar-SA"/>
        </w:rPr>
        <w:t>负责市场综合监督管理工作。</w:t>
      </w:r>
      <w:r>
        <w:rPr>
          <w:rFonts w:hint="eastAsia" w:ascii="仿宋_GB2312" w:eastAsia="仿宋_GB2312" w:cs="仿宋_GB2312"/>
          <w:color w:val="000000"/>
          <w:kern w:val="0"/>
          <w:sz w:val="32"/>
          <w:szCs w:val="32"/>
          <w:lang w:bidi="ar-SA"/>
        </w:rPr>
        <w:t>贯彻执行国家、省、市关于市场监督管理的方针政策和</w:t>
      </w:r>
      <w:r>
        <w:rPr>
          <w:rFonts w:hint="eastAsia" w:ascii="仿宋_GB2312" w:eastAsia="仿宋_GB2312" w:cs="仿宋_GB2312"/>
          <w:color w:val="000000"/>
          <w:kern w:val="0"/>
          <w:sz w:val="32"/>
          <w:szCs w:val="32"/>
          <w:lang w:eastAsia="zh-CN" w:bidi="ar-SA"/>
        </w:rPr>
        <w:t>法律法规</w:t>
      </w:r>
      <w:r>
        <w:rPr>
          <w:rFonts w:hint="eastAsia" w:ascii="仿宋_GB2312" w:eastAsia="仿宋_GB2312" w:cs="仿宋_GB2312"/>
          <w:color w:val="000000"/>
          <w:kern w:val="0"/>
          <w:sz w:val="32"/>
          <w:szCs w:val="32"/>
          <w:lang w:bidi="ar-SA"/>
        </w:rPr>
        <w:t>、规章，起草有关规范性文件。组织实施质量强县、食品安全、标准化和知识产权战略，组织实施食品安全等规划，规范和维护市场秩序，营造诚实守信、公平竞争的市场环境。</w:t>
      </w:r>
      <w:r>
        <w:rPr>
          <w:rFonts w:hint="eastAsia" w:ascii="仿宋_GB2312" w:eastAsia="仿宋_GB2312" w:cs="仿宋_GB2312"/>
          <w:color w:val="000000"/>
          <w:sz w:val="32"/>
          <w:szCs w:val="32"/>
          <w:lang w:bidi="ar-SA"/>
        </w:rPr>
        <w:t xml:space="preserve"> </w:t>
      </w:r>
    </w:p>
    <w:p w14:paraId="7D4D21F2">
      <w:pPr>
        <w:autoSpaceDE w:val="0"/>
        <w:autoSpaceDN w:val="0"/>
        <w:adjustRightInd w:val="0"/>
        <w:spacing w:line="600" w:lineRule="atLeas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2.</w:t>
      </w:r>
      <w:r>
        <w:rPr>
          <w:rFonts w:hint="eastAsia" w:ascii="仿宋_GB2312" w:eastAsia="仿宋_GB2312" w:cs="仿宋_GB2312"/>
          <w:color w:val="000000"/>
          <w:sz w:val="32"/>
          <w:szCs w:val="32"/>
          <w:lang w:bidi="ar-SA"/>
        </w:rPr>
        <w:t>负责组织实施市场监督管理综合执法工作。推动实行统一的市场监管综合执法。规范市场监督管理行政执法行为。</w:t>
      </w:r>
    </w:p>
    <w:p w14:paraId="7DE9BC61">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3.</w:t>
      </w:r>
      <w:r>
        <w:rPr>
          <w:rFonts w:hint="eastAsia" w:ascii="仿宋_GB2312" w:eastAsia="仿宋_GB2312" w:cs="仿宋_GB2312"/>
          <w:color w:val="000000"/>
          <w:sz w:val="32"/>
          <w:szCs w:val="32"/>
          <w:lang w:bidi="ar-SA"/>
        </w:rPr>
        <w:t>负责反垄断相关工作。统筹推进竞争政策实施，指导实施公平竞争审查制度。配合省、州市场监管局做好垄断协议、滥用市场支配地位和滥用行政权力排除、限制竞争、经营者集中等反垄断相关工作。</w:t>
      </w:r>
    </w:p>
    <w:p w14:paraId="72EF287F">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4.</w:t>
      </w:r>
      <w:r>
        <w:rPr>
          <w:rFonts w:hint="eastAsia" w:ascii="仿宋_GB2312" w:eastAsia="仿宋_GB2312" w:cs="仿宋_GB2312"/>
          <w:color w:val="000000"/>
          <w:sz w:val="32"/>
          <w:szCs w:val="32"/>
          <w:lang w:bidi="ar-SA"/>
        </w:rPr>
        <w:t>负责监督管理市场秩序。依法监督管理市场交易、网络商品交易及有关服务的行为。依法查处价格收费违法违规、不正当竞争、违法直销、传销、制售假冒伪劣产品行为。指导广告业发展</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监督管理广告活动。依法查处无照生产经营和相关无证生产经营行为。指导县消</w:t>
      </w:r>
      <w:r>
        <w:rPr>
          <w:rFonts w:hint="eastAsia" w:ascii="仿宋_GB2312" w:eastAsia="仿宋_GB2312" w:cs="仿宋_GB2312"/>
          <w:color w:val="000000"/>
          <w:sz w:val="32"/>
          <w:szCs w:val="32"/>
          <w:lang w:eastAsia="zh-CN" w:bidi="ar-SA"/>
        </w:rPr>
        <w:t>委会管理服务中心</w:t>
      </w:r>
      <w:r>
        <w:rPr>
          <w:rFonts w:hint="eastAsia" w:ascii="仿宋_GB2312" w:eastAsia="仿宋_GB2312" w:cs="仿宋_GB2312"/>
          <w:color w:val="000000"/>
          <w:sz w:val="32"/>
          <w:szCs w:val="32"/>
          <w:lang w:bidi="ar-SA"/>
        </w:rPr>
        <w:t>开展消费维权工作。</w:t>
      </w:r>
    </w:p>
    <w:p w14:paraId="3E68F01A">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5.</w:t>
      </w:r>
      <w:r>
        <w:rPr>
          <w:rFonts w:hint="eastAsia" w:ascii="仿宋_GB2312" w:eastAsia="仿宋_GB2312" w:cs="仿宋_GB2312"/>
          <w:color w:val="000000"/>
          <w:sz w:val="32"/>
          <w:szCs w:val="32"/>
          <w:lang w:bidi="ar-SA"/>
        </w:rPr>
        <w:t>负责服务新经济发展。促进新经济、民营经济发展和社会企业培育发展。指导推动社会企业参与城乡社区治理和发展。在县委组织部指导下，配合党委组织部门开展小微、个体工商户、专业市场的党建工作。</w:t>
      </w:r>
    </w:p>
    <w:p w14:paraId="55F2DD40">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6.</w:t>
      </w:r>
      <w:r>
        <w:rPr>
          <w:rFonts w:hint="eastAsia" w:ascii="仿宋_GB2312" w:eastAsia="仿宋_GB2312" w:cs="仿宋_GB2312"/>
          <w:color w:val="000000"/>
          <w:sz w:val="32"/>
          <w:szCs w:val="32"/>
          <w:lang w:bidi="ar-SA"/>
        </w:rPr>
        <w:t>负责宏观质量管理。拟定并组织实施质量发展的制度措施。会同有关部门组织实施重大工程设备质量监理制度。协助上级开展重大产品质量事故调查工作，贯彻实施缺陷产品召回制度，监督管理产品防伪工作。</w:t>
      </w:r>
    </w:p>
    <w:p w14:paraId="2C7B5B38">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7.</w:t>
      </w:r>
      <w:r>
        <w:rPr>
          <w:rFonts w:hint="eastAsia" w:ascii="仿宋_GB2312" w:eastAsia="仿宋_GB2312" w:cs="仿宋_GB2312"/>
          <w:color w:val="000000"/>
          <w:sz w:val="32"/>
          <w:szCs w:val="32"/>
          <w:lang w:bidi="ar-SA"/>
        </w:rPr>
        <w:t>负责产品质量安全监督管理。负责产品质量监督抽查和风险监控工作，组织实施质量分级制度、质量安全追溯制度。</w:t>
      </w:r>
    </w:p>
    <w:p w14:paraId="699AC14E">
      <w:pPr>
        <w:spacing w:line="560" w:lineRule="exact"/>
        <w:ind w:firstLine="640" w:firstLineChars="200"/>
        <w:rPr>
          <w:rFonts w:hint="eastAsia" w:ascii="仿宋_GB2312" w:eastAsia="仿宋_GB2312" w:cs="仿宋_GB2312"/>
          <w:color w:val="000000"/>
          <w:sz w:val="32"/>
          <w:szCs w:val="32"/>
          <w:u w:val="none"/>
          <w:lang w:bidi="ar-SA"/>
        </w:rPr>
      </w:pPr>
      <w:r>
        <w:rPr>
          <w:rFonts w:hint="eastAsia" w:ascii="仿宋_GB2312" w:eastAsia="仿宋_GB2312" w:cs="仿宋_GB2312"/>
          <w:color w:val="000000"/>
          <w:sz w:val="32"/>
          <w:szCs w:val="32"/>
          <w:lang w:eastAsia="zh-CN" w:bidi="ar-SA"/>
        </w:rPr>
        <w:t>8.</w:t>
      </w:r>
      <w:r>
        <w:rPr>
          <w:rFonts w:hint="eastAsia" w:ascii="仿宋_GB2312" w:eastAsia="仿宋_GB2312" w:cs="仿宋_GB2312"/>
          <w:color w:val="000000"/>
          <w:sz w:val="32"/>
          <w:szCs w:val="32"/>
          <w:lang w:bidi="ar-SA"/>
        </w:rPr>
        <w:t>负责特种设备安全监督管理。综合管理特种设备安全监察、监督工作</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监督检查高耗能特</w:t>
      </w:r>
      <w:r>
        <w:rPr>
          <w:rFonts w:hint="eastAsia" w:ascii="仿宋_GB2312" w:eastAsia="仿宋_GB2312" w:cs="仿宋_GB2312"/>
          <w:color w:val="000000"/>
          <w:sz w:val="32"/>
          <w:szCs w:val="32"/>
          <w:u w:val="none"/>
          <w:lang w:bidi="ar-SA"/>
        </w:rPr>
        <w:t>种设备节能标准和锅炉产品环境保护标准的执行情况。</w:t>
      </w:r>
    </w:p>
    <w:p w14:paraId="20117AC7">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9.</w:t>
      </w:r>
      <w:r>
        <w:rPr>
          <w:rFonts w:hint="eastAsia" w:ascii="仿宋_GB2312" w:eastAsia="仿宋_GB2312" w:cs="仿宋_GB2312"/>
          <w:color w:val="000000"/>
          <w:sz w:val="32"/>
          <w:szCs w:val="32"/>
          <w:lang w:bidi="ar-SA"/>
        </w:rPr>
        <w:t>负责食品安全监督管理综合协调。统筹指导全县食品安全工作。负责食品安全应急体系建设</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组织指导重大食品安全事件应急处置和调查处理工作。建立健全食品安全重要信息直报制度。承担县食品安全委员会日常工作。</w:t>
      </w:r>
    </w:p>
    <w:p w14:paraId="72F2502D">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10.</w:t>
      </w:r>
      <w:r>
        <w:rPr>
          <w:rFonts w:hint="eastAsia" w:ascii="仿宋_GB2312" w:eastAsia="仿宋_GB2312" w:cs="仿宋_GB2312"/>
          <w:color w:val="000000"/>
          <w:sz w:val="32"/>
          <w:szCs w:val="32"/>
          <w:lang w:bidi="ar-SA"/>
        </w:rPr>
        <w:t>负责食品安全监督管理。建立覆盖食品生产、流通、消费全过程的监督检查制度和隐患排查治理机制并组织实施，防范区域性、系统性食品安全风险。推动建立食品生产经营者落实主体责任机制</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健全食品安全追溯体系。组织开展食品安全监督抽检、风险监测、核查处置和风险预警、风险交流工作。</w:t>
      </w:r>
    </w:p>
    <w:p w14:paraId="5D27D914">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11.</w:t>
      </w:r>
      <w:r>
        <w:rPr>
          <w:rFonts w:hint="eastAsia" w:ascii="仿宋_GB2312" w:eastAsia="仿宋_GB2312" w:cs="仿宋_GB2312"/>
          <w:color w:val="000000"/>
          <w:sz w:val="32"/>
          <w:szCs w:val="32"/>
          <w:lang w:bidi="ar-SA"/>
        </w:rPr>
        <w:t>负责药品、医疗器械和化妆品安全监督管理。依职权负责药品、医疗器械和化妆品的监管和执法工作。</w:t>
      </w:r>
    </w:p>
    <w:p w14:paraId="7C9FEADA">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12.</w:t>
      </w:r>
      <w:r>
        <w:rPr>
          <w:rFonts w:hint="eastAsia" w:ascii="仿宋_GB2312" w:eastAsia="仿宋_GB2312" w:cs="仿宋_GB2312"/>
          <w:color w:val="000000"/>
          <w:sz w:val="32"/>
          <w:szCs w:val="32"/>
          <w:lang w:bidi="ar-SA"/>
        </w:rPr>
        <w:t>负责统一管理计量工作。监督执行法定计量单位和国家计量制度</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管理计量器具及量值传递和比对工作。规范、监督商品量和计量行为。</w:t>
      </w:r>
    </w:p>
    <w:p w14:paraId="49E1ABAC">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13.</w:t>
      </w:r>
      <w:r>
        <w:rPr>
          <w:rFonts w:hint="eastAsia" w:ascii="仿宋_GB2312" w:eastAsia="仿宋_GB2312" w:cs="仿宋_GB2312"/>
          <w:color w:val="000000"/>
          <w:sz w:val="32"/>
          <w:szCs w:val="32"/>
          <w:lang w:bidi="ar-SA"/>
        </w:rPr>
        <w:t>负责统一管理标准化工作。组织实施标准化战略；依法对标准制定和实施情况开展监督。</w:t>
      </w:r>
    </w:p>
    <w:p w14:paraId="62933DA7">
      <w:pPr>
        <w:spacing w:line="576" w:lineRule="exact"/>
        <w:ind w:right="23" w:rightChars="11"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14.</w:t>
      </w:r>
      <w:r>
        <w:rPr>
          <w:rFonts w:hint="eastAsia" w:ascii="仿宋_GB2312" w:eastAsia="仿宋_GB2312" w:cs="仿宋_GB2312"/>
          <w:color w:val="000000"/>
          <w:sz w:val="32"/>
          <w:szCs w:val="32"/>
          <w:lang w:bidi="ar-SA"/>
        </w:rPr>
        <w:t>负责统一管理全县检验检测工作。规范检验检测市场，完善检验检测体系，指导协调检验检测行业发展。</w:t>
      </w:r>
    </w:p>
    <w:p w14:paraId="437C523D">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15.</w:t>
      </w:r>
      <w:r>
        <w:rPr>
          <w:rFonts w:hint="eastAsia" w:ascii="仿宋_GB2312" w:eastAsia="仿宋_GB2312" w:cs="仿宋_GB2312"/>
          <w:color w:val="000000"/>
          <w:sz w:val="32"/>
          <w:szCs w:val="32"/>
          <w:lang w:bidi="ar-SA"/>
        </w:rPr>
        <w:t>负责统一管理认证认可工作。组织实施认证认可监督管理工作。</w:t>
      </w:r>
    </w:p>
    <w:p w14:paraId="634BBDD8">
      <w:pPr>
        <w:spacing w:line="560" w:lineRule="exact"/>
        <w:ind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16.</w:t>
      </w:r>
      <w:r>
        <w:rPr>
          <w:rFonts w:hint="eastAsia" w:ascii="仿宋_GB2312" w:eastAsia="仿宋_GB2312" w:cs="仿宋_GB2312"/>
          <w:color w:val="000000"/>
          <w:sz w:val="32"/>
          <w:szCs w:val="32"/>
          <w:lang w:bidi="ar-SA"/>
        </w:rPr>
        <w:t>负责市场监督管理科技和信息化建设、新闻宣传。</w:t>
      </w:r>
    </w:p>
    <w:p w14:paraId="4B9A2F24">
      <w:pPr>
        <w:spacing w:line="576" w:lineRule="exact"/>
        <w:ind w:right="23" w:rightChars="11"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eastAsia="zh-CN" w:bidi="ar-SA"/>
        </w:rPr>
        <w:t>17.</w:t>
      </w:r>
      <w:r>
        <w:rPr>
          <w:rFonts w:hint="eastAsia" w:ascii="仿宋_GB2312" w:eastAsia="仿宋_GB2312" w:cs="仿宋_GB2312"/>
          <w:color w:val="000000"/>
          <w:sz w:val="32"/>
          <w:szCs w:val="32"/>
          <w:lang w:bidi="ar-SA"/>
        </w:rPr>
        <w:t xml:space="preserve">负责知识产权战略规划的制定与实施，负责知识产权的保护，依法查处侵犯商标、专利知识产权违法行为。      </w:t>
      </w:r>
    </w:p>
    <w:p w14:paraId="70863EA8">
      <w:pPr>
        <w:spacing w:line="576" w:lineRule="exact"/>
        <w:ind w:right="23" w:rightChars="11"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18.</w:t>
      </w:r>
      <w:r>
        <w:rPr>
          <w:rFonts w:hint="eastAsia" w:ascii="仿宋_GB2312" w:eastAsia="仿宋_GB2312" w:cs="仿宋_GB2312"/>
          <w:sz w:val="32"/>
          <w:szCs w:val="32"/>
          <w:lang w:bidi="ar-SA"/>
        </w:rPr>
        <w:t>负责促进全县民营经济发展。负责全县民营经济发展工作的任务制定、调查研究、统筹协调、督促落实及民营企业合法权益维护。在县委组织部指导下，配合党委组织部门开展小微企业、个体工商户、专业市场的党建工作。</w:t>
      </w:r>
    </w:p>
    <w:p w14:paraId="726DF1F8">
      <w:pPr>
        <w:spacing w:line="576" w:lineRule="exact"/>
        <w:ind w:right="23" w:rightChars="11"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19.</w:t>
      </w:r>
      <w:r>
        <w:rPr>
          <w:rFonts w:hint="eastAsia" w:ascii="仿宋_GB2312" w:eastAsia="仿宋_GB2312" w:cs="仿宋_GB2312"/>
          <w:sz w:val="32"/>
          <w:szCs w:val="32"/>
          <w:lang w:bidi="ar-SA"/>
        </w:rPr>
        <w:t>负责职责范围内的安全生产、生态环境保护等工作。</w:t>
      </w:r>
    </w:p>
    <w:p w14:paraId="602D6E4F">
      <w:pPr>
        <w:pStyle w:val="36"/>
        <w:adjustRightInd w:val="0"/>
        <w:snapToGrid w:val="0"/>
        <w:spacing w:line="580" w:lineRule="exact"/>
        <w:ind w:firstLine="579" w:firstLineChars="181"/>
        <w:rPr>
          <w:rFonts w:hint="eastAsia" w:ascii="仿宋_GB2312" w:eastAsia="仿宋_GB2312"/>
          <w:sz w:val="32"/>
          <w:szCs w:val="32"/>
        </w:rPr>
      </w:pPr>
      <w:r>
        <w:rPr>
          <w:rFonts w:hint="eastAsia" w:ascii="仿宋_GB2312" w:eastAsia="仿宋_GB2312"/>
          <w:sz w:val="32"/>
          <w:szCs w:val="32"/>
        </w:rPr>
        <w:t>（二）人员情况</w:t>
      </w:r>
    </w:p>
    <w:p w14:paraId="2C63323D">
      <w:pPr>
        <w:pStyle w:val="36"/>
        <w:adjustRightInd w:val="0"/>
        <w:snapToGrid w:val="0"/>
        <w:spacing w:line="580" w:lineRule="exact"/>
        <w:ind w:firstLine="579" w:firstLineChars="181"/>
        <w:rPr>
          <w:rFonts w:hint="eastAsia" w:ascii="仿宋_GB2312" w:eastAsia="仿宋_GB2312" w:cs="仿宋_GB2312"/>
          <w:sz w:val="32"/>
          <w:szCs w:val="32"/>
          <w:lang w:bidi="ar-SA"/>
        </w:rPr>
      </w:pPr>
      <w:r>
        <w:rPr>
          <w:rFonts w:hint="eastAsia" w:cs="仿宋_GB2312"/>
          <w:bCs/>
          <w:color w:val="auto"/>
          <w:sz w:val="32"/>
          <w:szCs w:val="32"/>
          <w:u w:val="none"/>
          <w:lang w:eastAsia="zh-CN" w:bidi="ar-SA"/>
        </w:rPr>
        <w:t>1.</w:t>
      </w:r>
      <w:r>
        <w:rPr>
          <w:rFonts w:hint="eastAsia" w:ascii="仿宋_GB2312" w:eastAsia="仿宋_GB2312" w:cs="仿宋_GB2312"/>
          <w:bCs/>
          <w:color w:val="auto"/>
          <w:sz w:val="32"/>
          <w:szCs w:val="32"/>
          <w:u w:val="none"/>
          <w:lang w:bidi="ar-SA"/>
        </w:rPr>
        <w:t>核定局机关人员编制：</w:t>
      </w:r>
      <w:r>
        <w:rPr>
          <w:rFonts w:hint="eastAsia" w:ascii="仿宋_GB2312" w:eastAsia="仿宋_GB2312" w:cs="仿宋_GB2312"/>
          <w:color w:val="auto"/>
          <w:sz w:val="32"/>
          <w:szCs w:val="32"/>
          <w:u w:val="none"/>
          <w:lang w:bidi="ar-SA"/>
        </w:rPr>
        <w:t>行政编制17名，行政执法类事业编制23名（稽查大队），事业编制2名（消委会管理服务中心），行政工</w:t>
      </w:r>
      <w:r>
        <w:rPr>
          <w:rFonts w:hint="eastAsia" w:ascii="仿宋_GB2312" w:eastAsia="仿宋_GB2312" w:cs="仿宋_GB2312"/>
          <w:sz w:val="32"/>
          <w:szCs w:val="32"/>
          <w:lang w:bidi="ar-SA"/>
        </w:rPr>
        <w:t>勤编制4名。其中：局长1名、副局长</w:t>
      </w:r>
      <w:r>
        <w:rPr>
          <w:rFonts w:hint="eastAsia" w:ascii="仿宋_GB2312" w:eastAsia="仿宋_GB2312" w:cs="仿宋_GB2312"/>
          <w:color w:val="auto"/>
          <w:sz w:val="32"/>
          <w:szCs w:val="32"/>
          <w:u w:val="none"/>
          <w:lang w:bidi="ar-SA"/>
        </w:rPr>
        <w:t>3</w:t>
      </w:r>
      <w:r>
        <w:rPr>
          <w:rFonts w:hint="eastAsia" w:ascii="仿宋_GB2312" w:eastAsia="仿宋_GB2312" w:cs="仿宋_GB2312"/>
          <w:sz w:val="32"/>
          <w:szCs w:val="32"/>
          <w:lang w:bidi="ar-SA"/>
        </w:rPr>
        <w:t>名、股级领导职数14名。</w:t>
      </w:r>
    </w:p>
    <w:p w14:paraId="41BB5C9A">
      <w:pPr>
        <w:spacing w:line="576" w:lineRule="exact"/>
        <w:ind w:right="23" w:rightChars="11" w:firstLine="640" w:firstLineChars="200"/>
        <w:rPr>
          <w:rFonts w:hint="eastAsia"/>
        </w:rPr>
      </w:pPr>
      <w:r>
        <w:rPr>
          <w:rFonts w:hint="eastAsia" w:ascii="仿宋_GB2312" w:eastAsia="仿宋_GB2312" w:cs="仿宋_GB2312"/>
          <w:bCs/>
          <w:sz w:val="32"/>
          <w:szCs w:val="32"/>
          <w:lang w:eastAsia="zh-CN" w:bidi="ar-SA"/>
        </w:rPr>
        <w:t>2.</w:t>
      </w:r>
      <w:r>
        <w:rPr>
          <w:rFonts w:hint="eastAsia" w:ascii="仿宋_GB2312" w:eastAsia="仿宋_GB2312" w:cs="仿宋_GB2312"/>
          <w:bCs/>
          <w:sz w:val="32"/>
          <w:szCs w:val="32"/>
          <w:lang w:bidi="ar-SA"/>
        </w:rPr>
        <w:t>核定派出机构人员编制：</w:t>
      </w:r>
      <w:r>
        <w:rPr>
          <w:rFonts w:hint="eastAsia" w:ascii="仿宋_GB2312" w:eastAsia="仿宋_GB2312" w:cs="仿宋_GB2312"/>
          <w:sz w:val="32"/>
          <w:szCs w:val="32"/>
          <w:lang w:bidi="ar-SA"/>
        </w:rPr>
        <w:t>行政编制</w:t>
      </w:r>
      <w:r>
        <w:rPr>
          <w:rFonts w:hint="eastAsia" w:ascii="仿宋_GB2312" w:eastAsia="仿宋_GB2312" w:cs="仿宋_GB2312"/>
          <w:color w:val="auto"/>
          <w:sz w:val="32"/>
          <w:szCs w:val="32"/>
          <w:u w:val="none"/>
          <w:lang w:bidi="ar-SA"/>
        </w:rPr>
        <w:t>18</w:t>
      </w:r>
      <w:r>
        <w:rPr>
          <w:rFonts w:hint="eastAsia" w:ascii="仿宋_GB2312" w:eastAsia="仿宋_GB2312" w:cs="仿宋_GB2312"/>
          <w:sz w:val="32"/>
          <w:szCs w:val="32"/>
          <w:lang w:bidi="ar-SA"/>
        </w:rPr>
        <w:t>名，行政工勤编制1名。其中：所长6名（副科级），股级领导职数2名。</w:t>
      </w:r>
    </w:p>
    <w:p w14:paraId="6B4DC87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二、部门财政资金收支情况</w:t>
      </w:r>
    </w:p>
    <w:p w14:paraId="2067CBEE">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（一）部门财政资金收入情况</w:t>
      </w:r>
    </w:p>
    <w:p w14:paraId="113E94CA">
      <w:pPr>
        <w:pStyle w:val="2"/>
        <w:ind w:left="0" w:leftChars="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2019年一般公共预算收入1421.66万元，较2018年一般公共预算收入总数1259.92万元，增加了161.74万元，上升12.84%。</w:t>
      </w:r>
    </w:p>
    <w:p w14:paraId="178AE7B2">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72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部门财政资金支出情况</w:t>
      </w:r>
    </w:p>
    <w:p w14:paraId="06644F47">
      <w:pPr>
        <w:pStyle w:val="2"/>
        <w:ind w:left="0" w:leftChars="0" w:firstLine="640" w:firstLineChars="200"/>
        <w:rPr>
          <w:rFonts w:hint="eastAsia" w:eastAsia="仿宋"/>
          <w:lang w:val="en-US" w:eastAsia="zh-CN"/>
        </w:rPr>
      </w:pPr>
      <w:r>
        <w:rPr>
          <w:rFonts w:hint="eastAsia" w:ascii="仿宋" w:hAnsi="仿宋" w:eastAsia="仿宋" w:cs="仿宋"/>
          <w:color w:val="auto"/>
          <w:sz w:val="32"/>
          <w:szCs w:val="32"/>
          <w:lang w:val="en-US" w:eastAsia="zh-CN"/>
        </w:rPr>
        <w:t>2019年一般公共预算收入1421.66万元，较2018年一般公共预算收入总数1259.92万元，增加了161.74万元，上升12.84%。</w:t>
      </w:r>
      <w:r>
        <w:rPr>
          <w:rFonts w:hint="eastAsia" w:ascii="仿宋" w:hAnsi="仿宋" w:eastAsia="仿宋" w:cs="仿宋"/>
          <w:color w:val="auto"/>
          <w:sz w:val="32"/>
          <w:szCs w:val="32"/>
        </w:rPr>
        <w:t>无基金预算支出</w:t>
      </w:r>
      <w:r>
        <w:rPr>
          <w:rFonts w:hint="eastAsia" w:ascii="仿宋" w:hAnsi="仿宋" w:eastAsia="仿宋" w:cs="仿宋"/>
          <w:color w:val="auto"/>
          <w:sz w:val="32"/>
          <w:szCs w:val="32"/>
          <w:lang w:eastAsia="zh-CN"/>
        </w:rPr>
        <w:t>。</w:t>
      </w:r>
    </w:p>
    <w:p w14:paraId="52A2732B">
      <w:pPr>
        <w:tabs>
          <w:tab w:val="left" w:pos="750"/>
        </w:tabs>
        <w:ind w:left="0" w:leftChars="0" w:firstLine="640" w:firstLineChars="0"/>
        <w:rPr>
          <w:rFonts w:hint="eastAsia" w:ascii="仿宋" w:hAnsi="仿宋" w:eastAsia="仿宋" w:cs="仿宋"/>
          <w:color w:val="auto"/>
          <w:sz w:val="32"/>
          <w:szCs w:val="32"/>
        </w:rPr>
      </w:pPr>
      <w:r>
        <w:rPr>
          <w:rFonts w:hint="eastAsia" w:ascii="仿宋" w:hAnsi="仿宋" w:eastAsia="仿宋" w:cs="仿宋"/>
          <w:color w:val="auto"/>
          <w:sz w:val="32"/>
          <w:szCs w:val="32"/>
        </w:rPr>
        <w:t>基本支出，包括基本工资、津贴补贴等人员经费以及办公费、印刷费、水电费等日常公用经费。其中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2019年1306.79万元（人员支出1146.21万元，公用支出160.58万元）；2020年1—6月支出608.23万元（</w:t>
      </w:r>
      <w:r>
        <w:rPr>
          <w:rFonts w:hint="eastAsia" w:ascii="仿宋" w:hAnsi="仿宋" w:eastAsia="仿宋" w:cs="仿宋"/>
          <w:color w:val="auto"/>
          <w:sz w:val="32"/>
          <w:szCs w:val="32"/>
        </w:rPr>
        <w:t>人员支出</w:t>
      </w:r>
      <w:r>
        <w:rPr>
          <w:rFonts w:hint="eastAsia" w:ascii="仿宋" w:hAnsi="仿宋" w:eastAsia="仿宋" w:cs="仿宋"/>
          <w:color w:val="auto"/>
          <w:sz w:val="32"/>
          <w:szCs w:val="32"/>
          <w:lang w:val="en-US" w:eastAsia="zh-CN"/>
        </w:rPr>
        <w:t>591.92</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公用支出</w:t>
      </w:r>
      <w:r>
        <w:rPr>
          <w:rFonts w:hint="eastAsia" w:ascii="仿宋" w:hAnsi="仿宋" w:eastAsia="仿宋" w:cs="仿宋"/>
          <w:color w:val="auto"/>
          <w:sz w:val="32"/>
          <w:szCs w:val="32"/>
          <w:lang w:val="en-US" w:eastAsia="zh-CN"/>
        </w:rPr>
        <w:t>16.31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1BC03A0B">
      <w:pPr>
        <w:keepNext w:val="0"/>
        <w:keepLines w:val="0"/>
        <w:pageBreakBefore w:val="0"/>
        <w:widowControl/>
        <w:kinsoku/>
        <w:wordWrap/>
        <w:overflowPunct/>
        <w:topLinePunct w:val="0"/>
        <w:autoSpaceDE/>
        <w:autoSpaceDN/>
        <w:bidi w:val="0"/>
        <w:adjustRightInd w:val="0"/>
        <w:snapToGrid w:val="0"/>
        <w:spacing w:line="578" w:lineRule="exact"/>
        <w:ind w:left="0" w:leftChars="0" w:firstLine="640" w:firstLineChars="20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三、部门财政支出管理情况</w:t>
      </w:r>
    </w:p>
    <w:p w14:paraId="1F5807C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（一）预算编制情况</w:t>
      </w:r>
    </w:p>
    <w:p w14:paraId="6629C490">
      <w:pPr>
        <w:keepNext w:val="0"/>
        <w:keepLines w:val="0"/>
        <w:pageBreakBefore w:val="0"/>
        <w:widowControl/>
        <w:kinsoku/>
        <w:wordWrap/>
        <w:overflowPunct/>
        <w:topLinePunct w:val="0"/>
        <w:autoSpaceDE/>
        <w:autoSpaceDN/>
        <w:bidi w:val="0"/>
        <w:adjustRightInd w:val="0"/>
        <w:snapToGrid w:val="0"/>
        <w:spacing w:line="578" w:lineRule="exact"/>
        <w:ind w:left="0" w:leftChars="0" w:firstLine="640" w:firstLineChars="20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按照全面落实预算法和中央、省、州深化财政税体制改革要求，紧紧围绕县委、县政府决策部署，加强保障重点支出，严格控制一般性支出；加大了年度预算编制的统筹力度；加强了预算编制与执行衔接。加快了支出预算执行；加大了财政预算信息公开，不断提高预算编制的科学性、规范性和有效性。</w:t>
      </w:r>
    </w:p>
    <w:p w14:paraId="11984674">
      <w:pPr>
        <w:pStyle w:val="2"/>
        <w:rPr>
          <w:rFonts w:hint="default" w:eastAsia="仿宋_GB2312"/>
          <w:color w:val="auto"/>
          <w:lang w:val="en-US" w:eastAsia="zh-CN"/>
        </w:rPr>
      </w:pPr>
      <w:r>
        <w:rPr>
          <w:rFonts w:hint="eastAsia" w:cs="仿宋_GB2312"/>
          <w:b w:val="0"/>
          <w:bCs w:val="0"/>
          <w:color w:val="auto"/>
          <w:kern w:val="0"/>
          <w:sz w:val="32"/>
          <w:szCs w:val="32"/>
          <w:lang w:val="en-US" w:eastAsia="zh-CN"/>
        </w:rPr>
        <w:t>2019年预算编制由县财政局统一预算编制模板进行编制。我局按照要求，认真进行编制，确保了数据的真实、准确、完整，并及时将材料送相关股室审核。</w:t>
      </w:r>
    </w:p>
    <w:p w14:paraId="609791C2">
      <w:pPr>
        <w:keepNext w:val="0"/>
        <w:keepLines w:val="0"/>
        <w:pageBreakBefore w:val="0"/>
        <w:widowControl/>
        <w:kinsoku/>
        <w:wordWrap/>
        <w:overflowPunct/>
        <w:topLinePunct w:val="0"/>
        <w:autoSpaceDE/>
        <w:autoSpaceDN/>
        <w:bidi w:val="0"/>
        <w:adjustRightInd w:val="0"/>
        <w:snapToGrid w:val="0"/>
        <w:spacing w:line="578" w:lineRule="exact"/>
        <w:ind w:left="0" w:leftChars="0" w:firstLine="643" w:firstLineChars="200"/>
        <w:jc w:val="left"/>
        <w:rPr>
          <w:rFonts w:hint="eastAsia" w:ascii="楷体" w:hAnsi="楷体" w:eastAsia="楷体" w:cs="宋体"/>
          <w:b/>
          <w:bCs/>
          <w:color w:val="auto"/>
          <w:kern w:val="0"/>
          <w:sz w:val="32"/>
          <w:szCs w:val="32"/>
          <w:lang w:val="zh-CN"/>
        </w:rPr>
      </w:pPr>
      <w:r>
        <w:rPr>
          <w:rFonts w:hint="eastAsia" w:ascii="楷体_GB2312" w:hAnsi="楷体_GB2312" w:eastAsia="楷体_GB2312" w:cs="楷体_GB2312"/>
          <w:b/>
          <w:bCs/>
          <w:color w:val="auto"/>
          <w:kern w:val="0"/>
          <w:sz w:val="32"/>
          <w:szCs w:val="32"/>
          <w:lang w:val="zh-CN"/>
        </w:rPr>
        <w:t>（二）执行管理情况</w:t>
      </w:r>
      <w:r>
        <w:rPr>
          <w:rFonts w:hint="eastAsia" w:ascii="楷体" w:hAnsi="楷体" w:eastAsia="楷体" w:cs="宋体"/>
          <w:b/>
          <w:bCs/>
          <w:color w:val="auto"/>
          <w:kern w:val="0"/>
          <w:sz w:val="32"/>
          <w:szCs w:val="32"/>
          <w:lang w:val="zh-CN"/>
        </w:rPr>
        <w:tab/>
      </w:r>
    </w:p>
    <w:p w14:paraId="186FC630">
      <w:pPr>
        <w:pStyle w:val="39"/>
        <w:shd w:val="clear" w:color="auto" w:fill="FFFFFF"/>
        <w:spacing w:before="0" w:beforeLines="0" w:beforeAutospacing="0" w:after="0" w:afterLines="0" w:afterAutospacing="0" w:line="580" w:lineRule="exact"/>
        <w:ind w:firstLine="634"/>
        <w:jc w:val="both"/>
        <w:rPr>
          <w:rFonts w:hint="eastAsia" w:ascii="仿宋_GB2312" w:eastAsia="仿宋_GB2312"/>
          <w:color w:val="auto"/>
          <w:kern w:val="0"/>
          <w:sz w:val="32"/>
          <w:szCs w:val="32"/>
        </w:rPr>
      </w:pPr>
      <w:r>
        <w:rPr>
          <w:rFonts w:hint="eastAsia" w:ascii="仿宋_GB2312" w:hAnsi="仿宋_GB2312" w:eastAsia="仿宋_GB2312" w:cs="仿宋_GB2312"/>
          <w:color w:val="auto"/>
          <w:kern w:val="0"/>
          <w:sz w:val="32"/>
          <w:szCs w:val="32"/>
          <w:lang w:val="en-US" w:eastAsia="zh-CN"/>
        </w:rPr>
        <w:t>2018年财政应返款省州专项资金97.31万元。我局在州级补助地方专项资金的使用和管理上，坚决做到了专款专用，严格按照每项资金的专项实施方案要求组织实施，</w:t>
      </w:r>
      <w:r>
        <w:rPr>
          <w:rFonts w:hint="eastAsia" w:ascii="仿宋_GB2312" w:hAnsi="仿宋" w:eastAsia="仿宋_GB2312"/>
          <w:color w:val="auto"/>
          <w:sz w:val="32"/>
          <w:szCs w:val="32"/>
        </w:rPr>
        <w:t>目的是使</w:t>
      </w:r>
      <w:r>
        <w:rPr>
          <w:rFonts w:hint="eastAsia" w:ascii="仿宋_GB2312" w:eastAsia="仿宋_GB2312"/>
          <w:color w:val="auto"/>
          <w:kern w:val="0"/>
          <w:sz w:val="32"/>
          <w:szCs w:val="32"/>
        </w:rPr>
        <w:t>专项资金能够充分发挥其应有的作用。</w:t>
      </w:r>
    </w:p>
    <w:p w14:paraId="13E76D6C">
      <w:pPr>
        <w:keepNext w:val="0"/>
        <w:keepLines w:val="0"/>
        <w:pageBreakBefore w:val="0"/>
        <w:widowControl/>
        <w:kinsoku/>
        <w:wordWrap/>
        <w:overflowPunct/>
        <w:topLinePunct w:val="0"/>
        <w:autoSpaceDE/>
        <w:autoSpaceDN/>
        <w:bidi w:val="0"/>
        <w:adjustRightInd w:val="0"/>
        <w:snapToGrid w:val="0"/>
        <w:spacing w:line="578" w:lineRule="exact"/>
        <w:ind w:left="0" w:leftChars="0" w:firstLine="643" w:firstLineChars="20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（三）综合管理情况</w:t>
      </w:r>
    </w:p>
    <w:p w14:paraId="16952D8C">
      <w:pPr>
        <w:widowControl/>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kern w:val="0"/>
          <w:sz w:val="32"/>
          <w:szCs w:val="32"/>
          <w:lang w:val="en-US" w:eastAsia="zh-CN"/>
        </w:rPr>
        <w:t>2019</w:t>
      </w:r>
      <w:r>
        <w:rPr>
          <w:rFonts w:hint="eastAsia" w:ascii="仿宋" w:hAnsi="仿宋" w:eastAsia="仿宋" w:cs="仿宋"/>
          <w:color w:val="auto"/>
          <w:kern w:val="0"/>
          <w:sz w:val="32"/>
          <w:szCs w:val="32"/>
        </w:rPr>
        <w:t>年无政府性基金预算财政拨款支出决算情况。</w:t>
      </w:r>
    </w:p>
    <w:p w14:paraId="08D965B8">
      <w:pPr>
        <w:pStyle w:val="2"/>
        <w:rPr>
          <w:rFonts w:hint="eastAsia" w:cs="仿宋_GB2312"/>
          <w:i w:val="0"/>
          <w:caps w:val="0"/>
          <w:color w:val="auto"/>
          <w:spacing w:val="0"/>
          <w:sz w:val="32"/>
          <w:szCs w:val="32"/>
          <w:shd w:val="clear" w:color="070000" w:fill="FFFFFF"/>
          <w:lang w:eastAsia="zh-CN"/>
        </w:rPr>
      </w:pPr>
      <w:r>
        <w:rPr>
          <w:rFonts w:hint="eastAsia" w:ascii="仿宋" w:hAnsi="仿宋" w:eastAsia="仿宋" w:cs="仿宋"/>
          <w:color w:val="auto"/>
          <w:kern w:val="0"/>
          <w:sz w:val="32"/>
          <w:szCs w:val="32"/>
          <w:lang w:val="en-US" w:eastAsia="zh-CN"/>
        </w:rPr>
        <w:t>2.2019年非税执行情况。</w:t>
      </w:r>
      <w:r>
        <w:rPr>
          <w:rFonts w:hint="eastAsia" w:ascii="仿宋_GB2312" w:hAnsi="仿宋_GB2312" w:eastAsia="仿宋_GB2312" w:cs="仿宋_GB2312"/>
          <w:i w:val="0"/>
          <w:caps w:val="0"/>
          <w:color w:val="auto"/>
          <w:spacing w:val="0"/>
          <w:sz w:val="32"/>
          <w:szCs w:val="32"/>
          <w:shd w:val="clear" w:color="070000" w:fill="FFFFFF"/>
        </w:rPr>
        <w:t>单位行政事业性收费及其他非税收入实行“收入全部缴入国库，纳入预算统筹安排”的办法，由单位提出申请并报政府领导研究同意后统筹安排，原则上公务员及参公单位、财政全额供养事业单位财政最高安排40%用于弥补单位运转经费不足及项目经费</w:t>
      </w:r>
      <w:r>
        <w:rPr>
          <w:rFonts w:hint="eastAsia" w:cs="仿宋_GB2312"/>
          <w:i w:val="0"/>
          <w:caps w:val="0"/>
          <w:color w:val="auto"/>
          <w:spacing w:val="0"/>
          <w:sz w:val="32"/>
          <w:szCs w:val="32"/>
          <w:shd w:val="clear" w:color="070000" w:fill="FFFFFF"/>
          <w:lang w:eastAsia="zh-CN"/>
        </w:rPr>
        <w:t>。</w:t>
      </w:r>
    </w:p>
    <w:p w14:paraId="18AE82A4">
      <w:pPr>
        <w:pStyle w:val="17"/>
        <w:spacing w:before="0" w:beforeAutospacing="0" w:after="0" w:afterAutospacing="0" w:line="576" w:lineRule="exact"/>
        <w:ind w:firstLine="640" w:firstLineChars="200"/>
        <w:rPr>
          <w:rFonts w:hint="default" w:cs="仿宋_GB2312"/>
          <w:i w:val="0"/>
          <w:caps w:val="0"/>
          <w:color w:val="auto"/>
          <w:spacing w:val="0"/>
          <w:sz w:val="32"/>
          <w:szCs w:val="32"/>
          <w:shd w:val="clear" w:color="070000" w:fill="FFFFFF"/>
          <w:lang w:val="en-US" w:eastAsia="zh-CN"/>
        </w:rPr>
      </w:pPr>
      <w:r>
        <w:rPr>
          <w:rFonts w:hint="eastAsia" w:cs="仿宋_GB2312"/>
          <w:i w:val="0"/>
          <w:caps w:val="0"/>
          <w:color w:val="auto"/>
          <w:spacing w:val="0"/>
          <w:sz w:val="32"/>
          <w:szCs w:val="32"/>
          <w:shd w:val="clear" w:color="070000" w:fill="FFFFFF"/>
          <w:lang w:val="en-US" w:eastAsia="zh-CN"/>
        </w:rPr>
        <w:t>3.政府采购。</w:t>
      </w:r>
      <w:r>
        <w:rPr>
          <w:rFonts w:hint="eastAsia" w:ascii="仿宋" w:hAnsi="仿宋" w:eastAsia="仿宋" w:cs="仿宋"/>
          <w:sz w:val="32"/>
          <w:szCs w:val="32"/>
        </w:rPr>
        <w:t>政府采购严格按照相关采购规定执行。</w:t>
      </w:r>
    </w:p>
    <w:p w14:paraId="416530FB">
      <w:pPr>
        <w:tabs>
          <w:tab w:val="left" w:pos="750"/>
        </w:tabs>
        <w:spacing w:line="576" w:lineRule="exact"/>
        <w:ind w:firstLine="640" w:firstLineChars="200"/>
        <w:rPr>
          <w:rFonts w:hint="eastAsia" w:ascii="仿宋" w:hAnsi="仿宋" w:eastAsia="仿宋" w:cs="仿宋"/>
          <w:color w:val="auto"/>
          <w:sz w:val="32"/>
          <w:szCs w:val="32"/>
        </w:rPr>
      </w:pPr>
      <w:r>
        <w:rPr>
          <w:rFonts w:hint="eastAsia" w:ascii="仿宋_GB2312" w:hAnsi="仿宋_GB2312" w:eastAsia="仿宋_GB2312" w:cs="仿宋_GB2312"/>
          <w:color w:val="auto"/>
          <w:kern w:val="0"/>
          <w:sz w:val="32"/>
          <w:szCs w:val="32"/>
          <w:lang w:val="en-US" w:eastAsia="zh-CN"/>
        </w:rPr>
        <w:t>4.资产管理情况。</w:t>
      </w:r>
      <w:r>
        <w:rPr>
          <w:rFonts w:hint="eastAsia" w:ascii="仿宋" w:hAnsi="仿宋" w:eastAsia="仿宋" w:cs="仿宋"/>
          <w:color w:val="auto"/>
          <w:sz w:val="32"/>
          <w:szCs w:val="32"/>
        </w:rPr>
        <w:t>松潘县</w:t>
      </w:r>
      <w:r>
        <w:rPr>
          <w:rFonts w:hint="eastAsia" w:ascii="仿宋" w:hAnsi="仿宋" w:eastAsia="仿宋" w:cs="仿宋"/>
          <w:color w:val="auto"/>
          <w:sz w:val="32"/>
          <w:szCs w:val="32"/>
          <w:lang w:eastAsia="zh-CN"/>
        </w:rPr>
        <w:t>市场</w:t>
      </w:r>
      <w:r>
        <w:rPr>
          <w:rFonts w:hint="eastAsia" w:ascii="仿宋" w:hAnsi="仿宋" w:eastAsia="仿宋" w:cs="仿宋"/>
          <w:color w:val="auto"/>
          <w:sz w:val="32"/>
          <w:szCs w:val="32"/>
        </w:rPr>
        <w:t>监督管理局固定资产总额</w:t>
      </w:r>
      <w:r>
        <w:rPr>
          <w:rFonts w:hint="eastAsia" w:ascii="仿宋" w:hAnsi="仿宋" w:eastAsia="仿宋" w:cs="仿宋"/>
          <w:color w:val="auto"/>
          <w:sz w:val="32"/>
          <w:szCs w:val="32"/>
          <w:lang w:val="en-US" w:eastAsia="zh-CN"/>
        </w:rPr>
        <w:t>1364.61</w:t>
      </w:r>
      <w:r>
        <w:rPr>
          <w:rFonts w:hint="eastAsia" w:ascii="仿宋" w:hAnsi="仿宋" w:eastAsia="仿宋" w:cs="仿宋"/>
          <w:color w:val="auto"/>
          <w:sz w:val="32"/>
          <w:szCs w:val="32"/>
        </w:rPr>
        <w:t>万元。共有公务用车</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辆，其中：执法执勤车9辆</w:t>
      </w:r>
      <w:r>
        <w:rPr>
          <w:rFonts w:hint="eastAsia" w:ascii="仿宋" w:hAnsi="仿宋" w:eastAsia="仿宋" w:cs="仿宋"/>
          <w:color w:val="auto"/>
          <w:sz w:val="32"/>
          <w:szCs w:val="32"/>
          <w:lang w:eastAsia="zh-CN"/>
        </w:rPr>
        <w:t>，其中</w:t>
      </w:r>
      <w:r>
        <w:rPr>
          <w:rFonts w:hint="eastAsia" w:ascii="仿宋_GB2312" w:hAnsi="仿宋_GB2312" w:eastAsia="仿宋_GB2312" w:cs="仿宋_GB2312"/>
          <w:color w:val="auto"/>
          <w:sz w:val="32"/>
          <w:szCs w:val="32"/>
        </w:rPr>
        <w:t>单价50万元以上通用设备及单价100万元以上专用设备</w:t>
      </w:r>
      <w:r>
        <w:rPr>
          <w:rFonts w:hint="eastAsia" w:ascii="仿宋_GB2312" w:hAnsi="仿宋_GB2312" w:eastAsia="仿宋_GB2312" w:cs="仿宋_GB2312"/>
          <w:color w:val="auto"/>
          <w:sz w:val="32"/>
          <w:szCs w:val="32"/>
          <w:lang w:val="en-US" w:eastAsia="zh-CN"/>
        </w:rPr>
        <w:t>1辆</w:t>
      </w:r>
      <w:r>
        <w:rPr>
          <w:rFonts w:hint="eastAsia" w:ascii="仿宋_GB2312" w:hAnsi="仿宋_GB2312" w:eastAsia="仿宋_GB2312" w:cs="仿宋_GB2312"/>
          <w:color w:val="auto"/>
          <w:sz w:val="32"/>
          <w:szCs w:val="32"/>
        </w:rPr>
        <w:t>。</w:t>
      </w:r>
    </w:p>
    <w:p w14:paraId="58A3AEB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仿宋" w:hAnsi="仿宋" w:eastAsia="仿宋"/>
          <w:color w:val="auto"/>
          <w:sz w:val="32"/>
          <w:szCs w:val="32"/>
        </w:rPr>
      </w:pP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val="zh-CN"/>
        </w:rPr>
        <w:t>内控制度管理。</w:t>
      </w:r>
      <w:r>
        <w:rPr>
          <w:rFonts w:hint="eastAsia" w:ascii="仿宋" w:hAnsi="仿宋" w:eastAsia="仿宋"/>
          <w:color w:val="auto"/>
          <w:sz w:val="32"/>
          <w:szCs w:val="32"/>
        </w:rPr>
        <w:t>我局单位领导高度重视，认真履行对内部控制制度的建立健全和有效实施责任，切实开展内部控制风险评估、党风廉政建设风险防控工作。认真执行“三重一大”制度、重大事项集体决策</w:t>
      </w:r>
      <w:r>
        <w:rPr>
          <w:rFonts w:hint="eastAsia" w:ascii="仿宋" w:hAnsi="仿宋" w:eastAsia="仿宋"/>
          <w:color w:val="auto"/>
          <w:sz w:val="32"/>
          <w:szCs w:val="32"/>
          <w:lang w:eastAsia="zh-CN"/>
        </w:rPr>
        <w:t>（</w:t>
      </w:r>
      <w:r>
        <w:rPr>
          <w:rFonts w:hint="eastAsia" w:ascii="仿宋" w:hAnsi="仿宋" w:eastAsia="仿宋"/>
          <w:color w:val="auto"/>
          <w:sz w:val="32"/>
          <w:szCs w:val="32"/>
        </w:rPr>
        <w:t>党组会研究通过</w:t>
      </w:r>
      <w:r>
        <w:rPr>
          <w:rFonts w:hint="eastAsia" w:ascii="仿宋" w:hAnsi="仿宋" w:eastAsia="仿宋"/>
          <w:color w:val="auto"/>
          <w:sz w:val="32"/>
          <w:szCs w:val="32"/>
          <w:lang w:eastAsia="zh-CN"/>
        </w:rPr>
        <w:t>）</w:t>
      </w:r>
      <w:r>
        <w:rPr>
          <w:rFonts w:hint="eastAsia" w:ascii="仿宋" w:hAnsi="仿宋" w:eastAsia="仿宋"/>
          <w:color w:val="auto"/>
          <w:sz w:val="32"/>
          <w:szCs w:val="32"/>
        </w:rPr>
        <w:t>及会签制度。重点关注经费预算、资金收支、政府采购、固定资产、建设项目及合同管理等业务层面的经济业务风险。实行不相容岗位相互分离及内部授权审批控制措施，业务经办、审核及审批职责相互分离，相互制约，相互监督。出纳不兼管稽核、会计档案保管和收入、支出、债权、债务账目的登记工作。财务专用章由专人管理，个人名章由本人或授权人员保管。按规定项目和标准征收非税收入，按规定开具财政票据，做到收缴分离、票款一致，并及时足额上缴，严格执行“收支两条线”规定。严格执行政府采购、建设项目及合同控制等内控措施，确保内部控制制度规范有序运行。根据实际发生的经济业务事项按照国家统一的会计制度及时进行账务处理、编制财务报告，确保财务信息真实、完整。</w:t>
      </w:r>
    </w:p>
    <w:p w14:paraId="7ACC467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jc w:val="left"/>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val="zh-CN"/>
        </w:rPr>
        <w:t>信息公开</w:t>
      </w:r>
    </w:p>
    <w:p w14:paraId="70EDDB60">
      <w:pPr>
        <w:pStyle w:val="2"/>
        <w:rPr>
          <w:rFonts w:hint="eastAsia"/>
          <w:color w:val="auto"/>
          <w:lang w:val="zh-CN"/>
        </w:rPr>
      </w:pPr>
      <w:r>
        <w:rPr>
          <w:rFonts w:hint="eastAsia" w:cs="仿宋_GB2312"/>
          <w:color w:val="auto"/>
          <w:kern w:val="0"/>
          <w:sz w:val="32"/>
          <w:szCs w:val="32"/>
          <w:lang w:val="zh-CN"/>
        </w:rPr>
        <w:t>我局严格执行预算经费支出按季度公开制度。</w:t>
      </w:r>
    </w:p>
    <w:p w14:paraId="49ADF284">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left="0" w:leftChars="0" w:right="0" w:firstLine="640" w:firstLineChars="200"/>
        <w:jc w:val="both"/>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zh-CN"/>
        </w:rPr>
        <w:t>依法接受财政监督情况。</w:t>
      </w:r>
      <w:r>
        <w:rPr>
          <w:rFonts w:hint="eastAsia" w:ascii="仿宋_GB2312" w:hAnsi="仿宋_GB2312" w:eastAsia="仿宋_GB2312" w:cs="仿宋_GB2312"/>
          <w:color w:val="auto"/>
          <w:kern w:val="0"/>
          <w:sz w:val="32"/>
          <w:szCs w:val="32"/>
          <w:lang w:val="en-US" w:eastAsia="zh-CN"/>
        </w:rPr>
        <w:t>县财政、审计部门对我局2016年以来财务情况进行了全面审计，并提出相应的整改意见，按照整改意见，我局进行了认真梳理，撰写了审计整改报告，对财务问题做出了及时整改。</w:t>
      </w:r>
    </w:p>
    <w:p w14:paraId="42C7F57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（四）整体绩效</w:t>
      </w:r>
    </w:p>
    <w:p w14:paraId="0E7CD5AE">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right="0" w:firstLine="640" w:firstLineChars="20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070000" w:fill="FFFFFF"/>
        </w:rPr>
        <w:t>根据年初工作规划和重点性工作，全</w:t>
      </w:r>
      <w:r>
        <w:rPr>
          <w:rFonts w:hint="eastAsia" w:ascii="仿宋_GB2312" w:hAnsi="仿宋_GB2312" w:eastAsia="仿宋_GB2312" w:cs="仿宋_GB2312"/>
          <w:i w:val="0"/>
          <w:caps w:val="0"/>
          <w:color w:val="auto"/>
          <w:spacing w:val="0"/>
          <w:sz w:val="32"/>
          <w:szCs w:val="32"/>
          <w:shd w:val="clear" w:color="070000" w:fill="FFFFFF"/>
          <w:lang w:eastAsia="zh-CN"/>
        </w:rPr>
        <w:t>局</w:t>
      </w:r>
      <w:r>
        <w:rPr>
          <w:rFonts w:hint="eastAsia" w:ascii="仿宋_GB2312" w:hAnsi="仿宋_GB2312" w:eastAsia="仿宋_GB2312" w:cs="仿宋_GB2312"/>
          <w:i w:val="0"/>
          <w:caps w:val="0"/>
          <w:color w:val="auto"/>
          <w:spacing w:val="0"/>
          <w:sz w:val="32"/>
          <w:szCs w:val="32"/>
          <w:shd w:val="clear" w:color="070000" w:fill="FFFFFF"/>
        </w:rPr>
        <w:t>上下团结一心，迎难而上，加压奋进，锐意进取，各项工作取得了较大成绩，</w:t>
      </w:r>
      <w:r>
        <w:rPr>
          <w:rFonts w:hint="eastAsia" w:ascii="仿宋_GB2312" w:hAnsi="仿宋_GB2312" w:eastAsia="仿宋_GB2312" w:cs="仿宋_GB2312"/>
          <w:i w:val="0"/>
          <w:caps w:val="0"/>
          <w:color w:val="auto"/>
          <w:spacing w:val="0"/>
          <w:sz w:val="32"/>
          <w:szCs w:val="32"/>
          <w:shd w:val="clear" w:color="070000" w:fill="FFFFFF"/>
          <w:lang w:eastAsia="zh-CN"/>
        </w:rPr>
        <w:t>较好地完成了</w:t>
      </w:r>
      <w:r>
        <w:rPr>
          <w:rFonts w:hint="eastAsia" w:ascii="仿宋_GB2312" w:hAnsi="仿宋_GB2312" w:eastAsia="仿宋_GB2312" w:cs="仿宋_GB2312"/>
          <w:i w:val="0"/>
          <w:caps w:val="0"/>
          <w:color w:val="auto"/>
          <w:spacing w:val="0"/>
          <w:sz w:val="32"/>
          <w:szCs w:val="32"/>
          <w:shd w:val="clear" w:color="070000" w:fill="FFFFFF"/>
        </w:rPr>
        <w:t>年度工作目标。通过加强预算收支管理，不断建立健全内部管理制度，梳理内部管理流程，部门整体支出管理情况得到提升。部门整体支出绩效情况如下：</w:t>
      </w:r>
    </w:p>
    <w:p w14:paraId="3C4B8F34">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left="0" w:right="0" w:firstLine="42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090000" w:fill="FFFFFF"/>
        </w:rPr>
        <w:t>（</w:t>
      </w:r>
      <w:r>
        <w:rPr>
          <w:rFonts w:hint="eastAsia" w:ascii="仿宋_GB2312" w:hAnsi="仿宋_GB2312" w:eastAsia="仿宋_GB2312" w:cs="仿宋_GB2312"/>
          <w:b/>
          <w:bCs/>
          <w:i w:val="0"/>
          <w:caps w:val="0"/>
          <w:color w:val="auto"/>
          <w:spacing w:val="0"/>
          <w:sz w:val="32"/>
          <w:szCs w:val="32"/>
          <w:shd w:val="clear" w:color="090000" w:fill="FFFFFF"/>
          <w:lang w:val="en-US" w:eastAsia="zh-CN"/>
        </w:rPr>
        <w:t>1</w:t>
      </w:r>
      <w:r>
        <w:rPr>
          <w:rFonts w:hint="eastAsia" w:ascii="仿宋_GB2312" w:hAnsi="仿宋_GB2312" w:eastAsia="仿宋_GB2312" w:cs="仿宋_GB2312"/>
          <w:b/>
          <w:bCs/>
          <w:i w:val="0"/>
          <w:caps w:val="0"/>
          <w:color w:val="auto"/>
          <w:spacing w:val="0"/>
          <w:sz w:val="32"/>
          <w:szCs w:val="32"/>
          <w:shd w:val="clear" w:color="090000" w:fill="FFFFFF"/>
        </w:rPr>
        <w:t>）经济效益评价</w:t>
      </w:r>
      <w:r>
        <w:rPr>
          <w:rFonts w:hint="eastAsia" w:ascii="仿宋_GB2312" w:hAnsi="仿宋_GB2312" w:eastAsia="仿宋_GB2312" w:cs="仿宋_GB2312"/>
          <w:b/>
          <w:bCs/>
          <w:i w:val="0"/>
          <w:caps w:val="0"/>
          <w:color w:val="auto"/>
          <w:spacing w:val="0"/>
          <w:sz w:val="32"/>
          <w:szCs w:val="32"/>
          <w:shd w:val="clear" w:color="09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预算执行方面，支出总额控制在预算总额以内</w:t>
      </w:r>
      <w:r>
        <w:rPr>
          <w:rFonts w:hint="eastAsia" w:ascii="仿宋_GB2312" w:hAnsi="仿宋_GB2312" w:eastAsia="仿宋_GB2312" w:cs="仿宋_GB2312"/>
          <w:i w:val="0"/>
          <w:caps w:val="0"/>
          <w:color w:val="auto"/>
          <w:spacing w:val="0"/>
          <w:sz w:val="32"/>
          <w:szCs w:val="32"/>
          <w:shd w:val="clear" w:color="07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预算管理方面，制度执行总体较为有效</w:t>
      </w:r>
      <w:r>
        <w:rPr>
          <w:rFonts w:hint="eastAsia" w:ascii="仿宋_GB2312" w:hAnsi="仿宋_GB2312" w:eastAsia="仿宋_GB2312" w:cs="仿宋_GB2312"/>
          <w:i w:val="0"/>
          <w:caps w:val="0"/>
          <w:color w:val="auto"/>
          <w:spacing w:val="0"/>
          <w:sz w:val="32"/>
          <w:szCs w:val="32"/>
          <w:shd w:val="clear" w:color="07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资产管理方面，建立了资产管理制度，定期进行了盘点和资产清理，总体执行较好。</w:t>
      </w:r>
    </w:p>
    <w:p w14:paraId="32890812">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left="0" w:right="0" w:firstLine="42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090000" w:fill="FFFFFF"/>
        </w:rPr>
        <w:t>（</w:t>
      </w:r>
      <w:r>
        <w:rPr>
          <w:rFonts w:hint="eastAsia" w:ascii="仿宋_GB2312" w:hAnsi="仿宋_GB2312" w:eastAsia="仿宋_GB2312" w:cs="仿宋_GB2312"/>
          <w:b/>
          <w:bCs/>
          <w:i w:val="0"/>
          <w:caps w:val="0"/>
          <w:color w:val="auto"/>
          <w:spacing w:val="0"/>
          <w:sz w:val="32"/>
          <w:szCs w:val="32"/>
          <w:shd w:val="clear" w:color="090000" w:fill="FFFFFF"/>
          <w:lang w:val="en-US" w:eastAsia="zh-CN"/>
        </w:rPr>
        <w:t>2</w:t>
      </w:r>
      <w:r>
        <w:rPr>
          <w:rFonts w:hint="eastAsia" w:ascii="仿宋_GB2312" w:hAnsi="仿宋_GB2312" w:eastAsia="仿宋_GB2312" w:cs="仿宋_GB2312"/>
          <w:b/>
          <w:bCs/>
          <w:i w:val="0"/>
          <w:caps w:val="0"/>
          <w:color w:val="auto"/>
          <w:spacing w:val="0"/>
          <w:sz w:val="32"/>
          <w:szCs w:val="32"/>
          <w:shd w:val="clear" w:color="090000" w:fill="FFFFFF"/>
        </w:rPr>
        <w:t>）效率性评价和有效性评价</w:t>
      </w:r>
      <w:r>
        <w:rPr>
          <w:rFonts w:hint="eastAsia" w:ascii="仿宋_GB2312" w:hAnsi="仿宋_GB2312" w:eastAsia="仿宋_GB2312" w:cs="仿宋_GB2312"/>
          <w:b/>
          <w:bCs/>
          <w:i w:val="0"/>
          <w:caps w:val="0"/>
          <w:color w:val="auto"/>
          <w:spacing w:val="0"/>
          <w:sz w:val="32"/>
          <w:szCs w:val="32"/>
          <w:shd w:val="clear" w:color="09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预算安排的基本支出保障了正常的工作运转，预算安排的项目支出是非常必要的，在执行上是严格遵守各项财经纪律的，在项目资金的使用上也是放</w:t>
      </w:r>
      <w:r>
        <w:rPr>
          <w:rFonts w:hint="eastAsia" w:ascii="仿宋_GB2312" w:hAnsi="仿宋_GB2312" w:eastAsia="仿宋_GB2312" w:cs="仿宋_GB2312"/>
          <w:i w:val="0"/>
          <w:caps w:val="0"/>
          <w:color w:val="auto"/>
          <w:spacing w:val="0"/>
          <w:sz w:val="32"/>
          <w:szCs w:val="32"/>
          <w:shd w:val="clear" w:color="070000" w:fill="FFFFFF"/>
          <w:lang w:eastAsia="zh-CN"/>
        </w:rPr>
        <w:t>得</w:t>
      </w:r>
      <w:r>
        <w:rPr>
          <w:rFonts w:hint="eastAsia" w:ascii="仿宋_GB2312" w:hAnsi="仿宋_GB2312" w:eastAsia="仿宋_GB2312" w:cs="仿宋_GB2312"/>
          <w:i w:val="0"/>
          <w:caps w:val="0"/>
          <w:color w:val="auto"/>
          <w:spacing w:val="0"/>
          <w:sz w:val="32"/>
          <w:szCs w:val="32"/>
          <w:shd w:val="clear" w:color="070000" w:fill="FFFFFF"/>
        </w:rPr>
        <w:t>心的，严守法律底线、纪律底线、道德底线。</w:t>
      </w:r>
    </w:p>
    <w:p w14:paraId="6E65B23D">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left="0" w:right="0" w:firstLine="420"/>
        <w:jc w:val="both"/>
        <w:rPr>
          <w:rFonts w:hint="eastAsia" w:ascii="仿宋_GB2312" w:eastAsia="仿宋_GB2312"/>
          <w:color w:val="auto"/>
          <w:sz w:val="32"/>
          <w:szCs w:val="32"/>
          <w:shd w:val="clear" w:color="auto" w:fill="FFFFFF"/>
          <w:lang w:eastAsia="zh-CN"/>
        </w:rPr>
      </w:pPr>
      <w:r>
        <w:rPr>
          <w:rFonts w:hint="eastAsia" w:ascii="仿宋_GB2312" w:hAnsi="仿宋_GB2312" w:eastAsia="仿宋_GB2312" w:cs="仿宋_GB2312"/>
          <w:b/>
          <w:bCs/>
          <w:i w:val="0"/>
          <w:caps w:val="0"/>
          <w:color w:val="auto"/>
          <w:spacing w:val="0"/>
          <w:sz w:val="32"/>
          <w:szCs w:val="32"/>
          <w:shd w:val="clear" w:color="090000" w:fill="FFFFFF"/>
        </w:rPr>
        <w:t>（</w:t>
      </w:r>
      <w:r>
        <w:rPr>
          <w:rFonts w:hint="eastAsia" w:ascii="仿宋_GB2312" w:hAnsi="仿宋_GB2312" w:eastAsia="仿宋_GB2312" w:cs="仿宋_GB2312"/>
          <w:b/>
          <w:bCs/>
          <w:i w:val="0"/>
          <w:caps w:val="0"/>
          <w:color w:val="auto"/>
          <w:spacing w:val="0"/>
          <w:sz w:val="32"/>
          <w:szCs w:val="32"/>
          <w:shd w:val="clear" w:color="090000" w:fill="FFFFFF"/>
          <w:lang w:val="en-US" w:eastAsia="zh-CN"/>
        </w:rPr>
        <w:t>3</w:t>
      </w:r>
      <w:r>
        <w:rPr>
          <w:rFonts w:hint="eastAsia" w:ascii="仿宋_GB2312" w:hAnsi="仿宋_GB2312" w:eastAsia="仿宋_GB2312" w:cs="仿宋_GB2312"/>
          <w:b/>
          <w:bCs/>
          <w:i w:val="0"/>
          <w:caps w:val="0"/>
          <w:color w:val="auto"/>
          <w:spacing w:val="0"/>
          <w:sz w:val="32"/>
          <w:szCs w:val="32"/>
          <w:shd w:val="clear" w:color="090000" w:fill="FFFFFF"/>
        </w:rPr>
        <w:t>）社会公众满意度评价</w:t>
      </w:r>
      <w:r>
        <w:rPr>
          <w:rFonts w:hint="eastAsia" w:ascii="仿宋_GB2312" w:hAnsi="仿宋_GB2312" w:eastAsia="仿宋_GB2312" w:cs="仿宋_GB2312"/>
          <w:b/>
          <w:bCs/>
          <w:i w:val="0"/>
          <w:caps w:val="0"/>
          <w:color w:val="auto"/>
          <w:spacing w:val="0"/>
          <w:sz w:val="32"/>
          <w:szCs w:val="32"/>
          <w:shd w:val="clear" w:color="090000" w:fill="FFFFFF"/>
          <w:lang w:eastAsia="zh-CN"/>
        </w:rPr>
        <w:t>。</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年我局在县委、县政府的正确领导</w:t>
      </w:r>
      <w:bookmarkStart w:id="13" w:name="_GoBack"/>
      <w:bookmarkEnd w:id="13"/>
      <w:r>
        <w:rPr>
          <w:rFonts w:hint="eastAsia" w:ascii="仿宋_GB2312" w:eastAsia="仿宋_GB2312"/>
          <w:color w:val="auto"/>
          <w:sz w:val="32"/>
          <w:szCs w:val="32"/>
          <w:shd w:val="clear" w:color="auto" w:fill="FFFFFF"/>
        </w:rPr>
        <w:t>下，在上级主管部门的指导下，以“三个代表”重要思想、科学发展观、习近平新时代中国特色社会主义思想为行动指南，认真贯彻落实</w:t>
      </w:r>
      <w:r>
        <w:rPr>
          <w:rFonts w:hint="eastAsia" w:ascii="仿宋_GB2312" w:eastAsia="仿宋_GB2312"/>
          <w:color w:val="auto"/>
          <w:sz w:val="32"/>
          <w:szCs w:val="32"/>
          <w:shd w:val="clear" w:color="auto" w:fill="FFFFFF"/>
          <w:lang w:val="en-US" w:eastAsia="zh-CN"/>
        </w:rPr>
        <w:t>党的</w:t>
      </w:r>
      <w:r>
        <w:rPr>
          <w:rFonts w:hint="eastAsia" w:ascii="仿宋_GB2312" w:eastAsia="仿宋_GB2312"/>
          <w:color w:val="auto"/>
          <w:sz w:val="32"/>
          <w:szCs w:val="32"/>
          <w:shd w:val="clear" w:color="auto" w:fill="FFFFFF"/>
        </w:rPr>
        <w:t>十九大精神，持续推进</w:t>
      </w:r>
      <w:r>
        <w:rPr>
          <w:rFonts w:hint="eastAsia" w:ascii="仿宋_GB2312" w:eastAsia="仿宋_GB2312"/>
          <w:color w:val="auto"/>
          <w:sz w:val="32"/>
          <w:szCs w:val="32"/>
          <w:shd w:val="clear" w:color="auto" w:fill="FFFFFF"/>
          <w:lang w:eastAsia="zh-CN"/>
        </w:rPr>
        <w:t>“两学一做”学习教育</w:t>
      </w:r>
      <w:r>
        <w:rPr>
          <w:rFonts w:hint="eastAsia" w:ascii="仿宋_GB2312" w:eastAsia="仿宋_GB2312"/>
          <w:color w:val="auto"/>
          <w:sz w:val="32"/>
          <w:szCs w:val="32"/>
          <w:shd w:val="clear" w:color="auto" w:fill="FFFFFF"/>
        </w:rPr>
        <w:t>开展，按照“12345”工作思路，以确保市场产品安全为出发点和落脚点，积极探索市场监管新路子，突出重点，真抓实干，攻坚克难，确保行业全年</w:t>
      </w:r>
      <w:r>
        <w:rPr>
          <w:rFonts w:hint="eastAsia" w:ascii="仿宋" w:hAnsi="仿宋" w:eastAsia="仿宋" w:cs="仿宋"/>
          <w:color w:val="auto"/>
          <w:kern w:val="0"/>
          <w:sz w:val="32"/>
          <w:szCs w:val="32"/>
        </w:rPr>
        <w:t>没有发生一起安全事故，</w:t>
      </w:r>
      <w:r>
        <w:rPr>
          <w:rFonts w:hint="eastAsia" w:ascii="仿宋_GB2312" w:eastAsia="仿宋_GB2312"/>
          <w:color w:val="auto"/>
          <w:sz w:val="32"/>
          <w:szCs w:val="32"/>
          <w:shd w:val="clear" w:color="auto" w:fill="FFFFFF"/>
        </w:rPr>
        <w:t>较好地完成了今年的工作目标任务</w:t>
      </w:r>
      <w:r>
        <w:rPr>
          <w:rFonts w:hint="eastAsia" w:ascii="仿宋_GB2312" w:eastAsia="仿宋_GB2312"/>
          <w:color w:val="auto"/>
          <w:sz w:val="32"/>
          <w:szCs w:val="32"/>
          <w:shd w:val="clear" w:color="auto" w:fill="FFFFFF"/>
          <w:lang w:eastAsia="zh-CN"/>
        </w:rPr>
        <w:t>，进一步规范了全县市场监管秩序。</w:t>
      </w:r>
    </w:p>
    <w:p w14:paraId="1AB7AE0B">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四、评价结论及建议</w:t>
      </w:r>
    </w:p>
    <w:p w14:paraId="0F7647C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（一）评价结论</w:t>
      </w:r>
    </w:p>
    <w:p w14:paraId="083C4FDD">
      <w:pPr>
        <w:adjustRightInd w:val="0"/>
        <w:snapToGrid w:val="0"/>
        <w:spacing w:line="60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lang w:eastAsia="zh-CN"/>
        </w:rPr>
        <w:t>我局</w:t>
      </w:r>
      <w:r>
        <w:rPr>
          <w:rFonts w:hint="eastAsia" w:ascii="仿宋_GB2312" w:hAnsi="仿宋_GB2312" w:eastAsia="仿宋_GB2312" w:cs="仿宋_GB2312"/>
          <w:color w:val="auto"/>
          <w:kern w:val="0"/>
          <w:sz w:val="32"/>
          <w:szCs w:val="32"/>
          <w:shd w:val="clear" w:color="auto" w:fill="FFFFFF"/>
        </w:rPr>
        <w:t>采用定量分析和定性分析相结合的方法，从预算编制、</w:t>
      </w:r>
      <w:r>
        <w:rPr>
          <w:rFonts w:hint="eastAsia" w:ascii="仿宋_GB2312" w:hAnsi="仿宋_GB2312" w:eastAsia="仿宋_GB2312" w:cs="仿宋_GB2312"/>
          <w:color w:val="auto"/>
          <w:kern w:val="0"/>
          <w:sz w:val="32"/>
          <w:szCs w:val="32"/>
          <w:shd w:val="clear" w:color="auto" w:fill="FFFFFF"/>
          <w:lang w:eastAsia="zh-CN"/>
        </w:rPr>
        <w:t>预算</w:t>
      </w:r>
      <w:r>
        <w:rPr>
          <w:rFonts w:hint="eastAsia" w:ascii="仿宋_GB2312" w:hAnsi="仿宋_GB2312" w:eastAsia="仿宋_GB2312" w:cs="仿宋_GB2312"/>
          <w:color w:val="auto"/>
          <w:kern w:val="0"/>
          <w:sz w:val="32"/>
          <w:szCs w:val="32"/>
          <w:shd w:val="clear" w:color="auto" w:fill="FFFFFF"/>
        </w:rPr>
        <w:t>执行、</w:t>
      </w:r>
      <w:r>
        <w:rPr>
          <w:rFonts w:hint="eastAsia" w:ascii="仿宋_GB2312" w:hAnsi="仿宋_GB2312" w:eastAsia="仿宋_GB2312" w:cs="仿宋_GB2312"/>
          <w:color w:val="auto"/>
          <w:kern w:val="0"/>
          <w:sz w:val="32"/>
          <w:szCs w:val="32"/>
          <w:shd w:val="clear" w:color="auto" w:fill="FFFFFF"/>
          <w:lang w:eastAsia="zh-CN"/>
        </w:rPr>
        <w:t>综合管理、整体效益</w:t>
      </w:r>
      <w:r>
        <w:rPr>
          <w:rFonts w:hint="eastAsia" w:ascii="仿宋_GB2312" w:hAnsi="仿宋_GB2312" w:eastAsia="仿宋_GB2312" w:cs="仿宋_GB2312"/>
          <w:color w:val="auto"/>
          <w:kern w:val="0"/>
          <w:sz w:val="32"/>
          <w:szCs w:val="32"/>
          <w:shd w:val="clear" w:color="auto" w:fill="FFFFFF"/>
        </w:rPr>
        <w:t>等方面对</w:t>
      </w:r>
      <w:r>
        <w:rPr>
          <w:rFonts w:hint="eastAsia" w:ascii="仿宋_GB2312" w:hAnsi="仿宋_GB2312" w:eastAsia="仿宋_GB2312" w:cs="仿宋_GB2312"/>
          <w:color w:val="auto"/>
          <w:kern w:val="0"/>
          <w:sz w:val="32"/>
          <w:szCs w:val="32"/>
          <w:shd w:val="clear" w:color="auto" w:fill="FFFFFF"/>
          <w:lang w:val="en-US" w:eastAsia="zh-CN"/>
        </w:rPr>
        <w:t>我局2019年部门整体支出绩效</w:t>
      </w:r>
      <w:r>
        <w:rPr>
          <w:rFonts w:hint="eastAsia" w:ascii="仿宋_GB2312" w:hAnsi="仿宋_GB2312" w:eastAsia="仿宋_GB2312" w:cs="仿宋_GB2312"/>
          <w:color w:val="auto"/>
          <w:kern w:val="0"/>
          <w:sz w:val="32"/>
          <w:szCs w:val="32"/>
          <w:shd w:val="clear" w:color="auto" w:fill="FFFFFF"/>
        </w:rPr>
        <w:t>进行了综合评价，形成绩效综合评价结论。</w:t>
      </w:r>
    </w:p>
    <w:p w14:paraId="15227E5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721" w:leftChars="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en-US" w:eastAsia="zh-CN"/>
        </w:rPr>
        <w:t>（二）</w:t>
      </w:r>
      <w:r>
        <w:rPr>
          <w:rFonts w:hint="eastAsia" w:ascii="楷体_GB2312" w:hAnsi="楷体_GB2312" w:eastAsia="楷体_GB2312" w:cs="楷体_GB2312"/>
          <w:b/>
          <w:bCs/>
          <w:color w:val="auto"/>
          <w:kern w:val="0"/>
          <w:sz w:val="32"/>
          <w:szCs w:val="32"/>
          <w:lang w:val="zh-CN"/>
        </w:rPr>
        <w:t>存在问题</w:t>
      </w:r>
    </w:p>
    <w:p w14:paraId="522ADD8A">
      <w:pPr>
        <w:pStyle w:val="39"/>
        <w:keepNext w:val="0"/>
        <w:keepLines w:val="0"/>
        <w:widowControl/>
        <w:suppressLineNumbers w:val="0"/>
        <w:shd w:val="clear" w:color="050000" w:fill="FFFFFF"/>
        <w:spacing w:before="0" w:beforeLines="0" w:beforeAutospacing="0" w:after="0" w:afterLines="0" w:afterAutospacing="0" w:line="26" w:lineRule="atLeast"/>
        <w:ind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color="080000" w:fill="FFFFFF"/>
        </w:rPr>
        <w:t>一是绩效评价管理制度尚不健全。办公室</w:t>
      </w:r>
      <w:r>
        <w:rPr>
          <w:rFonts w:hint="eastAsia" w:ascii="仿宋_GB2312" w:hAnsi="仿宋_GB2312" w:eastAsia="仿宋_GB2312" w:cs="仿宋_GB2312"/>
          <w:b w:val="0"/>
          <w:i w:val="0"/>
          <w:caps w:val="0"/>
          <w:color w:val="auto"/>
          <w:spacing w:val="0"/>
          <w:sz w:val="32"/>
          <w:szCs w:val="32"/>
          <w:shd w:val="clear" w:color="080000" w:fill="FFFFFF"/>
          <w:lang w:eastAsia="zh-CN"/>
        </w:rPr>
        <w:t>尚未</w:t>
      </w:r>
      <w:r>
        <w:rPr>
          <w:rFonts w:hint="eastAsia" w:ascii="仿宋_GB2312" w:hAnsi="仿宋_GB2312" w:eastAsia="仿宋_GB2312" w:cs="仿宋_GB2312"/>
          <w:b w:val="0"/>
          <w:i w:val="0"/>
          <w:caps w:val="0"/>
          <w:color w:val="auto"/>
          <w:spacing w:val="0"/>
          <w:sz w:val="32"/>
          <w:szCs w:val="32"/>
          <w:shd w:val="clear" w:color="080000" w:fill="FFFFFF"/>
        </w:rPr>
        <w:t>制定相关的管理办法和实施细则，无与实际相结合并具有指导意义的绩效管理工作机制和流程，绩效评价开展缺乏强有力的制度保障。</w:t>
      </w:r>
    </w:p>
    <w:p w14:paraId="247999F9">
      <w:pPr>
        <w:pStyle w:val="39"/>
        <w:keepNext w:val="0"/>
        <w:keepLines w:val="0"/>
        <w:widowControl/>
        <w:suppressLineNumbers w:val="0"/>
        <w:shd w:val="clear" w:color="050000" w:fill="FFFFFF"/>
        <w:spacing w:before="0" w:beforeLines="0" w:beforeAutospacing="0" w:after="0" w:afterLines="0" w:afterAutospacing="0" w:line="26" w:lineRule="atLeast"/>
        <w:ind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color="080000" w:fill="FFFFFF"/>
        </w:rPr>
        <w:t>二是绩效评价指标体系还不够完善、合理。财政支出的评价对象涉及行业多，项目之间差异性大，真正能体现项目效果的个性指标，在标准设计上存在难度，导致评价内容不够全面，评价数据采集缺少充分的调查分析和严密的逻辑关系，难以满足不同层面和不同性质的绩效评价需求。</w:t>
      </w:r>
    </w:p>
    <w:p w14:paraId="65AE8DDC">
      <w:pPr>
        <w:pStyle w:val="39"/>
        <w:keepNext w:val="0"/>
        <w:keepLines w:val="0"/>
        <w:widowControl/>
        <w:suppressLineNumbers w:val="0"/>
        <w:shd w:val="clear" w:color="050000" w:fill="FFFFFF"/>
        <w:spacing w:before="0" w:beforeLines="0" w:beforeAutospacing="0" w:after="0" w:afterLines="0" w:afterAutospacing="0" w:line="26" w:lineRule="atLeast"/>
        <w:ind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color="080000" w:fill="FFFFFF"/>
        </w:rPr>
        <w:t>三是对绩效评价</w:t>
      </w:r>
      <w:r>
        <w:rPr>
          <w:rFonts w:hint="eastAsia" w:ascii="仿宋_GB2312" w:hAnsi="仿宋_GB2312" w:eastAsia="仿宋_GB2312" w:cs="仿宋_GB2312"/>
          <w:b w:val="0"/>
          <w:i w:val="0"/>
          <w:caps w:val="0"/>
          <w:color w:val="auto"/>
          <w:spacing w:val="0"/>
          <w:sz w:val="32"/>
          <w:szCs w:val="32"/>
          <w:shd w:val="clear" w:color="080000" w:fill="FFFFFF"/>
          <w:lang w:eastAsia="zh-CN"/>
        </w:rPr>
        <w:t>工作</w:t>
      </w:r>
      <w:r>
        <w:rPr>
          <w:rFonts w:hint="eastAsia" w:ascii="仿宋_GB2312" w:hAnsi="仿宋_GB2312" w:eastAsia="仿宋_GB2312" w:cs="仿宋_GB2312"/>
          <w:b w:val="0"/>
          <w:i w:val="0"/>
          <w:caps w:val="0"/>
          <w:color w:val="auto"/>
          <w:spacing w:val="0"/>
          <w:sz w:val="32"/>
          <w:szCs w:val="32"/>
          <w:shd w:val="clear" w:color="080000" w:fill="FFFFFF"/>
        </w:rPr>
        <w:t>认识不够。单位对财务绩效不重视，认为绩效评价只是财务部门的事情，相关项目职责部门配合不够，往往只能提供有限的财经资料或简单的工作计划、工作总结，绩效评价工作资料非常有限，内容粗浅。大多数时候只能借用工作计划，工作总结等</w:t>
      </w:r>
      <w:r>
        <w:rPr>
          <w:rFonts w:hint="eastAsia" w:ascii="仿宋_GB2312" w:hAnsi="仿宋_GB2312" w:eastAsia="仿宋_GB2312" w:cs="仿宋_GB2312"/>
          <w:b w:val="0"/>
          <w:i w:val="0"/>
          <w:caps w:val="0"/>
          <w:color w:val="auto"/>
          <w:spacing w:val="0"/>
          <w:sz w:val="32"/>
          <w:szCs w:val="32"/>
          <w:shd w:val="clear" w:color="080000" w:fill="FFFFFF"/>
          <w:lang w:eastAsia="zh-CN"/>
        </w:rPr>
        <w:t>作为</w:t>
      </w:r>
      <w:r>
        <w:rPr>
          <w:rFonts w:hint="eastAsia" w:ascii="仿宋_GB2312" w:hAnsi="仿宋_GB2312" w:eastAsia="仿宋_GB2312" w:cs="仿宋_GB2312"/>
          <w:b w:val="0"/>
          <w:i w:val="0"/>
          <w:caps w:val="0"/>
          <w:color w:val="auto"/>
          <w:spacing w:val="0"/>
          <w:sz w:val="32"/>
          <w:szCs w:val="32"/>
          <w:shd w:val="clear" w:color="080000" w:fill="FFFFFF"/>
        </w:rPr>
        <w:t>绩效自评报告的主要内容。</w:t>
      </w:r>
    </w:p>
    <w:p w14:paraId="025064E6">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left="1" w:leftChars="0" w:firstLine="720" w:firstLineChars="0"/>
        <w:jc w:val="left"/>
        <w:rPr>
          <w:rFonts w:hint="eastAsia" w:ascii="楷体_GB2312" w:hAnsi="楷体_GB2312" w:eastAsia="楷体_GB2312" w:cs="楷体_GB2312"/>
          <w:b/>
          <w:bCs/>
          <w:color w:val="auto"/>
          <w:kern w:val="0"/>
          <w:sz w:val="32"/>
          <w:szCs w:val="32"/>
          <w:lang w:val="zh-CN"/>
        </w:rPr>
      </w:pPr>
      <w:r>
        <w:rPr>
          <w:rFonts w:hint="eastAsia" w:ascii="楷体_GB2312" w:hAnsi="楷体_GB2312" w:eastAsia="楷体_GB2312" w:cs="楷体_GB2312"/>
          <w:b/>
          <w:bCs/>
          <w:color w:val="auto"/>
          <w:kern w:val="0"/>
          <w:sz w:val="32"/>
          <w:szCs w:val="32"/>
          <w:lang w:val="zh-CN"/>
        </w:rPr>
        <w:t>改进建议</w:t>
      </w:r>
    </w:p>
    <w:p w14:paraId="59D99F0C">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right="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070000" w:fill="FFFFFF"/>
          <w:lang w:eastAsia="zh-CN"/>
        </w:rPr>
        <w:t>　　</w:t>
      </w:r>
      <w:r>
        <w:rPr>
          <w:rFonts w:hint="eastAsia" w:ascii="仿宋_GB2312" w:hAnsi="仿宋_GB2312" w:eastAsia="仿宋_GB2312" w:cs="仿宋_GB2312"/>
          <w:i w:val="0"/>
          <w:caps w:val="0"/>
          <w:color w:val="auto"/>
          <w:spacing w:val="0"/>
          <w:sz w:val="32"/>
          <w:szCs w:val="32"/>
          <w:shd w:val="clear" w:color="070000" w:fill="FFFFFF"/>
        </w:rPr>
        <w:t>针对上述存在的问题及整体支出管理工作的需要，拟实施的改进措施如下：</w:t>
      </w:r>
    </w:p>
    <w:p w14:paraId="5D7AD662">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right="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070000" w:fill="FFFFFF"/>
          <w:lang w:eastAsia="zh-CN"/>
        </w:rPr>
        <w:t>　　1.</w:t>
      </w:r>
      <w:r>
        <w:rPr>
          <w:rFonts w:hint="eastAsia" w:ascii="仿宋_GB2312" w:hAnsi="仿宋_GB2312" w:eastAsia="仿宋_GB2312" w:cs="仿宋_GB2312"/>
          <w:i w:val="0"/>
          <w:caps w:val="0"/>
          <w:color w:val="auto"/>
          <w:spacing w:val="0"/>
          <w:sz w:val="32"/>
          <w:szCs w:val="32"/>
          <w:shd w:val="clear" w:color="070000" w:fill="FFFFFF"/>
        </w:rPr>
        <w:t>继续从严控制出国</w:t>
      </w:r>
      <w:r>
        <w:rPr>
          <w:rFonts w:hint="eastAsia" w:ascii="仿宋_GB2312" w:hAnsi="仿宋_GB2312" w:eastAsia="仿宋_GB2312" w:cs="仿宋_GB2312"/>
          <w:i w:val="0"/>
          <w:caps w:val="0"/>
          <w:color w:val="auto"/>
          <w:spacing w:val="0"/>
          <w:sz w:val="32"/>
          <w:szCs w:val="32"/>
          <w:shd w:val="clear" w:color="07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境</w:t>
      </w:r>
      <w:r>
        <w:rPr>
          <w:rFonts w:hint="eastAsia" w:ascii="仿宋_GB2312" w:hAnsi="仿宋_GB2312" w:eastAsia="仿宋_GB2312" w:cs="仿宋_GB2312"/>
          <w:i w:val="0"/>
          <w:caps w:val="0"/>
          <w:color w:val="auto"/>
          <w:spacing w:val="0"/>
          <w:sz w:val="32"/>
          <w:szCs w:val="32"/>
          <w:shd w:val="clear" w:color="070000" w:fill="FFFFFF"/>
          <w:lang w:eastAsia="zh-CN"/>
        </w:rPr>
        <w:t>）</w:t>
      </w:r>
      <w:r>
        <w:rPr>
          <w:rFonts w:hint="eastAsia" w:ascii="仿宋_GB2312" w:hAnsi="仿宋_GB2312" w:eastAsia="仿宋_GB2312" w:cs="仿宋_GB2312"/>
          <w:i w:val="0"/>
          <w:caps w:val="0"/>
          <w:color w:val="auto"/>
          <w:spacing w:val="0"/>
          <w:sz w:val="32"/>
          <w:szCs w:val="32"/>
          <w:shd w:val="clear" w:color="070000" w:fill="FFFFFF"/>
        </w:rPr>
        <w:t>经费、车辆购置及运行费、公务接待费等一般性支出。</w:t>
      </w:r>
    </w:p>
    <w:p w14:paraId="3878BF08">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right="0"/>
        <w:jc w:val="both"/>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070000" w:fill="FFFFFF"/>
          <w:lang w:eastAsia="zh-CN"/>
        </w:rPr>
        <w:t>　　2.</w:t>
      </w:r>
      <w:r>
        <w:rPr>
          <w:rFonts w:hint="eastAsia" w:ascii="仿宋_GB2312" w:hAnsi="仿宋_GB2312" w:eastAsia="仿宋_GB2312" w:cs="仿宋_GB2312"/>
          <w:i w:val="0"/>
          <w:caps w:val="0"/>
          <w:color w:val="auto"/>
          <w:spacing w:val="0"/>
          <w:sz w:val="32"/>
          <w:szCs w:val="32"/>
          <w:shd w:val="clear" w:color="070000" w:fill="FFFFFF"/>
        </w:rPr>
        <w:t>加强财务管理，严格财务审核。在费用报账支付时，按照预算规定的费用项目和用途进行资金使用审核、列报支付、财务核算，杜绝超支现象的发生。</w:t>
      </w:r>
    </w:p>
    <w:p w14:paraId="597A6729">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right="0"/>
        <w:jc w:val="both"/>
        <w:rPr>
          <w:rFonts w:hint="eastAsia" w:ascii="仿宋_GB2312" w:hAnsi="仿宋_GB2312" w:eastAsia="仿宋_GB2312" w:cs="仿宋_GB2312"/>
          <w:i w:val="0"/>
          <w:caps w:val="0"/>
          <w:color w:val="auto"/>
          <w:spacing w:val="0"/>
          <w:sz w:val="32"/>
          <w:szCs w:val="32"/>
          <w:shd w:val="clear" w:color="070000" w:fill="FFFFFF"/>
        </w:rPr>
      </w:pPr>
      <w:r>
        <w:rPr>
          <w:rFonts w:hint="eastAsia" w:ascii="仿宋_GB2312" w:hAnsi="仿宋_GB2312" w:eastAsia="仿宋_GB2312" w:cs="仿宋_GB2312"/>
          <w:i w:val="0"/>
          <w:caps w:val="0"/>
          <w:color w:val="auto"/>
          <w:spacing w:val="0"/>
          <w:sz w:val="32"/>
          <w:szCs w:val="32"/>
          <w:shd w:val="clear" w:color="070000" w:fill="FFFFFF"/>
          <w:lang w:eastAsia="zh-CN"/>
        </w:rPr>
        <w:t>　　3.</w:t>
      </w:r>
      <w:r>
        <w:rPr>
          <w:rFonts w:hint="eastAsia" w:ascii="仿宋_GB2312" w:hAnsi="仿宋_GB2312" w:eastAsia="仿宋_GB2312" w:cs="仿宋_GB2312"/>
          <w:i w:val="0"/>
          <w:caps w:val="0"/>
          <w:color w:val="auto"/>
          <w:spacing w:val="0"/>
          <w:sz w:val="32"/>
          <w:szCs w:val="32"/>
          <w:shd w:val="clear" w:color="070000" w:fill="FFFFFF"/>
        </w:rPr>
        <w:t>加强项目开展进度的跟踪，开展项目绩效评价，确保项目绩效目标的完成。</w:t>
      </w:r>
    </w:p>
    <w:p w14:paraId="0A0283E6">
      <w:pPr>
        <w:pStyle w:val="39"/>
        <w:keepNext w:val="0"/>
        <w:keepLines w:val="0"/>
        <w:widowControl/>
        <w:suppressLineNumbers w:val="0"/>
        <w:pBdr>
          <w:top w:val="none" w:color="auto" w:sz="0" w:space="0"/>
          <w:left w:val="none" w:color="auto" w:sz="0" w:space="0"/>
          <w:bottom w:val="none" w:color="auto" w:sz="0" w:space="0"/>
          <w:right w:val="none" w:color="auto" w:sz="0" w:space="0"/>
        </w:pBdr>
        <w:shd w:val="clear" w:color="060000" w:fill="FFFFFF"/>
        <w:spacing w:before="0" w:beforeLines="0" w:beforeAutospacing="0" w:after="0" w:afterLines="0" w:afterAutospacing="0" w:line="26" w:lineRule="atLeast"/>
        <w:ind w:left="0" w:right="0" w:firstLine="420"/>
        <w:jc w:val="both"/>
        <w:rPr>
          <w:rFonts w:hint="eastAsia" w:ascii="仿宋_GB2312" w:hAnsi="仿宋_GB2312" w:eastAsia="仿宋_GB2312" w:cs="仿宋_GB2312"/>
          <w:i w:val="0"/>
          <w:caps w:val="0"/>
          <w:color w:val="auto"/>
          <w:spacing w:val="0"/>
          <w:sz w:val="32"/>
          <w:szCs w:val="32"/>
          <w:shd w:val="clear" w:color="070000" w:fill="FFFFFF"/>
        </w:rPr>
      </w:pPr>
    </w:p>
    <w:p w14:paraId="17389BAB">
      <w:pPr>
        <w:pStyle w:val="15"/>
        <w:adjustRightInd w:val="0"/>
        <w:snapToGrid w:val="0"/>
        <w:spacing w:before="0" w:line="440" w:lineRule="exact"/>
        <w:jc w:val="left"/>
        <w:rPr>
          <w:rFonts w:ascii="仿宋" w:hAnsi="仿宋" w:eastAsia="仿宋"/>
          <w:color w:val="000000" w:themeColor="text1"/>
          <w14:textFill>
            <w14:solidFill>
              <w14:schemeClr w14:val="tx1"/>
            </w14:solidFill>
          </w14:textFill>
        </w:rPr>
      </w:pPr>
    </w:p>
    <w:p w14:paraId="3F4DD670">
      <w:pPr>
        <w:rPr>
          <w:rFonts w:ascii="仿宋" w:hAnsi="仿宋" w:eastAsia="仿宋"/>
          <w:color w:val="000000" w:themeColor="text1"/>
          <w14:textFill>
            <w14:solidFill>
              <w14:schemeClr w14:val="tx1"/>
            </w14:solidFill>
          </w14:textFill>
        </w:rPr>
      </w:pPr>
    </w:p>
    <w:p w14:paraId="071D9509">
      <w:pPr>
        <w:rPr>
          <w:rFonts w:ascii="仿宋" w:hAnsi="仿宋" w:eastAsia="仿宋" w:cstheme="minorBidi"/>
          <w:b/>
          <w:bCs/>
          <w:sz w:val="32"/>
          <w:szCs w:val="32"/>
        </w:rPr>
      </w:pPr>
      <w:r>
        <w:rPr>
          <w:rFonts w:hint="eastAsia" w:ascii="仿宋" w:hAnsi="仿宋" w:eastAsia="仿宋"/>
          <w:b/>
          <w:bCs/>
          <w:sz w:val="32"/>
          <w:szCs w:val="32"/>
        </w:rPr>
        <w:t>第五部分附表</w:t>
      </w:r>
    </w:p>
    <w:p w14:paraId="094D9596">
      <w:pPr>
        <w:rPr>
          <w:rFonts w:ascii="仿宋" w:hAnsi="仿宋" w:eastAsia="仿宋" w:cstheme="minorBidi"/>
          <w:sz w:val="32"/>
          <w:szCs w:val="32"/>
        </w:rPr>
      </w:pPr>
      <w:r>
        <w:rPr>
          <w:rFonts w:hint="eastAsia" w:ascii="仿宋" w:hAnsi="仿宋" w:eastAsia="仿宋"/>
          <w:sz w:val="32"/>
          <w:szCs w:val="32"/>
        </w:rPr>
        <w:t>一、收入支出决算总表</w:t>
      </w:r>
    </w:p>
    <w:p w14:paraId="39778B7E">
      <w:pPr>
        <w:rPr>
          <w:rFonts w:ascii="仿宋" w:hAnsi="仿宋" w:eastAsia="仿宋" w:cstheme="minorBidi"/>
          <w:sz w:val="32"/>
          <w:szCs w:val="32"/>
        </w:rPr>
      </w:pPr>
      <w:r>
        <w:rPr>
          <w:rFonts w:hint="eastAsia" w:ascii="仿宋" w:hAnsi="仿宋" w:eastAsia="仿宋"/>
          <w:sz w:val="32"/>
          <w:szCs w:val="32"/>
        </w:rPr>
        <w:t>二、收入决算表</w:t>
      </w:r>
    </w:p>
    <w:p w14:paraId="40100DEA">
      <w:pPr>
        <w:rPr>
          <w:rFonts w:ascii="仿宋" w:hAnsi="仿宋" w:eastAsia="仿宋" w:cstheme="minorBidi"/>
          <w:sz w:val="32"/>
          <w:szCs w:val="32"/>
        </w:rPr>
      </w:pPr>
      <w:r>
        <w:rPr>
          <w:rFonts w:hint="eastAsia" w:ascii="仿宋" w:hAnsi="仿宋" w:eastAsia="仿宋"/>
          <w:sz w:val="32"/>
          <w:szCs w:val="32"/>
        </w:rPr>
        <w:t>三、支出决算表</w:t>
      </w:r>
    </w:p>
    <w:p w14:paraId="620E3D6A">
      <w:pPr>
        <w:rPr>
          <w:rFonts w:ascii="仿宋" w:hAnsi="仿宋" w:eastAsia="仿宋" w:cstheme="minorBidi"/>
          <w:sz w:val="32"/>
          <w:szCs w:val="32"/>
        </w:rPr>
      </w:pPr>
      <w:r>
        <w:rPr>
          <w:rFonts w:hint="eastAsia" w:ascii="仿宋" w:hAnsi="仿宋" w:eastAsia="仿宋"/>
          <w:sz w:val="32"/>
          <w:szCs w:val="32"/>
        </w:rPr>
        <w:t>四、财政拨款收入支出决算总表</w:t>
      </w:r>
    </w:p>
    <w:p w14:paraId="0ACFEC1A">
      <w:pPr>
        <w:rPr>
          <w:rFonts w:ascii="仿宋" w:hAnsi="仿宋" w:eastAsia="仿宋"/>
          <w:sz w:val="32"/>
          <w:szCs w:val="32"/>
        </w:rPr>
      </w:pPr>
      <w:r>
        <w:rPr>
          <w:rFonts w:hint="eastAsia" w:ascii="仿宋" w:hAnsi="仿宋" w:eastAsia="仿宋"/>
          <w:sz w:val="32"/>
          <w:szCs w:val="32"/>
        </w:rPr>
        <w:t>五、财政拨款支出决算明细表</w:t>
      </w:r>
    </w:p>
    <w:p w14:paraId="321E6BD6">
      <w:pPr>
        <w:rPr>
          <w:rFonts w:ascii="仿宋" w:hAnsi="仿宋" w:eastAsia="仿宋" w:cstheme="minorBidi"/>
          <w:sz w:val="32"/>
          <w:szCs w:val="32"/>
        </w:rPr>
      </w:pPr>
      <w:r>
        <w:rPr>
          <w:rFonts w:hint="eastAsia" w:ascii="仿宋" w:hAnsi="仿宋" w:eastAsia="仿宋"/>
          <w:sz w:val="32"/>
          <w:szCs w:val="32"/>
        </w:rPr>
        <w:t>六、一般公共预算财政拨款支出决算表</w:t>
      </w:r>
    </w:p>
    <w:p w14:paraId="61F3AF1F">
      <w:pPr>
        <w:rPr>
          <w:rFonts w:ascii="仿宋" w:hAnsi="仿宋" w:eastAsia="仿宋" w:cstheme="minorBidi"/>
          <w:sz w:val="32"/>
          <w:szCs w:val="32"/>
        </w:rPr>
      </w:pPr>
      <w:r>
        <w:rPr>
          <w:rFonts w:hint="eastAsia" w:ascii="仿宋" w:hAnsi="仿宋" w:eastAsia="仿宋"/>
          <w:sz w:val="32"/>
          <w:szCs w:val="32"/>
        </w:rPr>
        <w:t>七、一般公共预算财政拨款支出决算明细表</w:t>
      </w:r>
    </w:p>
    <w:p w14:paraId="78C01584">
      <w:pPr>
        <w:rPr>
          <w:rFonts w:ascii="仿宋" w:hAnsi="仿宋" w:eastAsia="仿宋" w:cstheme="minorBidi"/>
          <w:sz w:val="32"/>
          <w:szCs w:val="32"/>
        </w:rPr>
      </w:pPr>
      <w:r>
        <w:rPr>
          <w:rFonts w:hint="eastAsia" w:ascii="仿宋" w:hAnsi="仿宋" w:eastAsia="仿宋"/>
          <w:sz w:val="32"/>
          <w:szCs w:val="32"/>
        </w:rPr>
        <w:t>八、一般公共预算财政拨款基本支出决算表</w:t>
      </w:r>
    </w:p>
    <w:p w14:paraId="64A89A2D">
      <w:pPr>
        <w:rPr>
          <w:rFonts w:ascii="仿宋" w:hAnsi="仿宋" w:eastAsia="仿宋"/>
          <w:sz w:val="32"/>
          <w:szCs w:val="32"/>
        </w:rPr>
      </w:pPr>
      <w:r>
        <w:rPr>
          <w:rFonts w:hint="eastAsia" w:ascii="仿宋" w:hAnsi="仿宋" w:eastAsia="仿宋"/>
          <w:sz w:val="32"/>
          <w:szCs w:val="32"/>
        </w:rPr>
        <w:t>九、一般公共预算财政拨款项目支出决算表</w:t>
      </w:r>
    </w:p>
    <w:p w14:paraId="487069C2">
      <w:pPr>
        <w:rPr>
          <w:rFonts w:ascii="仿宋" w:hAnsi="仿宋" w:eastAsia="仿宋"/>
          <w:sz w:val="32"/>
          <w:szCs w:val="32"/>
        </w:rPr>
      </w:pPr>
      <w:r>
        <w:rPr>
          <w:rFonts w:hint="eastAsia" w:ascii="仿宋" w:hAnsi="仿宋" w:eastAsia="仿宋"/>
          <w:sz w:val="32"/>
          <w:szCs w:val="32"/>
        </w:rPr>
        <w:t>十、一般公共预算财政拨款“三公”经费支出决算表</w:t>
      </w:r>
    </w:p>
    <w:p w14:paraId="0D5B4554">
      <w:pPr>
        <w:pStyle w:val="2"/>
      </w:pPr>
    </w:p>
    <w:sectPr>
      <w:headerReference r:id="rId3" w:type="default"/>
      <w:footerReference r:id="rId4" w:type="default"/>
      <w:pgSz w:w="11906" w:h="16838"/>
      <w:pgMar w:top="1440" w:right="1417" w:bottom="1440" w:left="141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1946C3-DDD6-452D-816A-597D41B4B5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E71533-A93A-4A1F-9BDE-11EEBF06DC5E}"/>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73122A13-6709-4A1E-9A14-ABB9FA75695C}"/>
  </w:font>
  <w:font w:name="仿宋">
    <w:panose1 w:val="02010609060101010101"/>
    <w:charset w:val="86"/>
    <w:family w:val="modern"/>
    <w:pitch w:val="default"/>
    <w:sig w:usb0="800002BF" w:usb1="38CF7CFA" w:usb2="00000016" w:usb3="00000000" w:csb0="00040001" w:csb1="00000000"/>
    <w:embedRegular r:id="rId4" w:fontKey="{0635E76C-30DF-4715-B6E0-9D3EAE1B9016}"/>
  </w:font>
  <w:font w:name="方正小标宋简体">
    <w:panose1 w:val="02010600010101010101"/>
    <w:charset w:val="86"/>
    <w:family w:val="script"/>
    <w:pitch w:val="default"/>
    <w:sig w:usb0="00000001" w:usb1="080E0000" w:usb2="00000000" w:usb3="00000000" w:csb0="00040000" w:csb1="00000000"/>
    <w:embedRegular r:id="rId5" w:fontKey="{7E44C13D-60E8-44F8-ACF1-B6286ABA96BE}"/>
  </w:font>
  <w:font w:name="楷体_GB2312">
    <w:panose1 w:val="02010609030101010101"/>
    <w:charset w:val="86"/>
    <w:family w:val="modern"/>
    <w:pitch w:val="default"/>
    <w:sig w:usb0="00000001" w:usb1="080E0000" w:usb2="00000000" w:usb3="00000000" w:csb0="00040000" w:csb1="00000000"/>
    <w:embedRegular r:id="rId6" w:fontKey="{326503D8-1556-425D-AF06-41DEA04EBB6E}"/>
  </w:font>
  <w:font w:name="楷体">
    <w:panose1 w:val="02010609060101010101"/>
    <w:charset w:val="86"/>
    <w:family w:val="auto"/>
    <w:pitch w:val="default"/>
    <w:sig w:usb0="800002BF" w:usb1="38CF7CFA" w:usb2="00000016" w:usb3="00000000" w:csb0="00040001" w:csb1="00000000"/>
    <w:embedRegular r:id="rId7" w:fontKey="{7766BED5-27DA-493B-9DFC-D51F944370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2D26F0A">
        <w:pPr>
          <w:pStyle w:val="13"/>
          <w:jc w:val="center"/>
        </w:pPr>
        <w:r>
          <w:fldChar w:fldCharType="begin"/>
        </w:r>
        <w:r>
          <w:instrText xml:space="preserve">PAGE   \* MERGEFORMAT</w:instrText>
        </w:r>
        <w:r>
          <w:fldChar w:fldCharType="separate"/>
        </w:r>
        <w:r>
          <w:rPr>
            <w:lang w:val="zh-CN"/>
          </w:rPr>
          <w:t>2</w:t>
        </w:r>
        <w:r>
          <w:fldChar w:fldCharType="end"/>
        </w:r>
      </w:p>
    </w:sdtContent>
  </w:sdt>
  <w:p w14:paraId="3A960F1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4E18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1B231"/>
    <w:multiLevelType w:val="singleLevel"/>
    <w:tmpl w:val="9701B231"/>
    <w:lvl w:ilvl="0" w:tentative="0">
      <w:start w:val="10"/>
      <w:numFmt w:val="chineseCounting"/>
      <w:suff w:val="nothing"/>
      <w:lvlText w:val="%1、"/>
      <w:lvlJc w:val="left"/>
      <w:rPr>
        <w:rFonts w:hint="eastAsia"/>
      </w:rPr>
    </w:lvl>
  </w:abstractNum>
  <w:abstractNum w:abstractNumId="1">
    <w:nsid w:val="00000009"/>
    <w:multiLevelType w:val="singleLevel"/>
    <w:tmpl w:val="0000000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A310511"/>
    <w:rsid w:val="10C055FF"/>
    <w:rsid w:val="13F26F4D"/>
    <w:rsid w:val="16BB723D"/>
    <w:rsid w:val="182834AC"/>
    <w:rsid w:val="240371BF"/>
    <w:rsid w:val="29FD04D3"/>
    <w:rsid w:val="2BE64EF0"/>
    <w:rsid w:val="2DBC32DC"/>
    <w:rsid w:val="319F7F4E"/>
    <w:rsid w:val="322E3C70"/>
    <w:rsid w:val="44B34AEE"/>
    <w:rsid w:val="47D10714"/>
    <w:rsid w:val="4CF62D09"/>
    <w:rsid w:val="4ECE2238"/>
    <w:rsid w:val="5AD71780"/>
    <w:rsid w:val="5C4751FE"/>
    <w:rsid w:val="6DFD0E6E"/>
    <w:rsid w:val="6F6E3B61"/>
    <w:rsid w:val="72734D90"/>
    <w:rsid w:val="7ACF1B24"/>
    <w:rsid w:val="7CFA5BE3"/>
    <w:rsid w:val="7EA728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customStyle="1" w:styleId="2">
    <w:name w:val="Body Text First Indent 2"/>
    <w:basedOn w:val="3"/>
    <w:qFormat/>
    <w:uiPriority w:val="0"/>
    <w:pPr>
      <w:ind w:firstLine="420" w:firstLineChars="200"/>
    </w:pPr>
  </w:style>
  <w:style w:type="paragraph" w:customStyle="1" w:styleId="3">
    <w:name w:val="Body Text Indent"/>
    <w:basedOn w:val="1"/>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7">
    <w:name w:val="index 8"/>
    <w:basedOn w:val="1"/>
    <w:next w:val="1"/>
    <w:qFormat/>
    <w:uiPriority w:val="0"/>
    <w:pPr>
      <w:ind w:left="2940"/>
    </w:pPr>
  </w:style>
  <w:style w:type="paragraph" w:styleId="8">
    <w:name w:val="index 6"/>
    <w:basedOn w:val="1"/>
    <w:next w:val="1"/>
    <w:qFormat/>
    <w:uiPriority w:val="0"/>
    <w:pPr>
      <w:ind w:left="2100"/>
    </w:pPr>
  </w:style>
  <w:style w:type="paragraph" w:styleId="9">
    <w:name w:val="Salutation"/>
    <w:basedOn w:val="1"/>
    <w:next w:val="1"/>
    <w:semiHidden/>
    <w:unhideWhenUsed/>
    <w:qFormat/>
    <w:uiPriority w:val="99"/>
  </w:style>
  <w:style w:type="paragraph" w:styleId="10">
    <w:name w:val="Body Text"/>
    <w:basedOn w:val="1"/>
    <w:link w:val="27"/>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next w:val="1"/>
    <w:qFormat/>
    <w:uiPriority w:val="0"/>
    <w:pPr>
      <w:widowControl/>
      <w:spacing w:before="100" w:beforeAutospacing="1" w:after="100" w:afterAutospacing="1"/>
      <w:jc w:val="left"/>
    </w:pPr>
    <w:rPr>
      <w:rFonts w:ascii="宋体" w:hAnsi="宋体" w:eastAsia="仿宋_GB2312" w:cs="宋体"/>
      <w:kern w:val="0"/>
      <w:sz w:val="24"/>
      <w:lang w:val="en-US" w:eastAsia="zh-CN" w:bidi="ar-SA"/>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10"/>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字符"/>
    <w:basedOn w:val="19"/>
    <w:link w:val="4"/>
    <w:qFormat/>
    <w:uiPriority w:val="9"/>
    <w:rPr>
      <w:rFonts w:ascii="Times New Roman" w:hAnsi="Times New Roman"/>
      <w:b/>
      <w:bCs/>
      <w:kern w:val="44"/>
      <w:sz w:val="44"/>
      <w:szCs w:val="44"/>
    </w:rPr>
  </w:style>
  <w:style w:type="character" w:customStyle="1" w:styleId="31">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p18"/>
    <w:next w:val="8"/>
    <w:qFormat/>
    <w:uiPriority w:val="0"/>
    <w:pPr>
      <w:widowControl/>
      <w:ind w:firstLine="690"/>
      <w:jc w:val="both"/>
    </w:pPr>
    <w:rPr>
      <w:rFonts w:ascii="仿宋_GB2312" w:hAnsi="Times New Roman" w:eastAsia="仿宋_GB2312" w:cs="宋体"/>
      <w:kern w:val="0"/>
      <w:sz w:val="32"/>
      <w:szCs w:val="32"/>
      <w:lang w:val="en-US" w:eastAsia="zh-CN" w:bidi="ar-SA"/>
    </w:rPr>
  </w:style>
  <w:style w:type="paragraph" w:customStyle="1" w:styleId="37">
    <w:name w:val="p0"/>
    <w:next w:val="7"/>
    <w:qFormat/>
    <w:uiPriority w:val="0"/>
    <w:pPr>
      <w:widowControl/>
      <w:jc w:val="both"/>
    </w:pPr>
    <w:rPr>
      <w:rFonts w:ascii="Times New Roman" w:hAnsi="Times New Roman" w:eastAsia="仿宋_GB2312" w:cs="Times New Roman"/>
      <w:kern w:val="0"/>
      <w:sz w:val="21"/>
      <w:szCs w:val="21"/>
      <w:lang w:val="en-US" w:eastAsia="zh-CN" w:bidi="ar-SA"/>
    </w:rPr>
  </w:style>
  <w:style w:type="character" w:customStyle="1" w:styleId="38">
    <w:name w:val="标题 1 Char"/>
    <w:basedOn w:val="19"/>
    <w:link w:val="4"/>
    <w:qFormat/>
    <w:uiPriority w:val="9"/>
    <w:rPr>
      <w:rFonts w:ascii="Times New Roman" w:hAnsi="Times New Roman"/>
      <w:b/>
      <w:bCs/>
      <w:kern w:val="44"/>
      <w:sz w:val="44"/>
      <w:szCs w:val="44"/>
    </w:rPr>
  </w:style>
  <w:style w:type="paragraph" w:customStyle="1" w:styleId="39">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00a048bf-794b-42c6-a9c2-cff063547310</errorID>
      <errorWord>(</errorWord>
      <group>L1_Format</group>
      <groupName>格式问题</groupName>
      <ability>L2_HalfPunc</ability>
      <abilityName>全半角检查</abilityName>
      <candidateList>
        <item>（</item>
      </candidateList>
      <explain>文本全半角错误。</explain>
      <paraID>3A3D6070</paraID>
      <start>0</start>
      <end>1</end>
      <status>modified</status>
      <modifiedWord>（</modifiedWord>
      <trackRevisions>false</trackRevisions>
    </reviewItem>
    <reviewItem>
      <errorID>13b91f6a-5abf-4518-9474-ca71b1817fb1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59DDEE3D</paraID>
      <start>0</start>
      <end>2</end>
      <status>modified</status>
      <modifiedWord>1.</modifiedWord>
      <trackRevisions>false</trackRevisions>
    </reviewItem>
    <reviewItem>
      <errorID>a90e9251-c30e-4ab0-9701-3e9d8bbbf100</errorID>
      <errorWord>法律、法规</errorWord>
      <group>L1_Word</group>
      <groupName>字词问题</groupName>
      <ability>L2_Typo</ability>
      <abilityName>字词错误</abilityName>
      <candidateList>
        <item>法律法规</item>
      </candidateList>
      <explain/>
      <paraID>59DDEE3D</paraID>
      <start>39</start>
      <end>43</end>
      <status>modified</status>
      <modifiedWord>法律法规</modifiedWord>
      <trackRevisions>false</trackRevisions>
    </reviewItem>
    <reviewItem>
      <errorID>a33bd285-0acd-44ea-a640-4de4379b1160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3B6EE5FE</paraID>
      <start>0</start>
      <end>2</end>
      <status>modified</status>
      <modifiedWord>2.</modifiedWord>
      <trackRevisions>false</trackRevisions>
    </reviewItem>
    <reviewItem>
      <errorID>a8e0f070-18dd-4860-b241-be1f6033c3c4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77F89F69</paraID>
      <start>0</start>
      <end>2</end>
      <status>modified</status>
      <modifiedWord>3.</modifiedWord>
      <trackRevisions>false</trackRevisions>
    </reviewItem>
    <reviewItem>
      <errorID>9ff1b1e6-ea95-4256-a567-c3d2516810ec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20FD4A3</paraID>
      <start>0</start>
      <end>2</end>
      <status>modified</status>
      <modifiedWord>4.</modifiedWord>
      <trackRevisions>false</trackRevisions>
    </reviewItem>
    <reviewItem>
      <errorID>85cb0ae8-151e-4fc4-a46a-cd8992ceb587</errorID>
      <errorWord>,</errorWord>
      <group>L1_Format</group>
      <groupName>格式问题</groupName>
      <ability>L2_HalfPunc</ability>
      <abilityName>全半角检查</abilityName>
      <candidateList>
        <item>，</item>
      </candidateList>
      <explain>文本全半角错误。</explain>
      <paraID> 20FD4A3</paraID>
      <start>84</start>
      <end>85</end>
      <status>modified</status>
      <modifiedWord>，</modifiedWord>
      <trackRevisions>false</trackRevisions>
    </reviewItem>
    <reviewItem>
      <errorID>6d69ded3-535d-4662-9609-74f7f1bd503d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2E588C7F</paraID>
      <start>0</start>
      <end>2</end>
      <status>modified</status>
      <modifiedWord>5.</modifiedWord>
      <trackRevisions>false</trackRevisions>
    </reviewItem>
    <reviewItem>
      <errorID>caa63c71-5f76-4336-9a21-ab5a17422c6d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4E4B997</paraID>
      <start>0</start>
      <end>2</end>
      <status>modified</status>
      <modifiedWord>6.</modifiedWord>
      <trackRevisions>false</trackRevisions>
    </reviewItem>
    <reviewItem>
      <errorID>b00ef232-3ac9-4e57-ba2e-7240db04922f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64B71690</paraID>
      <start>0</start>
      <end>2</end>
      <status>modified</status>
      <modifiedWord>7.</modifiedWord>
      <trackRevisions>false</trackRevisions>
    </reviewItem>
    <reviewItem>
      <errorID>3b212529-ba8e-4cec-adb2-09d3a63a42f1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64F056DB</paraID>
      <start>0</start>
      <end>2</end>
      <status>modified</status>
      <modifiedWord>8.</modifiedWord>
      <trackRevisions>false</trackRevisions>
    </reviewItem>
    <reviewItem>
      <errorID>6a36c270-0508-475a-9972-35a23c7f7eb5</errorID>
      <errorWord>,</errorWord>
      <group>L1_Format</group>
      <groupName>格式问题</groupName>
      <ability>L2_HalfPunc</ability>
      <abilityName>全半角检查</abilityName>
      <candidateList>
        <item>，</item>
      </candidateList>
      <explain>文本全半角错误。</explain>
      <paraID>64F056DB</paraID>
      <start>32</start>
      <end>33</end>
      <status>modified</status>
      <modifiedWord>，</modifiedWord>
      <trackRevisions>false</trackRevisions>
    </reviewItem>
    <reviewItem>
      <errorID>9cb00298-59c5-49d9-ac2c-91eac02e9e30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5F6FA838</paraID>
      <start>0</start>
      <end>2</end>
      <status>modified</status>
      <modifiedWord>9.</modifiedWord>
      <trackRevisions>false</trackRevisions>
    </reviewItem>
    <reviewItem>
      <errorID>223f128a-9540-4631-8f95-3a450321a645</errorID>
      <errorWord>,</errorWord>
      <group>L1_Format</group>
      <groupName>格式问题</groupName>
      <ability>L2_HalfPunc</ability>
      <abilityName>全半角检查</abilityName>
      <candidateList>
        <item>，</item>
      </candidateList>
      <explain>文本全半角错误。</explain>
      <paraID>5F6FA838</paraID>
      <start>42</start>
      <end>43</end>
      <status>modified</status>
      <modifiedWord>，</modifiedWord>
      <trackRevisions>false</trackRevisions>
    </reviewItem>
    <reviewItem>
      <errorID>51519edb-8055-4559-b4c7-becdf76054f8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73A9EE3D</paraID>
      <start>0</start>
      <end>3</end>
      <status>modified</status>
      <modifiedWord>10.</modifiedWord>
      <trackRevisions>false</trackRevisions>
    </reviewItem>
    <reviewItem>
      <errorID>3ed018e3-2b45-468d-96fe-0dd070dfb66a</errorID>
      <errorWord>,</errorWord>
      <group>L1_Format</group>
      <groupName>格式问题</groupName>
      <ability>L2_HalfPunc</ability>
      <abilityName>全半角检查</abilityName>
      <candidateList>
        <item>，</item>
      </candidateList>
      <explain>文本全半角错误。</explain>
      <paraID>73A9EE3D</paraID>
      <start>88</start>
      <end>89</end>
      <status>modified</status>
      <modifiedWord>，</modifiedWord>
      <trackRevisions>false</trackRevisions>
    </reviewItem>
    <reviewItem>
      <errorID>b522a20d-1de0-464a-b405-39f65f8a464c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1E0B0458</paraID>
      <start>0</start>
      <end>3</end>
      <status>modified</status>
      <modifiedWord>11.</modifiedWord>
      <trackRevisions>false</trackRevisions>
    </reviewItem>
    <reviewItem>
      <errorID>8b8747bb-c902-4931-bd0b-d9266809e36e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60A2459A</paraID>
      <start>0</start>
      <end>3</end>
      <status>modified</status>
      <modifiedWord>12.</modifiedWord>
      <trackRevisions>false</trackRevisions>
    </reviewItem>
    <reviewItem>
      <errorID>e0ad553f-e524-40a9-92bc-46f4f8ff8980</errorID>
      <errorWord>,</errorWord>
      <group>L1_Format</group>
      <groupName>格式问题</groupName>
      <ability>L2_HalfPunc</ability>
      <abilityName>全半角检查</abilityName>
      <candidateList>
        <item>，</item>
      </candidateList>
      <explain>文本全半角错误。</explain>
      <paraID>60A2459A</paraID>
      <start>31</start>
      <end>32</end>
      <status>modified</status>
      <modifiedWord>，</modifiedWord>
      <trackRevisions>false</trackRevisions>
    </reviewItem>
    <reviewItem>
      <errorID>f0907b15-1de3-4553-a455-1ff863b47d7e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37C293B</paraID>
      <start>0</start>
      <end>3</end>
      <status>modified</status>
      <modifiedWord>13.</modifiedWord>
      <trackRevisions>false</trackRevisions>
    </reviewItem>
    <reviewItem>
      <errorID>5243bf0c-ded9-4aa0-943b-d7fa6821580b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206CA3FD</paraID>
      <start>0</start>
      <end>3</end>
      <status>modified</status>
      <modifiedWord>14.</modifiedWord>
      <trackRevisions>false</trackRevisions>
    </reviewItem>
    <reviewItem>
      <errorID>0b54610c-e48e-4f65-b544-03d550f90d9d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228F9BD0</paraID>
      <start>0</start>
      <end>3</end>
      <status>modified</status>
      <modifiedWord>15.</modifiedWord>
      <trackRevisions>false</trackRevisions>
    </reviewItem>
    <reviewItem>
      <errorID>d2823f44-2dfa-4d4d-9ed0-24038bf012f0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1AA746AE</paraID>
      <start>0</start>
      <end>3</end>
      <status>modified</status>
      <modifiedWord>16.</modifiedWord>
      <trackRevisions>false</trackRevisions>
    </reviewItem>
    <reviewItem>
      <errorID>2681610d-9572-4db4-9f46-7fe36bbc3ff1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5164BAD4</paraID>
      <start>0</start>
      <end>3</end>
      <status>modified</status>
      <modifiedWord>17.</modifiedWord>
      <trackRevisions>false</trackRevisions>
    </reviewItem>
    <reviewItem>
      <errorID>fd5379ea-ecef-4ca1-b257-ae44120fa105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414B4D26</paraID>
      <start>0</start>
      <end>3</end>
      <status>modified</status>
      <modifiedWord>18.</modifiedWord>
      <trackRevisions>false</trackRevisions>
    </reviewItem>
    <reviewItem>
      <errorID>134d8953-e711-473a-9c68-fe929b820f7a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67414DD8</paraID>
      <start>0</start>
      <end>3</end>
      <status>modified</status>
      <modifiedWord>19.</modifiedWord>
      <trackRevisions>false</trackRevisions>
    </reviewItem>
    <reviewItem>
      <errorID>d60d697b-1ebc-4a23-87bb-4051fda5d33f</errorID>
      <errorWord>１</errorWord>
      <group>L1_Format</group>
      <groupName>格式问题</groupName>
      <ability>L2_HalfPunc</ability>
      <abilityName>全半角检查</abilityName>
      <candidateList>
        <item>1</item>
      </candidateList>
      <explain>文本全半角错误。</explain>
      <paraID>70FCBA82</paraID>
      <start>0</start>
      <end>1</end>
      <status>modified</status>
      <modifiedWord>1</modifiedWord>
      <trackRevisions>false</trackRevisions>
    </reviewItem>
    <reviewItem>
      <errorID>c153d346-f9f2-48f1-9099-41dc7e2b61bb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29807E1</paraID>
      <start>0</start>
      <end>2</end>
      <status>modified</status>
      <modifiedWord>2.</modifiedWord>
      <trackRevisions>false</trackRevisions>
    </reviewItem>
    <reviewItem>
      <errorID>910e0b49-7a74-4995-82cf-b33b97f6cc3e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4A060E15</paraID>
      <start>2</start>
      <end>4</end>
      <status>modified</status>
      <modifiedWord>1.</modifiedWord>
      <trackRevisions>false</trackRevisions>
    </reviewItem>
    <reviewItem>
      <errorID>745dd7e1-977c-4929-997e-1100e6e47716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42D92033</paraID>
      <start>0</start>
      <end>2</end>
      <status>modified</status>
      <modifiedWord>2.</modifiedWord>
      <trackRevisions>false</trackRevisions>
    </reviewItem>
    <reviewItem>
      <errorID>f4e22b57-2299-4cb2-97b0-9b486a11e9ea</errorID>
      <errorWord>:</errorWord>
      <group>L1_Format</group>
      <groupName>格式问题</groupName>
      <ability>L2_HalfPunc</ability>
      <abilityName>全半角检查</abilityName>
      <candidateList>
        <item>：</item>
      </candidateList>
      <explain>文本全半角错误。</explain>
      <paraID>1CABEC1C</paraID>
      <start>173</start>
      <end>174</end>
      <status>modified</status>
      <modifiedWord>：</modifiedWord>
      <trackRevisions>false</trackRevisions>
    </reviewItem>
    <reviewItem>
      <errorID>bf1a6dbe-3da5-4a24-a49b-ba8173cd16b8</errorID>
      <errorWord>(</errorWord>
      <group>L1_Format</group>
      <groupName>格式问题</groupName>
      <ability>L2_HalfPunc</ability>
      <abilityName>全半角检查</abilityName>
      <candidateList>
        <item>（</item>
      </candidateList>
      <explain>文本全半角错误。</explain>
      <paraID>4A7F8A2B</paraID>
      <start>0</start>
      <end>1</end>
      <status>modified</status>
      <modifiedWord>（</modifiedWord>
      <trackRevisions>false</trackRevisions>
    </reviewItem>
    <reviewItem>
      <errorID>1b7c41a0-ae2d-476f-a1bc-502b0de38c22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348802C4</paraID>
      <start>0</start>
      <end>2</end>
      <status>modified</status>
      <modifiedWord>1.</modifiedWord>
      <trackRevisions>false</trackRevisions>
    </reviewItem>
    <reviewItem>
      <errorID>2d451958-02c7-49b3-9e2f-91dbfc5713d9</errorID>
      <errorWord>法律、法规</errorWord>
      <group>L1_Word</group>
      <groupName>字词问题</groupName>
      <ability>L2_Typo</ability>
      <abilityName>字词错误</abilityName>
      <candidateList>
        <item>法律法规</item>
      </candidateList>
      <explain/>
      <paraID>348802C4</paraID>
      <start>39</start>
      <end>43</end>
      <status>modified</status>
      <modifiedWord>法律法规</modifiedWord>
      <trackRevisions>false</trackRevisions>
    </reviewItem>
    <reviewItem>
      <errorID>c1cfbad3-b1a7-4795-b0c4-a4be59c5ac18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7D4D21F2</paraID>
      <start>0</start>
      <end>2</end>
      <status>modified</status>
      <modifiedWord>2.</modifiedWord>
      <trackRevisions>false</trackRevisions>
    </reviewItem>
    <reviewItem>
      <errorID>83d42709-1785-4f62-8d15-fad8f4b4b11e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7DE9BC61</paraID>
      <start>0</start>
      <end>2</end>
      <status>modified</status>
      <modifiedWord>3.</modifiedWord>
      <trackRevisions>false</trackRevisions>
    </reviewItem>
    <reviewItem>
      <errorID>71b35773-a107-46e1-81bf-e704869602df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72EF287F</paraID>
      <start>0</start>
      <end>2</end>
      <status>modified</status>
      <modifiedWord>4.</modifiedWord>
      <trackRevisions>false</trackRevisions>
    </reviewItem>
    <reviewItem>
      <errorID>85e41fb3-7e5b-433d-b1c1-6cd928bf3f0f</errorID>
      <errorWord>,</errorWord>
      <group>L1_Format</group>
      <groupName>格式问题</groupName>
      <ability>L2_HalfPunc</ability>
      <abilityName>全半角检查</abilityName>
      <candidateList>
        <item>，</item>
      </candidateList>
      <explain>文本全半角错误。</explain>
      <paraID>72EF287F</paraID>
      <start>84</start>
      <end>85</end>
      <status>modified</status>
      <modifiedWord>，</modifiedWord>
      <trackRevisions>false</trackRevisions>
    </reviewItem>
    <reviewItem>
      <errorID>2d7f56da-0e51-49ea-ad76-eae7084da43c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3E68F01A</paraID>
      <start>0</start>
      <end>2</end>
      <status>modified</status>
      <modifiedWord>5.</modifiedWord>
      <trackRevisions>false</trackRevisions>
    </reviewItem>
    <reviewItem>
      <errorID>b7887534-df12-4f1d-a590-61d0a6d897cd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55F2DD40</paraID>
      <start>0</start>
      <end>2</end>
      <status>modified</status>
      <modifiedWord>6.</modifiedWord>
      <trackRevisions>false</trackRevisions>
    </reviewItem>
    <reviewItem>
      <errorID>5f692fa4-9bec-4182-b297-eaaad53e2c1f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2C7B5B38</paraID>
      <start>0</start>
      <end>2</end>
      <status>modified</status>
      <modifiedWord>7.</modifiedWord>
      <trackRevisions>false</trackRevisions>
    </reviewItem>
    <reviewItem>
      <errorID>480e2024-89ac-49d1-a36a-aeb9cffb9c85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699AC14E</paraID>
      <start>0</start>
      <end>2</end>
      <status>modified</status>
      <modifiedWord>8.</modifiedWord>
      <trackRevisions>false</trackRevisions>
    </reviewItem>
    <reviewItem>
      <errorID>ea423a38-cb1b-4d7b-92c7-b06116052663</errorID>
      <errorWord>,</errorWord>
      <group>L1_Format</group>
      <groupName>格式问题</groupName>
      <ability>L2_HalfPunc</ability>
      <abilityName>全半角检查</abilityName>
      <candidateList>
        <item>，</item>
      </candidateList>
      <explain>文本全半角错误。</explain>
      <paraID>699AC14E</paraID>
      <start>32</start>
      <end>33</end>
      <status>modified</status>
      <modifiedWord>，</modifiedWord>
      <trackRevisions>false</trackRevisions>
    </reviewItem>
    <reviewItem>
      <errorID>6cd242fa-102b-4e3b-b228-55d20b1d46b9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20117AC7</paraID>
      <start>0</start>
      <end>2</end>
      <status>modified</status>
      <modifiedWord>9.</modifiedWord>
      <trackRevisions>false</trackRevisions>
    </reviewItem>
    <reviewItem>
      <errorID>fe7d495c-e90c-44a3-8dad-8306c9ef2c1f</errorID>
      <errorWord>,</errorWord>
      <group>L1_Format</group>
      <groupName>格式问题</groupName>
      <ability>L2_HalfPunc</ability>
      <abilityName>全半角检查</abilityName>
      <candidateList>
        <item>，</item>
      </candidateList>
      <explain>文本全半角错误。</explain>
      <paraID>20117AC7</paraID>
      <start>42</start>
      <end>43</end>
      <status>modified</status>
      <modifiedWord>，</modifiedWord>
      <trackRevisions>false</trackRevisions>
    </reviewItem>
    <reviewItem>
      <errorID>96d2c2eb-fe18-463a-b7b9-6a02c55ca709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72F2502D</paraID>
      <start>0</start>
      <end>3</end>
      <status>modified</status>
      <modifiedWord>10.</modifiedWord>
      <trackRevisions>false</trackRevisions>
    </reviewItem>
    <reviewItem>
      <errorID>7d4a43c8-5dcb-4a68-8844-e999995621fd</errorID>
      <errorWord>,</errorWord>
      <group>L1_Format</group>
      <groupName>格式问题</groupName>
      <ability>L2_HalfPunc</ability>
      <abilityName>全半角检查</abilityName>
      <candidateList>
        <item>，</item>
      </candidateList>
      <explain>文本全半角错误。</explain>
      <paraID>72F2502D</paraID>
      <start>88</start>
      <end>89</end>
      <status>modified</status>
      <modifiedWord>，</modifiedWord>
      <trackRevisions>false</trackRevisions>
    </reviewItem>
    <reviewItem>
      <errorID>90492571-7198-4c35-8da5-28115f8f37b4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5D27D914</paraID>
      <start>0</start>
      <end>3</end>
      <status>modified</status>
      <modifiedWord>11.</modifiedWord>
      <trackRevisions>false</trackRevisions>
    </reviewItem>
    <reviewItem>
      <errorID>a0beb92d-6b90-4d80-8515-92404e808904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7C9FEADA</paraID>
      <start>0</start>
      <end>3</end>
      <status>modified</status>
      <modifiedWord>12.</modifiedWord>
      <trackRevisions>false</trackRevisions>
    </reviewItem>
    <reviewItem>
      <errorID>6df4e786-5354-4180-8377-9e4fb9e1faa2</errorID>
      <errorWord>,</errorWord>
      <group>L1_Format</group>
      <groupName>格式问题</groupName>
      <ability>L2_HalfPunc</ability>
      <abilityName>全半角检查</abilityName>
      <candidateList>
        <item>，</item>
      </candidateList>
      <explain>文本全半角错误。</explain>
      <paraID>7C9FEADA</paraID>
      <start>31</start>
      <end>32</end>
      <status>modified</status>
      <modifiedWord>，</modifiedWord>
      <trackRevisions>false</trackRevisions>
    </reviewItem>
    <reviewItem>
      <errorID>882177a7-08f7-4011-b637-bae35e1801b0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49E1ABAC</paraID>
      <start>0</start>
      <end>3</end>
      <status>modified</status>
      <modifiedWord>13.</modifiedWord>
      <trackRevisions>false</trackRevisions>
    </reviewItem>
    <reviewItem>
      <errorID>4f4f4eb1-d19e-4a29-963d-2e0b35069e0a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62933DA7</paraID>
      <start>0</start>
      <end>3</end>
      <status>modified</status>
      <modifiedWord>14.</modifiedWord>
      <trackRevisions>false</trackRevisions>
    </reviewItem>
    <reviewItem>
      <errorID>46c0b411-e95b-4e32-9e20-57a66f2f997c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437C523D</paraID>
      <start>0</start>
      <end>3</end>
      <status>modified</status>
      <modifiedWord>15.</modifiedWord>
      <trackRevisions>false</trackRevisions>
    </reviewItem>
    <reviewItem>
      <errorID>159b72f6-59b3-4740-9e72-5f79b781c218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634BBDD8</paraID>
      <start>0</start>
      <end>3</end>
      <status>modified</status>
      <modifiedWord>16.</modifiedWord>
      <trackRevisions>false</trackRevisions>
    </reviewItem>
    <reviewItem>
      <errorID>4f1e1e5b-66ab-4ec9-ab92-218bb2f1decc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4B9A2F24</paraID>
      <start>0</start>
      <end>3</end>
      <status>modified</status>
      <modifiedWord>17.</modifiedWord>
      <trackRevisions>false</trackRevisions>
    </reviewItem>
    <reviewItem>
      <errorID>b2077638-f7fc-4561-af7a-17afb54e9bb9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70863EA8</paraID>
      <start>0</start>
      <end>3</end>
      <status>modified</status>
      <modifiedWord>18.</modifiedWord>
      <trackRevisions>false</trackRevisions>
    </reviewItem>
    <reviewItem>
      <errorID>043edb4c-682a-472c-ac50-794b9c8dbdd9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726DF1F8</paraID>
      <start>0</start>
      <end>3</end>
      <status>modified</status>
      <modifiedWord>19.</modifiedWord>
      <trackRevisions>false</trackRevisions>
    </reviewItem>
    <reviewItem>
      <errorID>38dfaf0a-2ce4-4264-a226-d4e1876e83d8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2C63323D</paraID>
      <start>0</start>
      <end>2</end>
      <status>modified</status>
      <modifiedWord>1.</modifiedWord>
      <trackRevisions>false</trackRevisions>
    </reviewItem>
    <reviewItem>
      <errorID>9b254825-bb3c-49db-bc27-9722e021a685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41BB5C9A</paraID>
      <start>0</start>
      <end>2</end>
      <status>modified</status>
      <modifiedWord>2.</modifiedWord>
      <trackRevisions>false</trackRevisions>
    </reviewItem>
    <reviewItem>
      <errorID>1ad652d5-6843-4dd0-880a-1e74367db654</errorID>
      <errorWord>:</errorWord>
      <group>L1_Format</group>
      <groupName>格式问题</groupName>
      <ability>L2_HalfPunc</ability>
      <abilityName>全半角检查</abilityName>
      <candidateList>
        <item>：</item>
      </candidateList>
      <explain>文本全半角错误。</explain>
      <paraID>52A2732B</paraID>
      <start>44</start>
      <end>45</end>
      <status>modified</status>
      <modifiedWord>：</modifiedWord>
      <trackRevisions>false</trackRevisions>
    </reviewItem>
    <reviewItem>
      <errorID>a4dfbe90-dba0-4c30-9fee-76ae1c72becb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52A2732B</paraID>
      <start>94</start>
      <end>95</end>
      <status>modified</status>
      <modifiedWord>—</modifiedWord>
      <trackRevisions>false</trackRevisions>
    </reviewItem>
    <reviewItem>
      <errorID>cc98d6c1-3350-4b9b-9e7c-4b56620938ce</errorID>
      <errorWord>,</errorWord>
      <group>L1_Format</group>
      <groupName>格式问题</groupName>
      <ability>L2_HalfPunc</ability>
      <abilityName>全半角检查</abilityName>
      <candidateList>
        <item>，</item>
      </candidateList>
      <explain>文本全半角错误。</explain>
      <paraID>52A2732B</paraID>
      <start>120</start>
      <end>121</end>
      <status>modified</status>
      <modifiedWord>，</modifiedWord>
      <trackRevisions>false</trackRevisions>
    </reviewItem>
    <reviewItem>
      <errorID>0db050ea-4efd-476f-a5e1-7f8141365ed7</errorID>
      <errorWord>加强了</errorWord>
      <group>L1_Word</group>
      <groupName>字词问题</groupName>
      <ability>L2_Typo</ability>
      <abilityName>字词错误</abilityName>
      <candidateList>
        <item>加强</item>
      </candidateList>
      <explain/>
      <paraID>6629C490</paraID>
      <start>43</start>
      <end>45</end>
      <status>modified</status>
      <modifiedWord>加强</modifiedWord>
      <trackRevisions>false</trackRevisions>
    </reviewItem>
    <reviewItem>
      <errorID>a0243abb-8cfa-4e88-92cf-10de1629aa42</errorID>
      <errorWord>(</errorWord>
      <group>L1_Format</group>
      <groupName>格式问题</groupName>
      <ability>L2_HalfPunc</ability>
      <abilityName>全半角检查</abilityName>
      <candidateList>
        <item>（</item>
      </candidateList>
      <explain>文本全半角错误。</explain>
      <paraID>58A3AEBC</paraID>
      <start>91</start>
      <end>92</end>
      <status>modified</status>
      <modifiedWord>（</modifiedWord>
      <trackRevisions>false</trackRevisions>
    </reviewItem>
    <reviewItem>
      <errorID>99a3d103-afee-4327-8f6d-87fefe9501fa</errorID>
      <errorWord>)</errorWord>
      <group>L1_Format</group>
      <groupName>格式问题</groupName>
      <ability>L2_HalfPunc</ability>
      <abilityName>全半角检查</abilityName>
      <candidateList>
        <item>）</item>
      </candidateList>
      <explain>文本全半角错误。</explain>
      <paraID>58A3AEBC</paraID>
      <start>99</start>
      <end>100</end>
      <status>modified</status>
      <modifiedWord>）</modifiedWord>
      <trackRevisions>false</trackRevisions>
    </reviewItem>
    <reviewItem>
      <errorID>74d1713d-e842-4ffa-b56b-e1f91e8aef3c</errorID>
      <errorWord>较好的完成了</errorWord>
      <group>L1_Word</group>
      <groupName>字词问题</groupName>
      <ability>L2_Typo</ability>
      <abilityName>字词错误</abilityName>
      <candidateList>
        <item>较好地完成了</item>
      </candidateList>
      <explain/>
      <paraID> E7CD5AE</paraID>
      <start>51</start>
      <end>57</end>
      <status>modified</status>
      <modifiedWord>较好地完成了</modifiedWord>
      <trackRevisions>false</trackRevisions>
    </reviewItem>
    <reviewItem>
      <errorID>65aa218f-2860-4aaa-981b-c095da828bc8</errorID>
      <errorWord>的</errorWord>
      <group>L1_Word</group>
      <groupName>字词问题</groupName>
      <ability>L2_DDD</ability>
      <abilityName>的地得用法</abilityName>
      <candidateList>
        <item>得</item>
      </candidateList>
      <explain>“得”常用在动词或形容词后面，表示动作结果、程度或状态评价。</explain>
      <paraID>32890812</paraID>
      <start>80</start>
      <end>81</end>
      <status>modified</status>
      <modifiedWord>得</modifiedWord>
      <trackRevisions>false</trackRevisions>
    </reviewItem>
    <reviewItem>
      <errorID>7efed762-40fb-4b8f-8208-dceac02ac064</errorID>
      <errorWord>“两学一做”活动</errorWord>
      <group>L1_Word</group>
      <groupName>字词问题</groupName>
      <ability>L2_Typo</ability>
      <abilityName>字词错误</abilityName>
      <candidateList>
        <item>“两学一做”学习教育</item>
      </candidateList>
      <explain/>
      <paraID>6E65B23D</paraID>
      <start>104</start>
      <end>114</end>
      <status>modified</status>
      <modifiedWord>“两学一做”学习教育</modifiedWord>
      <trackRevisions>false</trackRevisions>
    </reviewItem>
    <reviewItem>
      <errorID>34b62ba5-60c3-4580-a506-b20c5c502593</errorID>
      <errorWord>(</errorWord>
      <group>L1_Format</group>
      <groupName>格式问题</groupName>
      <ability>L2_HalfPunc</ability>
      <abilityName>全半角检查</abilityName>
      <candidateList>
        <item>（</item>
      </candidateList>
      <explain>文本全半角错误。</explain>
      <paraID>15227E5D</paraID>
      <start>0</start>
      <end>1</end>
      <status>modified</status>
      <modifiedWord>（</modifiedWord>
      <trackRevisions>false</trackRevisions>
    </reviewItem>
    <reviewItem>
      <errorID>fee66031-b379-48a1-833b-ae69db18a333</errorID>
      <errorWord>还尚未</errorWord>
      <group>L1_Word</group>
      <groupName>字词问题</groupName>
      <ability>L2_Typo</ability>
      <abilityName>字词错误</abilityName>
      <candidateList>
        <item>尚未</item>
      </candidateList>
      <explain/>
      <paraID>522ADD8A</paraID>
      <start>18</start>
      <end>20</end>
      <status>modified</status>
      <modifiedWord>尚未</modifiedWord>
      <trackRevisions>false</trackRevisions>
    </reviewItem>
    <reviewItem>
      <errorID>ebff86cc-5917-4c1c-a8bb-d7f0e74071d8</errorID>
      <errorWord>工作的</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65AE8DDC</paraID>
      <start>7</start>
      <end>9</end>
      <status>modified</status>
      <modifiedWord>工作</modifiedWord>
      <trackRevisions>false</trackRevisions>
    </reviewItem>
    <reviewItem>
      <errorID>96231262-030a-4a47-8ba5-95314457c87d</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65AE8DDC</paraID>
      <start>118</start>
      <end>120</end>
      <status>modified</status>
      <modifiedWord>作为</modifiedWord>
      <trackRevisions>false</trackRevisions>
    </reviewItem>
    <reviewItem>
      <errorID>69635e51-0e7d-468e-b424-4aaf92585ed4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5D7AD662</paraID>
      <start>2</start>
      <end>4</end>
      <status>modified</status>
      <modifiedWord>1.</modifiedWord>
      <trackRevisions>false</trackRevisions>
    </reviewItem>
    <reviewItem>
      <errorID>2ae098e6-792e-4602-aa81-78da370d0e45</errorID>
      <errorWord>(</errorWord>
      <group>L1_Format</group>
      <groupName>格式问题</groupName>
      <ability>L2_HalfPunc</ability>
      <abilityName>全半角检查</abilityName>
      <candidateList>
        <item>（</item>
      </candidateList>
      <explain>文本全半角错误。</explain>
      <paraID>5D7AD662</paraID>
      <start>12</start>
      <end>13</end>
      <status>modified</status>
      <modifiedWord>（</modifiedWord>
      <trackRevisions>false</trackRevisions>
    </reviewItem>
    <reviewItem>
      <errorID>98fa7af5-1c88-4f97-91b9-b8aade946793</errorID>
      <errorWord>)</errorWord>
      <group>L1_Format</group>
      <groupName>格式问题</groupName>
      <ability>L2_HalfPunc</ability>
      <abilityName>全半角检查</abilityName>
      <candidateList>
        <item>）</item>
      </candidateList>
      <explain>文本全半角错误。</explain>
      <paraID>5D7AD662</paraID>
      <start>14</start>
      <end>15</end>
      <status>modified</status>
      <modifiedWord>）</modifiedWord>
      <trackRevisions>false</trackRevisions>
    </reviewItem>
    <reviewItem>
      <errorID>0a193522-2392-4d3d-9941-eef577be810f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3878BF08</paraID>
      <start>2</start>
      <end>4</end>
      <status>modified</status>
      <modifiedWord>2.</modifiedWord>
      <trackRevisions>false</trackRevisions>
    </reviewItem>
    <reviewItem>
      <errorID>0960c84e-679c-4efe-9315-13a4bf12b6d2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597A6729</paraID>
      <start>2</start>
      <end>4</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d955321d-903c-490d-a104-12f7292bcf54}">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8049</Words>
  <Characters>8534</Characters>
  <Lines>61</Lines>
  <Paragraphs>17</Paragraphs>
  <TotalTime>3</TotalTime>
  <ScaleCrop>false</ScaleCrop>
  <LinksUpToDate>false</LinksUpToDate>
  <CharactersWithSpaces>8706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2020-09-22T08:36:00Z</cp:lastPrinted>
  <dcterms:modified xsi:type="dcterms:W3CDTF">2026-04-23T03:14:33Z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2257EBC95B8F423CA444C87004244476_12</vt:lpwstr>
  </property>
</Properties>
</file>