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314BC0">
      <w:pPr>
        <w:pStyle w:val="5"/>
        <w:jc w:val="center"/>
        <w:rPr>
          <w:rFonts w:hint="eastAsia" w:ascii="Times New Roman" w:hAnsi="Times New Roman" w:eastAsia="方正小标宋简体" w:cs="Times New Roman"/>
          <w:color w:val="auto"/>
          <w:kern w:val="2"/>
          <w:sz w:val="44"/>
          <w:szCs w:val="44"/>
          <w:highlight w:val="none"/>
          <w:lang w:val="en-US" w:eastAsia="zh-CN" w:bidi="ar-SA"/>
        </w:rPr>
      </w:pPr>
      <w:bookmarkStart w:id="0" w:name="_Toc15378441"/>
      <w:bookmarkStart w:id="1" w:name="_Toc15377193"/>
      <w:bookmarkStart w:id="2" w:name="_Toc15396475"/>
      <w:bookmarkStart w:id="3" w:name="_Toc15377425"/>
      <w:bookmarkStart w:id="4" w:name="_Toc15396597"/>
      <w:bookmarkStart w:id="5" w:name="_Toc15306267"/>
    </w:p>
    <w:p w14:paraId="3F72054E">
      <w:pPr>
        <w:pStyle w:val="5"/>
        <w:jc w:val="center"/>
        <w:rPr>
          <w:rFonts w:hint="eastAsia" w:ascii="Times New Roman" w:hAnsi="Times New Roman" w:eastAsia="方正小标宋简体" w:cs="Times New Roman"/>
          <w:color w:val="auto"/>
          <w:kern w:val="2"/>
          <w:sz w:val="44"/>
          <w:szCs w:val="44"/>
          <w:highlight w:val="none"/>
          <w:lang w:val="en-US" w:eastAsia="zh-CN" w:bidi="ar-SA"/>
        </w:rPr>
      </w:pPr>
    </w:p>
    <w:p w14:paraId="3A8B8537">
      <w:pPr>
        <w:pStyle w:val="5"/>
        <w:jc w:val="center"/>
        <w:rPr>
          <w:rFonts w:hint="eastAsia" w:ascii="Times New Roman" w:hAnsi="Times New Roman" w:eastAsia="方正小标宋简体" w:cs="Times New Roman"/>
          <w:color w:val="auto"/>
          <w:kern w:val="2"/>
          <w:sz w:val="44"/>
          <w:szCs w:val="44"/>
          <w:highlight w:val="none"/>
          <w:lang w:val="en-US" w:eastAsia="zh-CN" w:bidi="ar-SA"/>
        </w:rPr>
      </w:pPr>
    </w:p>
    <w:p w14:paraId="14597DA8">
      <w:pPr>
        <w:pStyle w:val="5"/>
        <w:jc w:val="center"/>
        <w:rPr>
          <w:rFonts w:hint="eastAsia" w:ascii="Times New Roman" w:hAnsi="Times New Roman" w:eastAsia="方正小标宋简体" w:cs="Times New Roman"/>
          <w:color w:val="auto"/>
          <w:kern w:val="2"/>
          <w:sz w:val="44"/>
          <w:szCs w:val="44"/>
          <w:highlight w:val="none"/>
          <w:lang w:val="en-US" w:eastAsia="zh-CN" w:bidi="ar-SA"/>
        </w:rPr>
      </w:pPr>
    </w:p>
    <w:p w14:paraId="3E5B5255">
      <w:pPr>
        <w:pStyle w:val="5"/>
        <w:jc w:val="center"/>
        <w:rPr>
          <w:rFonts w:hint="eastAsia" w:ascii="Times New Roman" w:hAnsi="Times New Roman" w:eastAsia="方正小标宋简体" w:cs="Times New Roman"/>
          <w:color w:val="auto"/>
          <w:kern w:val="2"/>
          <w:sz w:val="44"/>
          <w:szCs w:val="44"/>
          <w:highlight w:val="none"/>
          <w:lang w:val="en-US" w:eastAsia="zh-CN" w:bidi="ar-SA"/>
        </w:rPr>
      </w:pPr>
    </w:p>
    <w:p w14:paraId="60ADA9AB">
      <w:pPr>
        <w:pStyle w:val="5"/>
        <w:jc w:val="center"/>
        <w:rPr>
          <w:rFonts w:hint="eastAsia" w:ascii="Times New Roman" w:hAnsi="Times New Roman" w:eastAsia="方正小标宋简体" w:cs="Times New Roman"/>
          <w:color w:val="auto"/>
          <w:kern w:val="2"/>
          <w:sz w:val="44"/>
          <w:szCs w:val="44"/>
          <w:highlight w:val="none"/>
          <w:lang w:val="en-US" w:eastAsia="zh-CN" w:bidi="ar-SA"/>
        </w:rPr>
      </w:pPr>
    </w:p>
    <w:p w14:paraId="128D0053">
      <w:pPr>
        <w:pStyle w:val="5"/>
        <w:jc w:val="center"/>
        <w:rPr>
          <w:rFonts w:hint="eastAsia" w:ascii="Times New Roman" w:hAnsi="Times New Roman" w:eastAsia="方正小标宋简体" w:cs="Times New Roman"/>
          <w:color w:val="auto"/>
          <w:kern w:val="2"/>
          <w:sz w:val="44"/>
          <w:szCs w:val="44"/>
          <w:highlight w:val="none"/>
          <w:lang w:val="en-US" w:eastAsia="zh-CN" w:bidi="ar-SA"/>
        </w:rPr>
      </w:pPr>
    </w:p>
    <w:p w14:paraId="1F93533F">
      <w:pPr>
        <w:pStyle w:val="5"/>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2024年度</w:t>
      </w:r>
      <w:r>
        <w:rPr>
          <w:rFonts w:hint="eastAsia" w:ascii="Times New Roman" w:eastAsia="方正小标宋简体" w:cs="Times New Roman"/>
          <w:color w:val="auto"/>
          <w:kern w:val="2"/>
          <w:sz w:val="44"/>
          <w:szCs w:val="44"/>
          <w:highlight w:val="none"/>
          <w:lang w:val="en-US" w:eastAsia="zh-CN" w:bidi="ar-SA"/>
        </w:rPr>
        <w:t>松潘县城乡居民基本医疗保险服务中心</w:t>
      </w:r>
      <w:r>
        <w:rPr>
          <w:rFonts w:hint="eastAsia" w:ascii="Times New Roman" w:hAnsi="Times New Roman" w:eastAsia="方正小标宋简体" w:cs="Times New Roman"/>
          <w:color w:val="auto"/>
          <w:kern w:val="2"/>
          <w:sz w:val="44"/>
          <w:szCs w:val="44"/>
          <w:highlight w:val="none"/>
          <w:lang w:val="en-US" w:eastAsia="zh-CN" w:bidi="ar-SA"/>
        </w:rPr>
        <w:t>决算</w:t>
      </w:r>
    </w:p>
    <w:p w14:paraId="341B0F80">
      <w:pPr>
        <w:pStyle w:val="20"/>
        <w:jc w:val="center"/>
        <w:rPr>
          <w:rFonts w:ascii="Times New Roman" w:hAnsi="Times New Roman"/>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r>
        <w:rPr>
          <w:rFonts w:hint="eastAsia" w:ascii="Times New Roman" w:eastAsia="方正小标宋简体" w:cs="Times New Roman"/>
          <w:color w:val="auto"/>
          <w:kern w:val="2"/>
          <w:sz w:val="44"/>
          <w:szCs w:val="44"/>
          <w:highlight w:val="none"/>
          <w:lang w:val="en-US" w:eastAsia="zh-CN" w:bidi="ar-SA"/>
        </w:rPr>
        <w:t>（单位公开）</w:t>
      </w:r>
    </w:p>
    <w:bookmarkEnd w:id="0"/>
    <w:bookmarkEnd w:id="1"/>
    <w:bookmarkEnd w:id="2"/>
    <w:bookmarkEnd w:id="3"/>
    <w:bookmarkEnd w:id="4"/>
    <w:bookmarkEnd w:id="5"/>
    <w:p w14:paraId="746039E0">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val="en-US" w:eastAsia="zh-CN"/>
        </w:rPr>
      </w:pPr>
    </w:p>
    <w:p w14:paraId="73916FBF">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14:paraId="28B6415D">
      <w:pPr>
        <w:widowControl/>
        <w:jc w:val="center"/>
        <w:rPr>
          <w:rFonts w:ascii="Times New Roman" w:hAnsi="Times New Roman" w:eastAsia="黑体" w:cstheme="minorBidi"/>
          <w:color w:val="auto"/>
          <w:sz w:val="28"/>
          <w:szCs w:val="28"/>
          <w:highlight w:val="none"/>
        </w:rPr>
      </w:pPr>
    </w:p>
    <w:p w14:paraId="3E217611">
      <w:pPr>
        <w:pStyle w:val="12"/>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10 </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 xml:space="preserve"> 17 </w:t>
      </w:r>
      <w:r>
        <w:rPr>
          <w:rFonts w:hint="eastAsia" w:ascii="Times New Roman" w:hAnsi="Times New Roman" w:eastAsia="仿宋_GB2312" w:cs="仿宋_GB2312"/>
          <w:color w:val="auto"/>
          <w:sz w:val="32"/>
          <w:szCs w:val="32"/>
          <w:highlight w:val="none"/>
        </w:rPr>
        <w:t>日</w:t>
      </w:r>
    </w:p>
    <w:p w14:paraId="52FCE8A0">
      <w:pPr>
        <w:rPr>
          <w:rFonts w:ascii="Times New Roman" w:hAnsi="Times New Roman"/>
          <w:color w:val="auto"/>
          <w:highlight w:val="none"/>
        </w:rPr>
      </w:pPr>
    </w:p>
    <w:p w14:paraId="6634285E">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第一部分 部门概况</w:t>
      </w:r>
    </w:p>
    <w:p w14:paraId="54E194FF">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p>
    <w:p w14:paraId="2ADA9E6F">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二、机构设置</w:t>
      </w:r>
    </w:p>
    <w:p w14:paraId="4C4CBFB0">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p>
    <w:p w14:paraId="78F76D30">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一、收入支出决算总体情况说明</w:t>
      </w:r>
    </w:p>
    <w:p w14:paraId="24E9CE90">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二、收入决算情况说明</w:t>
      </w:r>
    </w:p>
    <w:p w14:paraId="61A255CF">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三、支出决算情况说明</w:t>
      </w:r>
    </w:p>
    <w:p w14:paraId="1E65540C">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四、财政拨款收入支出决算总体情况说明</w:t>
      </w:r>
    </w:p>
    <w:p w14:paraId="4F1FA77F">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五、一般公共预算财政拨款支出决算情况说明</w:t>
      </w:r>
    </w:p>
    <w:p w14:paraId="5294A6B6">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六、一般公共预算财政拨款基本支出决算情况说明</w:t>
      </w:r>
    </w:p>
    <w:p w14:paraId="643B7B9E">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p>
    <w:p w14:paraId="5B2C2F43">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八、政府性基金预算支出决算情况说明</w:t>
      </w:r>
    </w:p>
    <w:p w14:paraId="221C3931">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p>
    <w:p w14:paraId="21B38231">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p>
    <w:p w14:paraId="52658966">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第三部分 名词解释</w:t>
      </w:r>
    </w:p>
    <w:p w14:paraId="2D2C9378">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w:t>
      </w:r>
      <w:r>
        <w:rPr>
          <w:rFonts w:hint="eastAsia" w:ascii="Times New Roman" w:hAnsi="Times New Roman" w:eastAsia="黑体" w:cs="黑体"/>
          <w:color w:val="auto"/>
          <w:sz w:val="32"/>
          <w:szCs w:val="32"/>
          <w:highlight w:val="none"/>
          <w:lang w:val="en-US" w:eastAsia="zh-CN"/>
        </w:rPr>
        <w:t>四</w:t>
      </w:r>
      <w:r>
        <w:rPr>
          <w:rFonts w:hint="eastAsia" w:ascii="Times New Roman" w:hAnsi="Times New Roman" w:eastAsia="黑体" w:cs="黑体"/>
          <w:color w:val="auto"/>
          <w:sz w:val="32"/>
          <w:szCs w:val="32"/>
          <w:highlight w:val="none"/>
        </w:rPr>
        <w:t>部分 附表</w:t>
      </w:r>
    </w:p>
    <w:p w14:paraId="6F588942">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p>
    <w:p w14:paraId="1F732A5C">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二、收入决算表</w:t>
      </w:r>
    </w:p>
    <w:p w14:paraId="58EE7812">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p>
    <w:p w14:paraId="32D8ACDF">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p>
    <w:p w14:paraId="4229BD88">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p>
    <w:p w14:paraId="086C376B">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p>
    <w:p w14:paraId="579927B0">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p>
    <w:p w14:paraId="4F883A5E">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p>
    <w:p w14:paraId="4B02D990">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p>
    <w:p w14:paraId="007003AD">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p>
    <w:p w14:paraId="3F262D23">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十一、国有资本经营预算财政拨款收入支出决算表</w:t>
      </w:r>
    </w:p>
    <w:p w14:paraId="044A38BC">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p>
    <w:p w14:paraId="18CA5873">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十三、财政拨款“三公”经费支出决算表</w:t>
      </w:r>
    </w:p>
    <w:p w14:paraId="2FC1154D">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left"/>
        <w:textAlignment w:val="auto"/>
        <w:rPr>
          <w:rFonts w:hint="eastAsia" w:ascii="Times New Roman" w:hAnsi="Times New Roman" w:eastAsia="仿宋_GB2312" w:cs="仿宋_GB2312"/>
          <w:b/>
          <w:bCs/>
          <w:color w:val="auto"/>
          <w:sz w:val="32"/>
          <w:szCs w:val="32"/>
          <w:highlight w:val="none"/>
          <w:lang w:eastAsia="zh-CN"/>
        </w:rPr>
      </w:pPr>
      <w:r>
        <w:rPr>
          <w:rFonts w:hint="eastAsia" w:ascii="Times New Roman" w:hAnsi="Times New Roman" w:eastAsia="仿宋_GB2312" w:cs="仿宋_GB2312"/>
          <w:b/>
          <w:bCs/>
          <w:color w:val="auto"/>
          <w:sz w:val="32"/>
          <w:szCs w:val="32"/>
          <w:highlight w:val="none"/>
          <w:lang w:eastAsia="zh-CN"/>
        </w:rPr>
        <w:t>（</w:t>
      </w:r>
      <w:r>
        <w:rPr>
          <w:rFonts w:hint="eastAsia" w:ascii="Times New Roman" w:hAnsi="Times New Roman" w:eastAsia="仿宋_GB2312" w:cs="仿宋_GB2312"/>
          <w:b/>
          <w:bCs/>
          <w:color w:val="auto"/>
          <w:sz w:val="32"/>
          <w:szCs w:val="32"/>
          <w:highlight w:val="none"/>
        </w:rPr>
        <w:t>注：请部门根据实际注明页码</w:t>
      </w:r>
      <w:r>
        <w:rPr>
          <w:rFonts w:hint="eastAsia" w:ascii="Times New Roman" w:hAnsi="Times New Roman" w:eastAsia="仿宋_GB2312" w:cs="仿宋_GB2312"/>
          <w:b/>
          <w:bCs/>
          <w:color w:val="auto"/>
          <w:sz w:val="32"/>
          <w:szCs w:val="32"/>
          <w:highlight w:val="none"/>
          <w:lang w:eastAsia="zh-CN"/>
        </w:rPr>
        <w:t>）</w:t>
      </w:r>
    </w:p>
    <w:p w14:paraId="55A556F3">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lang w:eastAsia="zh-CN"/>
        </w:rPr>
      </w:pPr>
      <w:bookmarkStart w:id="6" w:name="_Toc15396599"/>
      <w:bookmarkStart w:id="7" w:name="_Toc15377196"/>
    </w:p>
    <w:p w14:paraId="36B6DDA8">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lang w:eastAsia="zh-CN"/>
        </w:rPr>
      </w:pPr>
    </w:p>
    <w:p w14:paraId="342704A5">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lang w:eastAsia="zh-CN"/>
        </w:rPr>
      </w:pPr>
    </w:p>
    <w:p w14:paraId="0CA564A9">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lang w:eastAsia="zh-CN"/>
        </w:rPr>
      </w:pPr>
    </w:p>
    <w:p w14:paraId="5865CDD0">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lang w:eastAsia="zh-CN"/>
        </w:rPr>
      </w:pPr>
    </w:p>
    <w:p w14:paraId="1D74D15B">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lang w:eastAsia="zh-CN"/>
        </w:rPr>
      </w:pPr>
    </w:p>
    <w:p w14:paraId="171DF62C">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lang w:eastAsia="zh-CN"/>
        </w:rPr>
      </w:pPr>
    </w:p>
    <w:p w14:paraId="01B36C21">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lang w:eastAsia="zh-CN"/>
        </w:rPr>
      </w:pPr>
    </w:p>
    <w:p w14:paraId="796BB28B">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lang w:eastAsia="zh-CN"/>
        </w:rPr>
      </w:pPr>
    </w:p>
    <w:p w14:paraId="40D33B48">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lang w:eastAsia="zh-CN"/>
        </w:rPr>
      </w:pPr>
    </w:p>
    <w:p w14:paraId="5E5F6BD6">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lang w:eastAsia="zh-CN"/>
        </w:rPr>
      </w:pPr>
    </w:p>
    <w:p w14:paraId="0C970C50">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lang w:eastAsia="zh-CN"/>
        </w:rPr>
      </w:pPr>
    </w:p>
    <w:p w14:paraId="09EB1036">
      <w:pPr>
        <w:pStyle w:val="2"/>
        <w:jc w:val="center"/>
        <w:rPr>
          <w:rStyle w:val="29"/>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9"/>
          <w:rFonts w:hint="eastAsia" w:ascii="Times New Roman" w:hAnsi="Times New Roman" w:eastAsia="方正小标宋简体" w:cs="方正小标宋简体"/>
          <w:b w:val="0"/>
          <w:bCs w:val="0"/>
          <w:color w:val="auto"/>
          <w:highlight w:val="none"/>
        </w:rPr>
        <w:t>部门概况</w:t>
      </w:r>
      <w:bookmarkEnd w:id="6"/>
      <w:bookmarkEnd w:id="7"/>
    </w:p>
    <w:p w14:paraId="0E004D4E">
      <w:pPr>
        <w:widowControl/>
        <w:jc w:val="left"/>
        <w:rPr>
          <w:rFonts w:ascii="Times New Roman" w:hAnsi="Times New Roman" w:eastAsia="黑体"/>
          <w:color w:val="auto"/>
          <w:sz w:val="32"/>
          <w:szCs w:val="32"/>
          <w:highlight w:val="none"/>
        </w:rPr>
      </w:pPr>
    </w:p>
    <w:p w14:paraId="40E4FF6F">
      <w:pPr>
        <w:pStyle w:val="3"/>
        <w:numPr>
          <w:ilvl w:val="0"/>
          <w:numId w:val="1"/>
        </w:numPr>
        <w:rPr>
          <w:rFonts w:hint="eastAsia" w:ascii="Times New Roman" w:hAnsi="Times New Roman" w:eastAsia="黑体"/>
          <w:b w:val="0"/>
          <w:color w:val="auto"/>
          <w:highlight w:val="none"/>
          <w:lang w:eastAsia="zh-CN"/>
        </w:rPr>
      </w:pPr>
      <w:r>
        <w:rPr>
          <w:rFonts w:hint="eastAsia" w:ascii="Times New Roman" w:hAnsi="Times New Roman" w:eastAsia="黑体"/>
          <w:b w:val="0"/>
          <w:color w:val="auto"/>
          <w:highlight w:val="none"/>
          <w:lang w:eastAsia="zh-CN"/>
        </w:rPr>
        <w:t>部门职责</w:t>
      </w:r>
    </w:p>
    <w:p w14:paraId="3864BB42">
      <w:pPr>
        <w:pStyle w:val="3"/>
        <w:keepNext w:val="0"/>
        <w:keepLines w:val="0"/>
        <w:pageBreakBefore w:val="0"/>
        <w:widowControl w:val="0"/>
        <w:numPr>
          <w:ilvl w:val="0"/>
          <w:numId w:val="0"/>
        </w:numPr>
        <w:kinsoku/>
        <w:wordWrap/>
        <w:overflowPunct/>
        <w:topLinePunct w:val="0"/>
        <w:bidi w:val="0"/>
        <w:snapToGrid/>
        <w:spacing w:before="0" w:after="0" w:afterAutospacing="0" w:line="578" w:lineRule="exact"/>
        <w:ind w:right="0" w:rightChars="0" w:firstLine="640" w:firstLineChars="200"/>
        <w:textAlignment w:val="auto"/>
        <w:rPr>
          <w:rStyle w:val="30"/>
          <w:rFonts w:hint="eastAsia" w:ascii="黑体" w:hAnsi="黑体" w:eastAsia="黑体" w:cs="黑体"/>
          <w:b w:val="0"/>
          <w:bCs w:val="0"/>
          <w:color w:val="auto"/>
          <w:sz w:val="32"/>
          <w:szCs w:val="32"/>
          <w:highlight w:val="none"/>
          <w:lang w:eastAsia="zh-CN"/>
        </w:rPr>
      </w:pPr>
      <w:r>
        <w:rPr>
          <w:rStyle w:val="30"/>
          <w:rFonts w:hint="eastAsia" w:ascii="黑体" w:hAnsi="黑体" w:eastAsia="黑体" w:cs="黑体"/>
          <w:b w:val="0"/>
          <w:bCs w:val="0"/>
          <w:color w:val="auto"/>
          <w:sz w:val="32"/>
          <w:szCs w:val="32"/>
          <w:highlight w:val="none"/>
          <w:lang w:val="en-US" w:eastAsia="zh-CN"/>
        </w:rPr>
        <w:t>一、</w:t>
      </w:r>
      <w:r>
        <w:rPr>
          <w:rStyle w:val="30"/>
          <w:rFonts w:hint="eastAsia" w:ascii="黑体" w:hAnsi="黑体" w:eastAsia="黑体" w:cs="黑体"/>
          <w:b w:val="0"/>
          <w:bCs w:val="0"/>
          <w:color w:val="auto"/>
          <w:sz w:val="32"/>
          <w:szCs w:val="32"/>
          <w:highlight w:val="none"/>
          <w:lang w:eastAsia="zh-CN"/>
        </w:rPr>
        <w:t>主要职责</w:t>
      </w:r>
    </w:p>
    <w:p w14:paraId="6D913AF7">
      <w:pPr>
        <w:keepNext w:val="0"/>
        <w:keepLines w:val="0"/>
        <w:pageBreakBefore w:val="0"/>
        <w:widowControl w:val="0"/>
        <w:kinsoku/>
        <w:wordWrap/>
        <w:overflowPunct/>
        <w:topLinePunct w:val="0"/>
        <w:bidi w:val="0"/>
        <w:snapToGrid/>
        <w:spacing w:afterAutospacing="0" w:line="578" w:lineRule="exact"/>
        <w:ind w:left="0" w:leftChars="0" w:right="0" w:firstLine="320" w:firstLineChars="1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（1）负责贯彻落实国家、省、市州政府有关医疗保险的方针、政策；</w:t>
      </w:r>
    </w:p>
    <w:p w14:paraId="2B2D4C00">
      <w:pPr>
        <w:keepNext w:val="0"/>
        <w:keepLines w:val="0"/>
        <w:pageBreakBefore w:val="0"/>
        <w:widowControl w:val="0"/>
        <w:kinsoku/>
        <w:wordWrap/>
        <w:overflowPunct/>
        <w:topLinePunct w:val="0"/>
        <w:bidi w:val="0"/>
        <w:snapToGrid/>
        <w:spacing w:afterAutospacing="0" w:line="578" w:lineRule="exact"/>
        <w:ind w:left="0" w:leftChars="0" w:right="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（2）负责县级机关事业单位、企业和个体、农民工及</w:t>
      </w:r>
      <w:r>
        <w:rPr>
          <w:rFonts w:hint="eastAsia" w:ascii="仿宋_GB2312" w:hAnsi="仿宋_GB2312" w:eastAsia="仿宋_GB2312" w:cs="仿宋_GB2312"/>
          <w:color w:val="auto"/>
          <w:sz w:val="32"/>
          <w:szCs w:val="32"/>
          <w:lang w:eastAsia="zh-CN"/>
        </w:rPr>
        <w:t>城乡居民医保</w:t>
      </w:r>
      <w:r>
        <w:rPr>
          <w:rFonts w:hint="eastAsia" w:ascii="仿宋_GB2312" w:hAnsi="仿宋_GB2312" w:eastAsia="仿宋_GB2312" w:cs="仿宋_GB2312"/>
          <w:color w:val="auto"/>
          <w:sz w:val="32"/>
          <w:szCs w:val="32"/>
        </w:rPr>
        <w:t>手续的办理；</w:t>
      </w:r>
    </w:p>
    <w:p w14:paraId="29AE1687">
      <w:pPr>
        <w:keepNext w:val="0"/>
        <w:keepLines w:val="0"/>
        <w:pageBreakBefore w:val="0"/>
        <w:widowControl w:val="0"/>
        <w:kinsoku/>
        <w:wordWrap/>
        <w:overflowPunct/>
        <w:topLinePunct w:val="0"/>
        <w:bidi w:val="0"/>
        <w:snapToGrid/>
        <w:spacing w:afterAutospacing="0" w:line="578" w:lineRule="exact"/>
        <w:ind w:left="0" w:leftChars="0" w:right="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（3）负责县级基本医疗保险基金的征缴、管理与支付； </w:t>
      </w:r>
      <w:r>
        <w:rPr>
          <w:rFonts w:hint="eastAsia" w:ascii="仿宋_GB2312" w:hAnsi="仿宋_GB2312" w:eastAsia="仿宋_GB2312" w:cs="仿宋_GB2312"/>
          <w:color w:val="auto"/>
          <w:sz w:val="32"/>
          <w:szCs w:val="32"/>
        </w:rPr>
        <w:br w:type="textWrapping"/>
      </w:r>
      <w:r>
        <w:rPr>
          <w:rFonts w:hint="eastAsia" w:ascii="仿宋_GB2312" w:hAnsi="仿宋_GB2312" w:eastAsia="仿宋_GB2312" w:cs="仿宋_GB2312"/>
          <w:color w:val="auto"/>
          <w:sz w:val="32"/>
          <w:szCs w:val="32"/>
        </w:rPr>
        <w:t>　（4）负责县级公务员医疗保险基金、补充医疗保险金的征收、管理与支付；</w:t>
      </w:r>
    </w:p>
    <w:p w14:paraId="52EB3050">
      <w:pPr>
        <w:keepNext w:val="0"/>
        <w:keepLines w:val="0"/>
        <w:pageBreakBefore w:val="0"/>
        <w:widowControl w:val="0"/>
        <w:kinsoku/>
        <w:wordWrap/>
        <w:overflowPunct/>
        <w:topLinePunct w:val="0"/>
        <w:bidi w:val="0"/>
        <w:snapToGrid/>
        <w:spacing w:afterAutospacing="0" w:line="578" w:lineRule="exact"/>
        <w:ind w:left="0" w:leftChars="0" w:right="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（5）负责县级参保居民医疗保险基金的征收和参保人员费用的审核支付；                               </w:t>
      </w:r>
      <w:r>
        <w:rPr>
          <w:rFonts w:hint="eastAsia" w:ascii="仿宋_GB2312" w:hAnsi="仿宋_GB2312" w:eastAsia="仿宋_GB2312" w:cs="仿宋_GB2312"/>
          <w:color w:val="auto"/>
          <w:sz w:val="32"/>
          <w:szCs w:val="32"/>
        </w:rPr>
        <w:br w:type="textWrapping"/>
      </w:r>
      <w:r>
        <w:rPr>
          <w:rFonts w:hint="eastAsia" w:ascii="仿宋_GB2312" w:hAnsi="仿宋_GB2312" w:eastAsia="仿宋_GB2312" w:cs="仿宋_GB2312"/>
          <w:color w:val="auto"/>
          <w:sz w:val="32"/>
          <w:szCs w:val="32"/>
        </w:rPr>
        <w:t>　（6）负责企业离休干部、二等乙级伤残军人医疗费的管理、支付；                                        </w:t>
      </w:r>
      <w:r>
        <w:rPr>
          <w:rFonts w:hint="eastAsia" w:ascii="仿宋_GB2312" w:hAnsi="仿宋_GB2312" w:eastAsia="仿宋_GB2312" w:cs="仿宋_GB2312"/>
          <w:color w:val="auto"/>
          <w:sz w:val="32"/>
          <w:szCs w:val="32"/>
        </w:rPr>
        <w:br w:type="textWrapping"/>
      </w:r>
      <w:r>
        <w:rPr>
          <w:rFonts w:hint="eastAsia" w:ascii="仿宋_GB2312" w:hAnsi="仿宋_GB2312" w:eastAsia="仿宋_GB2312" w:cs="仿宋_GB2312"/>
          <w:color w:val="auto"/>
          <w:sz w:val="32"/>
          <w:szCs w:val="32"/>
        </w:rPr>
        <w:t>　（7）负责定点医院、定点药店的服务协议签订，并对协议执行情况进行管理、监督、指导；</w:t>
      </w:r>
    </w:p>
    <w:p w14:paraId="00F47CAD">
      <w:pPr>
        <w:pStyle w:val="3"/>
        <w:keepNext w:val="0"/>
        <w:keepLines w:val="0"/>
        <w:pageBreakBefore w:val="0"/>
        <w:widowControl w:val="0"/>
        <w:kinsoku/>
        <w:wordWrap/>
        <w:overflowPunct/>
        <w:topLinePunct w:val="0"/>
        <w:bidi w:val="0"/>
        <w:snapToGrid/>
        <w:spacing w:before="0" w:after="0" w:afterAutospacing="0" w:line="578" w:lineRule="exact"/>
        <w:ind w:left="0" w:leftChars="0" w:right="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b w:val="0"/>
          <w:bCs/>
          <w:color w:val="auto"/>
          <w:sz w:val="32"/>
          <w:szCs w:val="32"/>
        </w:rPr>
        <w:t xml:space="preserve">  </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8</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负责全县财政供养人员的体检费用的审核与报销。</w:t>
      </w:r>
    </w:p>
    <w:p w14:paraId="51C0F954">
      <w:pPr>
        <w:pStyle w:val="15"/>
        <w:keepNext w:val="0"/>
        <w:keepLines w:val="0"/>
        <w:pageBreakBefore w:val="0"/>
        <w:widowControl w:val="0"/>
        <w:suppressLineNumbers w:val="0"/>
        <w:kinsoku/>
        <w:wordWrap/>
        <w:overflowPunct/>
        <w:topLinePunct w:val="0"/>
        <w:bidi w:val="0"/>
        <w:snapToGrid/>
        <w:spacing w:before="0" w:beforeAutospacing="0" w:after="0" w:afterAutospacing="0" w:line="578" w:lineRule="exact"/>
        <w:ind w:left="0" w:leftChars="0" w:right="0" w:firstLine="640" w:firstLineChars="200"/>
        <w:jc w:val="left"/>
        <w:textAlignment w:val="auto"/>
        <w:rPr>
          <w:rFonts w:hint="eastAsia" w:ascii="黑体" w:hAnsi="黑体" w:eastAsia="黑体" w:cs="黑体"/>
          <w:color w:val="auto"/>
          <w:sz w:val="32"/>
          <w:szCs w:val="32"/>
          <w:shd w:val="clear" w:color="auto" w:fill="FFFFFF"/>
        </w:rPr>
      </w:pPr>
      <w:r>
        <w:rPr>
          <w:rFonts w:hint="eastAsia" w:ascii="黑体" w:hAnsi="黑体" w:eastAsia="黑体" w:cs="黑体"/>
          <w:color w:val="auto"/>
          <w:sz w:val="32"/>
          <w:szCs w:val="32"/>
          <w:shd w:val="clear" w:color="auto" w:fill="FFFFFF"/>
        </w:rPr>
        <w:t>（二）202</w:t>
      </w:r>
      <w:r>
        <w:rPr>
          <w:rFonts w:hint="eastAsia" w:ascii="黑体" w:hAnsi="黑体" w:eastAsia="黑体" w:cs="黑体"/>
          <w:color w:val="auto"/>
          <w:sz w:val="32"/>
          <w:szCs w:val="32"/>
          <w:shd w:val="clear" w:color="auto" w:fill="FFFFFF"/>
          <w:lang w:val="en-US" w:eastAsia="zh-CN"/>
        </w:rPr>
        <w:t>3</w:t>
      </w:r>
      <w:r>
        <w:rPr>
          <w:rFonts w:hint="eastAsia" w:ascii="黑体" w:hAnsi="黑体" w:eastAsia="黑体" w:cs="黑体"/>
          <w:color w:val="auto"/>
          <w:sz w:val="32"/>
          <w:szCs w:val="32"/>
          <w:shd w:val="clear" w:color="auto" w:fill="FFFFFF"/>
        </w:rPr>
        <w:t>年重点工作完成情况。</w:t>
      </w:r>
    </w:p>
    <w:p w14:paraId="1C0F2F61">
      <w:pPr>
        <w:pStyle w:val="15"/>
        <w:keepNext w:val="0"/>
        <w:keepLines w:val="0"/>
        <w:pageBreakBefore w:val="0"/>
        <w:widowControl w:val="0"/>
        <w:suppressLineNumbers w:val="0"/>
        <w:kinsoku/>
        <w:wordWrap/>
        <w:overflowPunct/>
        <w:topLinePunct w:val="0"/>
        <w:bidi w:val="0"/>
        <w:snapToGrid/>
        <w:spacing w:before="0" w:beforeAutospacing="0" w:after="0" w:afterAutospacing="0" w:line="578" w:lineRule="exact"/>
        <w:ind w:right="0" w:firstLine="640" w:firstLineChars="200"/>
        <w:jc w:val="left"/>
        <w:textAlignment w:val="auto"/>
        <w:rPr>
          <w:rFonts w:hint="eastAsia"/>
          <w:lang w:eastAsia="zh-CN"/>
        </w:rPr>
      </w:pPr>
      <w:r>
        <w:rPr>
          <w:rFonts w:hint="eastAsia" w:ascii="仿宋_GB2312" w:hAnsi="仿宋_GB2312" w:eastAsia="仿宋_GB2312" w:cs="仿宋_GB2312"/>
          <w:color w:val="auto"/>
          <w:sz w:val="32"/>
          <w:szCs w:val="32"/>
          <w:shd w:val="clear" w:color="auto" w:fill="FFFFFF"/>
          <w:lang w:val="en-US" w:eastAsia="zh-CN"/>
        </w:rPr>
        <w:t>完成了州、县下达的各项目标任务。</w:t>
      </w:r>
    </w:p>
    <w:p w14:paraId="24EF0235">
      <w:pPr>
        <w:pStyle w:val="3"/>
        <w:rPr>
          <w:rStyle w:val="30"/>
          <w:rFonts w:ascii="Times New Roman" w:hAnsi="Times New Roman"/>
          <w:b w:val="0"/>
          <w:bCs w:val="0"/>
          <w:color w:val="auto"/>
          <w:highlight w:val="none"/>
        </w:rPr>
      </w:pPr>
      <w:bookmarkStart w:id="8" w:name="_Toc15396601"/>
      <w:bookmarkStart w:id="9" w:name="_Toc15377200"/>
      <w:r>
        <w:rPr>
          <w:rFonts w:hint="eastAsia" w:ascii="Times New Roman" w:hAnsi="Times New Roman" w:eastAsia="黑体"/>
          <w:b w:val="0"/>
          <w:color w:val="auto"/>
          <w:highlight w:val="none"/>
        </w:rPr>
        <w:t>二、机</w:t>
      </w:r>
      <w:r>
        <w:rPr>
          <w:rStyle w:val="30"/>
          <w:rFonts w:hint="eastAsia" w:ascii="Times New Roman" w:hAnsi="Times New Roman" w:eastAsia="黑体"/>
          <w:b w:val="0"/>
          <w:bCs w:val="0"/>
          <w:color w:val="auto"/>
          <w:highlight w:val="none"/>
        </w:rPr>
        <w:t>构设置</w:t>
      </w:r>
      <w:bookmarkEnd w:id="8"/>
      <w:bookmarkEnd w:id="9"/>
    </w:p>
    <w:p w14:paraId="496336F4">
      <w:pPr>
        <w:pStyle w:val="3"/>
        <w:keepNext w:val="0"/>
        <w:keepLines w:val="0"/>
        <w:pageBreakBefore w:val="0"/>
        <w:widowControl w:val="0"/>
        <w:numPr>
          <w:ilvl w:val="0"/>
          <w:numId w:val="0"/>
        </w:numPr>
        <w:kinsoku/>
        <w:wordWrap/>
        <w:overflowPunct/>
        <w:topLinePunct w:val="0"/>
        <w:bidi w:val="0"/>
        <w:snapToGrid/>
        <w:spacing w:before="0" w:after="0" w:afterAutospacing="0" w:line="578" w:lineRule="exact"/>
        <w:ind w:right="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根据上述职责，松潘县医疗保障局设4个股室，分别是办公室、审核结算股、基金管理股、统筹股，各股室的职能职责如下：</w:t>
      </w:r>
    </w:p>
    <w:p w14:paraId="347254DC">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㈠办公室</w:t>
      </w:r>
    </w:p>
    <w:p w14:paraId="10924C8B">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负责医保局的行政日常工作，负责会议室的管理工作，</w:t>
      </w:r>
      <w:r>
        <w:rPr>
          <w:rFonts w:hint="eastAsia" w:ascii="仿宋_GB2312" w:hAnsi="仿宋_GB2312" w:eastAsia="仿宋_GB2312" w:cs="仿宋_GB2312"/>
          <w:color w:val="auto"/>
          <w:sz w:val="32"/>
          <w:szCs w:val="32"/>
          <w:lang w:eastAsia="zh-CN"/>
        </w:rPr>
        <w:t>建立健全</w:t>
      </w:r>
      <w:r>
        <w:rPr>
          <w:rFonts w:hint="eastAsia" w:ascii="仿宋_GB2312" w:hAnsi="仿宋_GB2312" w:eastAsia="仿宋_GB2312" w:cs="仿宋_GB2312"/>
          <w:color w:val="auto"/>
          <w:sz w:val="32"/>
          <w:szCs w:val="32"/>
        </w:rPr>
        <w:t>本局的各项规章制度，撰写分析报告。</w:t>
      </w:r>
    </w:p>
    <w:p w14:paraId="661264CC">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1.负责局文件、报告、会议资料、工作总结等有关文字材料的拟稿、打印、装订，并进行发文的登记管理；</w:t>
      </w:r>
    </w:p>
    <w:p w14:paraId="56069D4D">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2.负责公文收发、传递，根据领导的批示要求催办、督促文件的办理执行情况；</w:t>
      </w:r>
    </w:p>
    <w:p w14:paraId="271B7766">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3.负责整理、建立健全档案管理制度，保管好文书档案；负责有关会议记录，并及时整理会议的有关材料（包括会议纪要、简报等）；</w:t>
      </w:r>
    </w:p>
    <w:p w14:paraId="6A328A70">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4.负责依照国家相关规定做好公章、法人印章、局介绍信的保管和使用工作，对各种更换的印章负责登记、保管；</w:t>
      </w:r>
    </w:p>
    <w:p w14:paraId="22AE398F">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5.认真做好综合信息的收集、分析、整理并及时、准确向领导汇报；协助领导做好内部管理和服务工作；</w:t>
      </w:r>
    </w:p>
    <w:p w14:paraId="0C42A17D">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6.完成领导交办的其他工作。</w:t>
      </w:r>
    </w:p>
    <w:p w14:paraId="701D8803">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㈡审核结算股</w:t>
      </w:r>
    </w:p>
    <w:p w14:paraId="71D1C5F0">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负责医疗费用票据报销的审核，认真贯彻执行各种与审核制度有关的</w:t>
      </w:r>
      <w:r>
        <w:rPr>
          <w:rFonts w:hint="eastAsia" w:ascii="仿宋_GB2312" w:hAnsi="仿宋_GB2312" w:eastAsia="仿宋_GB2312" w:cs="仿宋_GB2312"/>
          <w:color w:val="auto"/>
          <w:sz w:val="32"/>
          <w:szCs w:val="32"/>
          <w:lang w:eastAsia="zh-CN"/>
        </w:rPr>
        <w:t>法律法规</w:t>
      </w:r>
      <w:r>
        <w:rPr>
          <w:rFonts w:hint="eastAsia" w:ascii="仿宋_GB2312" w:hAnsi="仿宋_GB2312" w:eastAsia="仿宋_GB2312" w:cs="仿宋_GB2312"/>
          <w:color w:val="auto"/>
          <w:sz w:val="32"/>
          <w:szCs w:val="32"/>
        </w:rPr>
        <w:t>，树立良好的职业道</w:t>
      </w:r>
      <w:r>
        <w:rPr>
          <w:rFonts w:hint="eastAsia" w:ascii="仿宋_GB2312" w:hAnsi="仿宋_GB2312" w:eastAsia="仿宋_GB2312" w:cs="仿宋_GB2312"/>
          <w:color w:val="auto"/>
          <w:sz w:val="32"/>
          <w:szCs w:val="32"/>
          <w:lang w:eastAsia="zh-CN"/>
        </w:rPr>
        <w:t>德和</w:t>
      </w:r>
      <w:r>
        <w:rPr>
          <w:rFonts w:hint="eastAsia" w:ascii="仿宋_GB2312" w:hAnsi="仿宋_GB2312" w:eastAsia="仿宋_GB2312" w:cs="仿宋_GB2312"/>
          <w:color w:val="auto"/>
          <w:sz w:val="32"/>
          <w:szCs w:val="32"/>
        </w:rPr>
        <w:t>坚持原则，秉公办事。</w:t>
      </w:r>
    </w:p>
    <w:p w14:paraId="1350FBEC">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1.认真执行国家、省有关医疗保险政策、法规，严格掌握审核标准，杜绝一切不合理医疗消费；</w:t>
      </w:r>
    </w:p>
    <w:p w14:paraId="7151EFD4">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2.负责医疗费用凭据的初审，核定参保人应付金额和应报销金额；</w:t>
      </w:r>
    </w:p>
    <w:p w14:paraId="38885B45">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3.负责初审后医疗费用凭据、个人自付金额和应报销金额的复核，并将复核意见和全部复核凭证交财务科；</w:t>
      </w:r>
    </w:p>
    <w:p w14:paraId="238803F7">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4.严格按省医疗保险管理条例和细则要求，办理特殊用药和特殊检查申请的审核和审批手续；</w:t>
      </w:r>
    </w:p>
    <w:p w14:paraId="78D25CE9">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5.完成领导交办的其他工作任务。</w:t>
      </w:r>
    </w:p>
    <w:p w14:paraId="4434A8B3">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㈢基金管理股</w:t>
      </w:r>
    </w:p>
    <w:p w14:paraId="5CA5FB2C">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按照收支两条线，严格遵守《社会保险基金财务制度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社会保险基金会计制度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事业单位财务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事业单位会计制度》执行，定期与银行</w:t>
      </w:r>
      <w:r>
        <w:rPr>
          <w:rFonts w:hint="eastAsia" w:ascii="仿宋_GB2312" w:hAnsi="仿宋_GB2312" w:eastAsia="仿宋_GB2312" w:cs="仿宋_GB2312"/>
          <w:color w:val="auto"/>
          <w:sz w:val="32"/>
          <w:szCs w:val="32"/>
          <w:lang w:eastAsia="zh-CN"/>
        </w:rPr>
        <w:t>进行对账</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确保账</w:t>
      </w:r>
      <w:r>
        <w:rPr>
          <w:rFonts w:hint="eastAsia" w:ascii="仿宋_GB2312" w:hAnsi="仿宋_GB2312" w:eastAsia="仿宋_GB2312" w:cs="仿宋_GB2312"/>
          <w:color w:val="auto"/>
          <w:sz w:val="32"/>
          <w:szCs w:val="32"/>
        </w:rPr>
        <w:t>款相符，保管好空白支票，根据相关政策做好稽核工作。</w:t>
      </w:r>
    </w:p>
    <w:p w14:paraId="29008EB8">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1.认真执行国家财经制度、严格掌握经费开支标准、杜绝一切不合理开支。根据经费实际需要，编制年度收支预算，定期分析预算的执行情况。</w:t>
      </w:r>
    </w:p>
    <w:p w14:paraId="5297E503">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2.负责经费</w:t>
      </w:r>
      <w:r>
        <w:rPr>
          <w:rFonts w:hint="eastAsia" w:ascii="仿宋_GB2312" w:hAnsi="仿宋_GB2312" w:eastAsia="仿宋_GB2312" w:cs="仿宋_GB2312"/>
          <w:color w:val="auto"/>
          <w:sz w:val="32"/>
          <w:szCs w:val="32"/>
          <w:lang w:eastAsia="zh-CN"/>
        </w:rPr>
        <w:t>总账</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明细分类账</w:t>
      </w:r>
      <w:r>
        <w:rPr>
          <w:rFonts w:hint="eastAsia" w:ascii="仿宋_GB2312" w:hAnsi="仿宋_GB2312" w:eastAsia="仿宋_GB2312" w:cs="仿宋_GB2312"/>
          <w:color w:val="auto"/>
          <w:sz w:val="32"/>
          <w:szCs w:val="32"/>
        </w:rPr>
        <w:t>的设置和登记，及时清理往来款项，按期</w:t>
      </w:r>
      <w:r>
        <w:rPr>
          <w:rFonts w:hint="eastAsia" w:ascii="仿宋_GB2312" w:hAnsi="仿宋_GB2312" w:eastAsia="仿宋_GB2312" w:cs="仿宋_GB2312"/>
          <w:color w:val="auto"/>
          <w:sz w:val="32"/>
          <w:szCs w:val="32"/>
          <w:lang w:eastAsia="zh-CN"/>
        </w:rPr>
        <w:t>核对账目</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做到账账账相符</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账表相符</w:t>
      </w:r>
      <w:r>
        <w:rPr>
          <w:rFonts w:hint="eastAsia" w:ascii="仿宋_GB2312" w:hAnsi="仿宋_GB2312" w:eastAsia="仿宋_GB2312" w:cs="仿宋_GB2312"/>
          <w:color w:val="auto"/>
          <w:sz w:val="32"/>
          <w:szCs w:val="32"/>
        </w:rPr>
        <w:t>。</w:t>
      </w:r>
    </w:p>
    <w:p w14:paraId="576CA85E">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3.负责编制经费</w:t>
      </w:r>
      <w:r>
        <w:rPr>
          <w:rFonts w:hint="eastAsia" w:ascii="仿宋_GB2312" w:hAnsi="仿宋_GB2312" w:eastAsia="仿宋_GB2312" w:cs="仿宋_GB2312"/>
          <w:color w:val="auto"/>
          <w:sz w:val="32"/>
          <w:szCs w:val="32"/>
          <w:lang w:eastAsia="zh-CN"/>
        </w:rPr>
        <w:t>记账</w:t>
      </w:r>
      <w:r>
        <w:rPr>
          <w:rFonts w:hint="eastAsia" w:ascii="仿宋_GB2312" w:hAnsi="仿宋_GB2312" w:eastAsia="仿宋_GB2312" w:cs="仿宋_GB2312"/>
          <w:color w:val="auto"/>
          <w:sz w:val="32"/>
          <w:szCs w:val="32"/>
        </w:rPr>
        <w:t>凭证和科目汇总表，按制度规定正确使用会计科目。</w:t>
      </w:r>
    </w:p>
    <w:p w14:paraId="4A1464C1">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4.严格执行经费开支审批报销制度，对超计划和手续不完备，无分管主任签字的开支有权拒绝报销。</w:t>
      </w:r>
    </w:p>
    <w:p w14:paraId="2042F22F">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5.熟悉和掌握国家财经法规、银行结算纪律、</w:t>
      </w:r>
      <w:r>
        <w:rPr>
          <w:rFonts w:hint="eastAsia" w:ascii="仿宋_GB2312" w:hAnsi="仿宋_GB2312" w:eastAsia="仿宋_GB2312" w:cs="仿宋_GB2312"/>
          <w:color w:val="auto"/>
          <w:sz w:val="32"/>
          <w:szCs w:val="32"/>
          <w:lang w:eastAsia="zh-CN"/>
        </w:rPr>
        <w:t>现金管理暂行条例</w:t>
      </w:r>
      <w:r>
        <w:rPr>
          <w:rFonts w:hint="eastAsia" w:ascii="仿宋_GB2312" w:hAnsi="仿宋_GB2312" w:eastAsia="仿宋_GB2312" w:cs="仿宋_GB2312"/>
          <w:color w:val="auto"/>
          <w:sz w:val="32"/>
          <w:szCs w:val="32"/>
        </w:rPr>
        <w:t>及有关规章制度。</w:t>
      </w:r>
    </w:p>
    <w:p w14:paraId="11E8D17D">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6.严格执行基金“收支两条线”管理规定，做好银行收支</w:t>
      </w:r>
      <w:r>
        <w:rPr>
          <w:rFonts w:hint="eastAsia" w:ascii="仿宋_GB2312" w:hAnsi="仿宋_GB2312" w:eastAsia="仿宋_GB2312" w:cs="仿宋_GB2312"/>
          <w:color w:val="auto"/>
          <w:sz w:val="32"/>
          <w:szCs w:val="32"/>
          <w:lang w:eastAsia="zh-CN"/>
        </w:rPr>
        <w:t>账户及其他账户的</w:t>
      </w:r>
      <w:r>
        <w:rPr>
          <w:rFonts w:hint="eastAsia" w:ascii="仿宋_GB2312" w:hAnsi="仿宋_GB2312" w:eastAsia="仿宋_GB2312" w:cs="仿宋_GB2312"/>
          <w:color w:val="auto"/>
          <w:sz w:val="32"/>
          <w:szCs w:val="32"/>
        </w:rPr>
        <w:t>日常结算，掌握银行余额的变化情况。</w:t>
      </w:r>
    </w:p>
    <w:p w14:paraId="0A62231B">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7.负责</w:t>
      </w:r>
      <w:r>
        <w:rPr>
          <w:rFonts w:hint="eastAsia" w:ascii="仿宋_GB2312" w:hAnsi="仿宋_GB2312" w:eastAsia="仿宋_GB2312" w:cs="仿宋_GB2312"/>
          <w:color w:val="auto"/>
          <w:sz w:val="32"/>
          <w:szCs w:val="32"/>
          <w:lang w:eastAsia="zh-CN"/>
        </w:rPr>
        <w:t>现金日记账</w:t>
      </w:r>
      <w:r>
        <w:rPr>
          <w:rFonts w:hint="eastAsia" w:ascii="仿宋_GB2312" w:hAnsi="仿宋_GB2312" w:eastAsia="仿宋_GB2312" w:cs="仿宋_GB2312"/>
          <w:color w:val="auto"/>
          <w:sz w:val="32"/>
          <w:szCs w:val="32"/>
        </w:rPr>
        <w:t>、银行存款</w:t>
      </w:r>
      <w:r>
        <w:rPr>
          <w:rFonts w:hint="eastAsia" w:ascii="仿宋_GB2312" w:hAnsi="仿宋_GB2312" w:eastAsia="仿宋_GB2312" w:cs="仿宋_GB2312"/>
          <w:color w:val="auto"/>
          <w:sz w:val="32"/>
          <w:szCs w:val="32"/>
          <w:lang w:eastAsia="zh-CN"/>
        </w:rPr>
        <w:t>日记账的记账</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算账</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对账</w:t>
      </w:r>
      <w:r>
        <w:rPr>
          <w:rFonts w:hint="eastAsia" w:ascii="仿宋_GB2312" w:hAnsi="仿宋_GB2312" w:eastAsia="仿宋_GB2312" w:cs="仿宋_GB2312"/>
          <w:color w:val="auto"/>
          <w:sz w:val="32"/>
          <w:szCs w:val="32"/>
        </w:rPr>
        <w:t>工作，做到日清月结、</w:t>
      </w:r>
      <w:r>
        <w:rPr>
          <w:rFonts w:hint="eastAsia" w:ascii="仿宋_GB2312" w:hAnsi="仿宋_GB2312" w:eastAsia="仿宋_GB2312" w:cs="仿宋_GB2312"/>
          <w:color w:val="auto"/>
          <w:sz w:val="32"/>
          <w:szCs w:val="32"/>
          <w:lang w:eastAsia="zh-CN"/>
        </w:rPr>
        <w:t>账账相符</w:t>
      </w:r>
      <w:r>
        <w:rPr>
          <w:rFonts w:hint="eastAsia" w:ascii="仿宋_GB2312" w:hAnsi="仿宋_GB2312" w:eastAsia="仿宋_GB2312" w:cs="仿宋_GB2312"/>
          <w:color w:val="auto"/>
          <w:sz w:val="32"/>
          <w:szCs w:val="32"/>
        </w:rPr>
        <w:t>。</w:t>
      </w:r>
    </w:p>
    <w:p w14:paraId="4D9599E5">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8.严格按现金管理规定，做好现金收支结算。不超库存限额、不坐支，不以白条顶替现金，每日核对库存余额，保证</w:t>
      </w:r>
      <w:r>
        <w:rPr>
          <w:rFonts w:hint="eastAsia" w:ascii="仿宋_GB2312" w:hAnsi="仿宋_GB2312" w:eastAsia="仿宋_GB2312" w:cs="仿宋_GB2312"/>
          <w:color w:val="auto"/>
          <w:sz w:val="32"/>
          <w:szCs w:val="32"/>
          <w:lang w:eastAsia="zh-CN"/>
        </w:rPr>
        <w:t>账款</w:t>
      </w:r>
      <w:r>
        <w:rPr>
          <w:rFonts w:hint="eastAsia" w:ascii="仿宋_GB2312" w:hAnsi="仿宋_GB2312" w:eastAsia="仿宋_GB2312" w:cs="仿宋_GB2312"/>
          <w:color w:val="auto"/>
          <w:sz w:val="32"/>
          <w:szCs w:val="32"/>
        </w:rPr>
        <w:t>相符。</w:t>
      </w:r>
    </w:p>
    <w:p w14:paraId="138C3A8D">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9.严格审核原始凭证，对内容不全、字迹不清、责任不明确、涂改、金额不符的原始凭证有权拒绝付款。</w:t>
      </w:r>
    </w:p>
    <w:p w14:paraId="227205E8">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10.按月编制银行存款余额调节表，发现问题立即查询，及时清理</w:t>
      </w:r>
      <w:r>
        <w:rPr>
          <w:rFonts w:hint="eastAsia" w:ascii="仿宋_GB2312" w:hAnsi="仿宋_GB2312" w:eastAsia="仿宋_GB2312" w:cs="仿宋_GB2312"/>
          <w:color w:val="auto"/>
          <w:sz w:val="32"/>
          <w:szCs w:val="32"/>
          <w:lang w:eastAsia="zh-CN"/>
        </w:rPr>
        <w:t>未达账项</w:t>
      </w:r>
      <w:r>
        <w:rPr>
          <w:rFonts w:hint="eastAsia" w:ascii="仿宋_GB2312" w:hAnsi="仿宋_GB2312" w:eastAsia="仿宋_GB2312" w:cs="仿宋_GB2312"/>
          <w:color w:val="auto"/>
          <w:sz w:val="32"/>
          <w:szCs w:val="32"/>
        </w:rPr>
        <w:t>。</w:t>
      </w:r>
    </w:p>
    <w:p w14:paraId="760C26FD">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11.负责保管空白支票、空白收据及各种有关证件。建立支票、收据领用登记本，签发支票时内容填写完整，保证银行存款不空头。对因管理不严而造成支票丢失的，要承担相应责任。</w:t>
      </w:r>
    </w:p>
    <w:p w14:paraId="21DA96CF">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12.完成领导交办的其他工作。</w:t>
      </w:r>
    </w:p>
    <w:p w14:paraId="26B8DE02">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㈣统筹股</w:t>
      </w:r>
    </w:p>
    <w:p w14:paraId="27D62A29">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负责管理好全县参保职工的个人台账，负责制定本部门的发展规划，完成好本部门的工作计划，为确保工作顺利完成，制定出相应的对策，做好稽核工作。负责本</w:t>
      </w:r>
      <w:r>
        <w:rPr>
          <w:rFonts w:hint="eastAsia" w:ascii="仿宋_GB2312" w:hAnsi="仿宋_GB2312" w:eastAsia="仿宋_GB2312" w:cs="仿宋_GB2312"/>
          <w:color w:val="auto"/>
          <w:sz w:val="32"/>
          <w:szCs w:val="32"/>
          <w:lang w:eastAsia="zh-CN"/>
        </w:rPr>
        <w:t>部门</w:t>
      </w:r>
      <w:r>
        <w:rPr>
          <w:rFonts w:hint="eastAsia" w:ascii="仿宋_GB2312" w:hAnsi="仿宋_GB2312" w:eastAsia="仿宋_GB2312" w:cs="仿宋_GB2312"/>
          <w:color w:val="auto"/>
          <w:sz w:val="32"/>
          <w:szCs w:val="32"/>
        </w:rPr>
        <w:t>各种数据的分析和整理，制定与自己工作范围相适应的各种工作计划和规划，对平时自己的工作进行总结、分析，解决统计工作中的实际困难与问题。撰写调查报告和工作总结。</w:t>
      </w:r>
    </w:p>
    <w:p w14:paraId="7C62EFE3">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1.认真贯彻执行《</w:t>
      </w:r>
      <w:r>
        <w:rPr>
          <w:rFonts w:hint="eastAsia" w:ascii="仿宋_GB2312" w:hAnsi="仿宋_GB2312" w:eastAsia="仿宋_GB2312" w:cs="仿宋_GB2312"/>
          <w:color w:val="auto"/>
          <w:sz w:val="32"/>
          <w:szCs w:val="32"/>
          <w:lang w:eastAsia="zh-CN"/>
        </w:rPr>
        <w:t>中华人民共和国统计法</w:t>
      </w:r>
      <w:r>
        <w:rPr>
          <w:rFonts w:hint="eastAsia" w:ascii="仿宋_GB2312" w:hAnsi="仿宋_GB2312" w:eastAsia="仿宋_GB2312" w:cs="仿宋_GB2312"/>
          <w:color w:val="auto"/>
          <w:sz w:val="32"/>
          <w:szCs w:val="32"/>
        </w:rPr>
        <w:t>》和国家、省劳动和社会保障厅有关规定。</w:t>
      </w:r>
    </w:p>
    <w:p w14:paraId="73CA5602">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2.结合局医疗保险基金业务运行特点，建立和完善统计数据库，监督和定期检查统计信息质量及管理工作。</w:t>
      </w:r>
    </w:p>
    <w:p w14:paraId="616FE923">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3.负责编制月、季、年统计报表和综合分析报告，做到内容完整，数据准确。</w:t>
      </w:r>
    </w:p>
    <w:p w14:paraId="70179D68">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4.负责统计资料的收集、整理，汇编统计年鉴，按时向领导提供完整、准确的统计信息。</w:t>
      </w:r>
    </w:p>
    <w:p w14:paraId="79958F43">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5.定期深入调查研究，针对统计信息工作中存在的问题提出改进措施建议。</w:t>
      </w:r>
    </w:p>
    <w:p w14:paraId="3463D3DE">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6.加强业务知识和计算机管理程序的学习，提高自身业务素质。</w:t>
      </w:r>
    </w:p>
    <w:p w14:paraId="13527901">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7.对参保单位及人员进行保险登记。</w:t>
      </w:r>
    </w:p>
    <w:p w14:paraId="2AD44685">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8.核定缴费基数，并按核定的缴费基数编制征集计划。</w:t>
      </w:r>
    </w:p>
    <w:p w14:paraId="339B54E3">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9.依据核定的缴费基数，开具征缴通知书，通过“收入户”征集。</w:t>
      </w:r>
    </w:p>
    <w:p w14:paraId="04E44E05">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10.整理汇总保险费收缴情况，对已办理登记但未及时、足额缴纳的单位，及时向其发出《催缴通知书》，对拒不</w:t>
      </w:r>
      <w:r>
        <w:rPr>
          <w:rFonts w:hint="eastAsia" w:ascii="仿宋_GB2312" w:hAnsi="仿宋_GB2312" w:eastAsia="仿宋_GB2312" w:cs="仿宋_GB2312"/>
          <w:color w:val="auto"/>
          <w:sz w:val="32"/>
          <w:szCs w:val="32"/>
          <w:lang w:eastAsia="zh-CN"/>
        </w:rPr>
        <w:t>缴纳</w:t>
      </w:r>
      <w:r>
        <w:rPr>
          <w:rFonts w:hint="eastAsia" w:ascii="仿宋_GB2312" w:hAnsi="仿宋_GB2312" w:eastAsia="仿宋_GB2312" w:cs="仿宋_GB2312"/>
          <w:color w:val="auto"/>
          <w:sz w:val="32"/>
          <w:szCs w:val="32"/>
        </w:rPr>
        <w:t>者，按有关规定执行。</w:t>
      </w:r>
    </w:p>
    <w:p w14:paraId="3C7C4A24">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11.审核办理机关事业单位医疗保险的人员增减、转移、终止变更工作。</w:t>
      </w:r>
    </w:p>
    <w:p w14:paraId="70342EF4">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12.按单位上报情况，定期核定职工</w:t>
      </w:r>
      <w:r>
        <w:rPr>
          <w:rFonts w:hint="eastAsia" w:ascii="仿宋_GB2312" w:hAnsi="仿宋_GB2312" w:eastAsia="仿宋_GB2312" w:cs="仿宋_GB2312"/>
          <w:color w:val="auto"/>
          <w:sz w:val="32"/>
          <w:szCs w:val="32"/>
          <w:lang w:eastAsia="zh-CN"/>
        </w:rPr>
        <w:t>人数</w:t>
      </w:r>
      <w:r>
        <w:rPr>
          <w:rFonts w:hint="eastAsia" w:ascii="仿宋_GB2312" w:hAnsi="仿宋_GB2312" w:eastAsia="仿宋_GB2312" w:cs="仿宋_GB2312"/>
          <w:color w:val="auto"/>
          <w:sz w:val="32"/>
          <w:szCs w:val="32"/>
        </w:rPr>
        <w:t>进行基数调整。</w:t>
      </w:r>
    </w:p>
    <w:p w14:paraId="35443B47">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13.完成领导交办的其他工作。</w:t>
      </w:r>
      <w:bookmarkStart w:id="10" w:name="_Toc15396602"/>
      <w:bookmarkStart w:id="11" w:name="_Toc15377204"/>
    </w:p>
    <w:p w14:paraId="6DDFDBDD">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仿宋_GB2312" w:hAnsi="仿宋_GB2312" w:eastAsia="仿宋_GB2312" w:cs="仿宋_GB2312"/>
          <w:color w:val="auto"/>
          <w:sz w:val="32"/>
          <w:szCs w:val="32"/>
        </w:rPr>
      </w:pPr>
    </w:p>
    <w:p w14:paraId="722EB54D">
      <w:pPr>
        <w:keepNext w:val="0"/>
        <w:keepLines w:val="0"/>
        <w:pageBreakBefore w:val="0"/>
        <w:widowControl w:val="0"/>
        <w:kinsoku/>
        <w:wordWrap/>
        <w:overflowPunct/>
        <w:topLinePunct w:val="0"/>
        <w:autoSpaceDE w:val="0"/>
        <w:autoSpaceDN w:val="0"/>
        <w:bidi w:val="0"/>
        <w:snapToGrid/>
        <w:spacing w:afterAutospacing="0" w:line="578" w:lineRule="exact"/>
        <w:ind w:left="0" w:leftChars="0" w:right="0" w:firstLine="640"/>
        <w:textAlignment w:val="auto"/>
        <w:rPr>
          <w:rFonts w:hint="eastAsia" w:ascii="Times New Roman" w:hAnsi="Times New Roman" w:eastAsia="方正小标宋简体" w:cs="方正小标宋简体"/>
          <w:b w:val="0"/>
          <w:color w:val="auto"/>
          <w:sz w:val="44"/>
          <w:szCs w:val="44"/>
          <w:highlight w:val="none"/>
        </w:rPr>
      </w:pPr>
      <w:r>
        <w:rPr>
          <w:rFonts w:hint="eastAsia" w:ascii="Times New Roman" w:hAnsi="Times New Roman" w:eastAsia="方正小标宋简体" w:cs="方正小标宋简体"/>
          <w:b w:val="0"/>
          <w:color w:val="auto"/>
          <w:sz w:val="44"/>
          <w:szCs w:val="44"/>
          <w:highlight w:val="none"/>
        </w:rPr>
        <w:t>第二部分</w:t>
      </w:r>
      <w:r>
        <w:rPr>
          <w:rFonts w:hint="eastAsia" w:ascii="Times New Roman" w:hAnsi="Times New Roman" w:eastAsia="方正小标宋简体" w:cs="方正小标宋简体"/>
          <w:b w:val="0"/>
          <w:color w:val="auto"/>
          <w:sz w:val="44"/>
          <w:szCs w:val="44"/>
          <w:highlight w:val="none"/>
          <w:lang w:val="en-US" w:eastAsia="zh-CN"/>
        </w:rPr>
        <w:t xml:space="preserve"> </w:t>
      </w:r>
      <w:r>
        <w:rPr>
          <w:rFonts w:hint="eastAsia" w:ascii="Times New Roman" w:hAnsi="Times New Roman" w:eastAsia="方正小标宋简体" w:cs="方正小标宋简体"/>
          <w:b w:val="0"/>
          <w:color w:val="auto"/>
          <w:sz w:val="44"/>
          <w:szCs w:val="44"/>
          <w:highlight w:val="none"/>
        </w:rPr>
        <w:t xml:space="preserve"> </w:t>
      </w:r>
      <w:r>
        <w:rPr>
          <w:rFonts w:hint="eastAsia" w:ascii="Times New Roman" w:hAnsi="Times New Roman" w:eastAsia="方正小标宋简体" w:cs="方正小标宋简体"/>
          <w:b w:val="0"/>
          <w:color w:val="auto"/>
          <w:sz w:val="44"/>
          <w:szCs w:val="44"/>
          <w:highlight w:val="none"/>
          <w:lang w:val="en-US" w:eastAsia="zh-CN"/>
        </w:rPr>
        <w:t>2024年度</w:t>
      </w:r>
      <w:r>
        <w:rPr>
          <w:rFonts w:hint="eastAsia" w:ascii="Times New Roman" w:hAnsi="Times New Roman" w:eastAsia="方正小标宋简体" w:cs="方正小标宋简体"/>
          <w:b w:val="0"/>
          <w:color w:val="auto"/>
          <w:sz w:val="44"/>
          <w:szCs w:val="44"/>
          <w:highlight w:val="none"/>
        </w:rPr>
        <w:t>部门决算情况说明</w:t>
      </w:r>
      <w:bookmarkEnd w:id="10"/>
      <w:bookmarkEnd w:id="11"/>
    </w:p>
    <w:p w14:paraId="07AB50C3">
      <w:pPr>
        <w:rPr>
          <w:rFonts w:ascii="Times New Roman" w:hAnsi="Times New Roman"/>
          <w:color w:val="auto"/>
          <w:highlight w:val="none"/>
        </w:rPr>
      </w:pPr>
    </w:p>
    <w:p w14:paraId="1C25677B">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12" w:name="_Toc15377205"/>
      <w:bookmarkStart w:id="13" w:name="_Toc15396603"/>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0"/>
          <w:rFonts w:hint="eastAsia" w:ascii="Times New Roman" w:hAnsi="Times New Roman" w:eastAsia="黑体"/>
          <w:b w:val="0"/>
          <w:color w:val="auto"/>
          <w:highlight w:val="none"/>
        </w:rPr>
        <w:t>入支出决算总体情况说明</w:t>
      </w:r>
      <w:bookmarkEnd w:id="12"/>
      <w:bookmarkEnd w:id="13"/>
    </w:p>
    <w:p w14:paraId="10B3D6F4">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220.65</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总计各增加</w:t>
      </w:r>
      <w:r>
        <w:rPr>
          <w:rFonts w:hint="eastAsia" w:eastAsia="仿宋_GB2312" w:cs="仿宋_GB2312"/>
          <w:color w:val="auto"/>
          <w:sz w:val="32"/>
          <w:szCs w:val="32"/>
          <w:highlight w:val="none"/>
          <w:lang w:val="en-US" w:eastAsia="zh-CN"/>
        </w:rPr>
        <w:t>6.91</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3.23</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sz w:val="32"/>
          <w:szCs w:val="32"/>
          <w:highlight w:val="none"/>
          <w:lang w:val="en-US" w:eastAsia="zh-CN"/>
        </w:rPr>
        <w:t>人员变动。</w:t>
      </w:r>
    </w:p>
    <w:p w14:paraId="0A12958C">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14" w:name="_Toc15396604"/>
      <w:bookmarkStart w:id="15" w:name="_Toc15377206"/>
      <w:r>
        <w:rPr>
          <w:rFonts w:hint="eastAsia" w:ascii="Times New Roman" w:hAnsi="Times New Roman" w:eastAsia="黑体"/>
          <w:color w:val="auto"/>
          <w:sz w:val="32"/>
          <w:szCs w:val="32"/>
          <w:highlight w:val="none"/>
          <w:lang w:eastAsia="zh-CN"/>
        </w:rPr>
        <w:t>二、收入决算情况说明</w:t>
      </w:r>
      <w:bookmarkEnd w:id="14"/>
      <w:bookmarkEnd w:id="15"/>
    </w:p>
    <w:p w14:paraId="4A6390FA">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220.65万元，其中：一般公共预算财政拨款收入220.65</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万元，占0%；国有资本经营预算财政拨款收入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bookmarkStart w:id="16" w:name="_Toc15377207"/>
      <w:bookmarkStart w:id="17" w:name="_Toc15396605"/>
    </w:p>
    <w:p w14:paraId="234A4676">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0"/>
          <w:rFonts w:hint="eastAsia" w:ascii="Times New Roman" w:hAnsi="Times New Roman" w:eastAsia="黑体"/>
          <w:b w:val="0"/>
          <w:color w:val="auto"/>
          <w:highlight w:val="none"/>
        </w:rPr>
        <w:t>出决算情况说明</w:t>
      </w:r>
      <w:bookmarkEnd w:id="16"/>
      <w:bookmarkEnd w:id="17"/>
    </w:p>
    <w:p w14:paraId="500030B2">
      <w:pPr>
        <w:spacing w:line="600" w:lineRule="exact"/>
        <w:ind w:firstLine="640" w:firstLineChars="200"/>
        <w:outlineLvl w:val="1"/>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220.65</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220.65</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%；上缴上级支出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%；对附属单位补助支出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万元，占0%。</w:t>
      </w:r>
      <w:bookmarkStart w:id="18" w:name="_Toc15377208"/>
      <w:bookmarkStart w:id="19" w:name="_Toc15396606"/>
    </w:p>
    <w:p w14:paraId="40FDB0F8">
      <w:pPr>
        <w:spacing w:line="600" w:lineRule="exact"/>
        <w:ind w:firstLine="640" w:firstLineChars="200"/>
        <w:outlineLvl w:val="1"/>
        <w:rPr>
          <w:rStyle w:val="30"/>
          <w:rFonts w:ascii="Times New Roman" w:hAnsi="Times New Roman" w:eastAsia="黑体"/>
          <w:b w:val="0"/>
          <w:color w:val="auto"/>
          <w:highlight w:val="none"/>
        </w:rPr>
      </w:pPr>
      <w:r>
        <w:rPr>
          <w:rFonts w:hint="eastAsia" w:ascii="Times New Roman" w:hAnsi="Times New Roman" w:eastAsia="黑体"/>
          <w:color w:val="auto"/>
          <w:sz w:val="32"/>
          <w:szCs w:val="32"/>
          <w:highlight w:val="none"/>
        </w:rPr>
        <w:t>四、财</w:t>
      </w:r>
      <w:r>
        <w:rPr>
          <w:rStyle w:val="30"/>
          <w:rFonts w:hint="eastAsia" w:ascii="Times New Roman" w:hAnsi="Times New Roman" w:eastAsia="黑体"/>
          <w:b w:val="0"/>
          <w:color w:val="auto"/>
          <w:highlight w:val="none"/>
        </w:rPr>
        <w:t>政拨款收入支出决算总体情况说明</w:t>
      </w:r>
      <w:bookmarkEnd w:id="18"/>
      <w:bookmarkEnd w:id="19"/>
    </w:p>
    <w:p w14:paraId="7A12494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220.65</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万元。与2023年度相比，财政拨款收入总计、支出总计各增加</w:t>
      </w:r>
      <w:r>
        <w:rPr>
          <w:rFonts w:hint="eastAsia" w:eastAsia="仿宋_GB2312" w:cs="仿宋_GB2312"/>
          <w:color w:val="auto"/>
          <w:kern w:val="2"/>
          <w:sz w:val="32"/>
          <w:szCs w:val="32"/>
          <w:highlight w:val="none"/>
          <w:lang w:val="en-US" w:eastAsia="zh-CN" w:bidi="ar-SA"/>
        </w:rPr>
        <w:t>6.91</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3.23</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eastAsia="仿宋_GB2312" w:cs="仿宋_GB2312"/>
          <w:color w:val="auto"/>
          <w:sz w:val="32"/>
          <w:szCs w:val="32"/>
          <w:highlight w:val="none"/>
          <w:lang w:val="en-US" w:eastAsia="zh-CN"/>
        </w:rPr>
        <w:t>人员变动。</w:t>
      </w:r>
    </w:p>
    <w:p w14:paraId="50EDE7C4">
      <w:pPr>
        <w:spacing w:line="600" w:lineRule="exact"/>
        <w:ind w:firstLine="640" w:firstLineChars="200"/>
        <w:outlineLvl w:val="1"/>
        <w:rPr>
          <w:rStyle w:val="30"/>
          <w:rFonts w:ascii="Times New Roman" w:hAnsi="Times New Roman" w:eastAsia="黑体"/>
          <w:b w:val="0"/>
          <w:color w:val="auto"/>
          <w:highlight w:val="none"/>
        </w:rPr>
      </w:pPr>
      <w:bookmarkStart w:id="20" w:name="_Toc15396607"/>
      <w:bookmarkStart w:id="21" w:name="_Toc15377209"/>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般公共预算财政拨款支出决算情况说明</w:t>
      </w:r>
      <w:bookmarkEnd w:id="20"/>
      <w:bookmarkEnd w:id="21"/>
    </w:p>
    <w:p w14:paraId="50CC935F">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2"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22"/>
    </w:p>
    <w:p w14:paraId="0CB28FC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220.65</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%。与2023年度相比，一般公共预算财政拨款支出增加6.91万元，增长3.23%。主要变动原因是</w:t>
      </w:r>
      <w:r>
        <w:rPr>
          <w:rFonts w:hint="eastAsia" w:eastAsia="仿宋_GB2312" w:cs="仿宋_GB2312"/>
          <w:color w:val="auto"/>
          <w:sz w:val="32"/>
          <w:szCs w:val="32"/>
          <w:highlight w:val="none"/>
          <w:lang w:val="en-US" w:eastAsia="zh-CN"/>
        </w:rPr>
        <w:t>人员变动。</w:t>
      </w:r>
    </w:p>
    <w:p w14:paraId="4BE11F92">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3"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23"/>
    </w:p>
    <w:p w14:paraId="6337CA45">
      <w:pPr>
        <w:spacing w:line="600" w:lineRule="exact"/>
        <w:ind w:firstLine="640" w:firstLineChars="200"/>
        <w:outlineLvl w:val="2"/>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220.65</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社会保障和就业支出</w:t>
      </w:r>
      <w:r>
        <w:rPr>
          <w:rFonts w:hint="eastAsia" w:eastAsia="仿宋_GB2312" w:cs="仿宋_GB2312"/>
          <w:color w:val="auto"/>
          <w:kern w:val="2"/>
          <w:sz w:val="32"/>
          <w:szCs w:val="32"/>
          <w:highlight w:val="none"/>
          <w:lang w:val="en-US" w:eastAsia="zh-CN" w:bidi="ar-SA"/>
        </w:rPr>
        <w:t>33.99</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15.4</w:t>
      </w:r>
      <w:r>
        <w:rPr>
          <w:rFonts w:hint="eastAsia" w:ascii="Times New Roman" w:hAnsi="Times New Roman" w:eastAsia="仿宋_GB2312" w:cs="仿宋_GB2312"/>
          <w:color w:val="auto"/>
          <w:kern w:val="2"/>
          <w:sz w:val="32"/>
          <w:szCs w:val="32"/>
          <w:highlight w:val="none"/>
          <w:lang w:val="en-US" w:eastAsia="zh-CN" w:bidi="ar-SA"/>
        </w:rPr>
        <w:t>%；卫生健康支出</w:t>
      </w:r>
      <w:r>
        <w:rPr>
          <w:rFonts w:hint="eastAsia" w:eastAsia="仿宋_GB2312" w:cs="仿宋_GB2312"/>
          <w:color w:val="auto"/>
          <w:kern w:val="2"/>
          <w:sz w:val="32"/>
          <w:szCs w:val="32"/>
          <w:highlight w:val="none"/>
          <w:lang w:val="en-US" w:eastAsia="zh-CN" w:bidi="ar-SA"/>
        </w:rPr>
        <w:t>169.65</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76.89</w:t>
      </w:r>
      <w:r>
        <w:rPr>
          <w:rFonts w:hint="eastAsia" w:ascii="Times New Roman" w:hAnsi="Times New Roman" w:eastAsia="仿宋_GB2312" w:cs="仿宋_GB2312"/>
          <w:color w:val="auto"/>
          <w:kern w:val="2"/>
          <w:sz w:val="32"/>
          <w:szCs w:val="32"/>
          <w:highlight w:val="none"/>
          <w:lang w:val="en-US" w:eastAsia="zh-CN" w:bidi="ar-SA"/>
        </w:rPr>
        <w:t>%；住房保障支出</w:t>
      </w:r>
      <w:r>
        <w:rPr>
          <w:rFonts w:hint="eastAsia" w:eastAsia="仿宋_GB2312" w:cs="仿宋_GB2312"/>
          <w:color w:val="auto"/>
          <w:kern w:val="2"/>
          <w:sz w:val="32"/>
          <w:szCs w:val="32"/>
          <w:highlight w:val="none"/>
          <w:lang w:val="en-US" w:eastAsia="zh-CN" w:bidi="ar-SA"/>
        </w:rPr>
        <w:t>17</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7.7</w:t>
      </w:r>
      <w:r>
        <w:rPr>
          <w:rFonts w:hint="eastAsia" w:ascii="Times New Roman" w:hAnsi="Times New Roman" w:eastAsia="仿宋_GB2312" w:cs="仿宋_GB2312"/>
          <w:color w:val="auto"/>
          <w:kern w:val="2"/>
          <w:sz w:val="32"/>
          <w:szCs w:val="32"/>
          <w:highlight w:val="none"/>
          <w:lang w:val="en-US" w:eastAsia="zh-CN" w:bidi="ar-SA"/>
        </w:rPr>
        <w:t>%；</w:t>
      </w:r>
      <w:bookmarkStart w:id="24" w:name="_Toc15377212"/>
    </w:p>
    <w:p w14:paraId="4854439D">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（三）一般公共预算财政拨款支出决算具体情况</w:t>
      </w:r>
      <w:bookmarkEnd w:id="24"/>
    </w:p>
    <w:p w14:paraId="0C56525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25" w:name="_Toc15377444"/>
      <w:bookmarkStart w:id="26" w:name="_Toc15378460"/>
      <w:bookmarkStart w:id="27" w:name="_Toc15377213"/>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220.65</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25"/>
      <w:bookmarkEnd w:id="26"/>
      <w:bookmarkEnd w:id="27"/>
    </w:p>
    <w:p w14:paraId="0923DBB7">
      <w:pPr>
        <w:numPr>
          <w:ilvl w:val="0"/>
          <w:numId w:val="0"/>
        </w:numPr>
        <w:spacing w:line="600" w:lineRule="exact"/>
        <w:ind w:firstLine="640" w:firstLineChars="200"/>
        <w:rPr>
          <w:rFonts w:hint="eastAsia"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社会保障和就业</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33.99</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72A1AAC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卫生健康</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169.65</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p>
    <w:p w14:paraId="43F4ED08">
      <w:pPr>
        <w:tabs>
          <w:tab w:val="right" w:pos="8306"/>
        </w:tabs>
        <w:spacing w:line="600" w:lineRule="exact"/>
        <w:ind w:firstLine="640"/>
        <w:outlineLvl w:val="1"/>
        <w:rPr>
          <w:rStyle w:val="30"/>
          <w:rFonts w:ascii="Times New Roman" w:hAnsi="Times New Roman"/>
          <w:color w:val="auto"/>
          <w:highlight w:val="none"/>
        </w:rPr>
      </w:pPr>
      <w:bookmarkStart w:id="28" w:name="_Toc15377214"/>
      <w:bookmarkStart w:id="29" w:name="_Toc15396608"/>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般公共预算财政拨款基本支出决算情况说明</w:t>
      </w:r>
      <w:bookmarkEnd w:id="28"/>
      <w:bookmarkEnd w:id="29"/>
      <w:r>
        <w:rPr>
          <w:rStyle w:val="30"/>
          <w:rFonts w:ascii="Times New Roman" w:hAnsi="Times New Roman" w:eastAsia="黑体"/>
          <w:b w:val="0"/>
          <w:color w:val="auto"/>
          <w:highlight w:val="none"/>
        </w:rPr>
        <w:tab/>
      </w:r>
    </w:p>
    <w:p w14:paraId="6625B71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220.65</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14:paraId="008B7A0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212.54</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8.1</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3A3E82DA">
      <w:pPr>
        <w:spacing w:line="600" w:lineRule="exact"/>
        <w:ind w:firstLine="640"/>
        <w:outlineLvl w:val="1"/>
        <w:rPr>
          <w:rStyle w:val="30"/>
          <w:rFonts w:ascii="Times New Roman" w:hAnsi="Times New Roman" w:eastAsia="黑体"/>
          <w:b w:val="0"/>
          <w:color w:val="auto"/>
          <w:highlight w:val="none"/>
        </w:rPr>
      </w:pPr>
      <w:bookmarkStart w:id="30" w:name="_Toc15396609"/>
      <w:bookmarkStart w:id="31" w:name="_Toc15377215"/>
      <w:r>
        <w:rPr>
          <w:rFonts w:hint="eastAsia" w:ascii="Times New Roman" w:hAnsi="Times New Roman" w:eastAsia="黑体"/>
          <w:color w:val="auto"/>
          <w:sz w:val="32"/>
          <w:szCs w:val="32"/>
          <w:highlight w:val="none"/>
        </w:rPr>
        <w:t>七、</w:t>
      </w:r>
      <w:r>
        <w:rPr>
          <w:rStyle w:val="30"/>
          <w:rFonts w:hint="eastAsia" w:ascii="Times New Roman" w:hAnsi="Times New Roman" w:eastAsia="黑体"/>
          <w:b w:val="0"/>
          <w:color w:val="auto"/>
          <w:highlight w:val="none"/>
        </w:rPr>
        <w:t>财政拨款</w:t>
      </w:r>
      <w:r>
        <w:rPr>
          <w:rStyle w:val="30"/>
          <w:rFonts w:hint="eastAsia" w:ascii="Times New Roman" w:hAnsi="Times New Roman" w:eastAsia="黑体"/>
          <w:color w:val="auto"/>
          <w:highlight w:val="none"/>
        </w:rPr>
        <w:t>“</w:t>
      </w:r>
      <w:r>
        <w:rPr>
          <w:rStyle w:val="30"/>
          <w:rFonts w:hint="eastAsia" w:ascii="Times New Roman" w:hAnsi="Times New Roman" w:eastAsia="黑体"/>
          <w:b w:val="0"/>
          <w:color w:val="auto"/>
          <w:highlight w:val="none"/>
        </w:rPr>
        <w:t>三公”经费支出决算情况说明</w:t>
      </w:r>
      <w:bookmarkEnd w:id="30"/>
      <w:bookmarkEnd w:id="31"/>
    </w:p>
    <w:p w14:paraId="06DF4CC7">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2" w:name="_Toc15377216"/>
      <w:r>
        <w:rPr>
          <w:rFonts w:hint="eastAsia" w:ascii="Times New Roman" w:hAnsi="Times New Roman" w:eastAsia="楷体_GB2312" w:cs="楷体_GB2312"/>
          <w:b/>
          <w:color w:val="auto"/>
          <w:sz w:val="32"/>
          <w:szCs w:val="32"/>
          <w:highlight w:val="none"/>
        </w:rPr>
        <w:t>“三公”经费财政拨款支出决算总体情况说明</w:t>
      </w:r>
      <w:bookmarkEnd w:id="32"/>
    </w:p>
    <w:p w14:paraId="0D6FC57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bookmarkStart w:id="33" w:name="_Toc15377218"/>
      <w:bookmarkStart w:id="34" w:name="_Toc15396610"/>
    </w:p>
    <w:p w14:paraId="114C7654">
      <w:pPr>
        <w:spacing w:line="600" w:lineRule="exact"/>
        <w:ind w:firstLine="640"/>
        <w:outlineLvl w:val="1"/>
        <w:rPr>
          <w:rStyle w:val="30"/>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30"/>
          <w:rFonts w:hint="eastAsia" w:ascii="Times New Roman" w:hAnsi="Times New Roman" w:eastAsia="黑体"/>
          <w:b w:val="0"/>
          <w:color w:val="auto"/>
          <w:highlight w:val="none"/>
        </w:rPr>
        <w:t>政府性基金预算支出决算情况说明</w:t>
      </w:r>
      <w:bookmarkEnd w:id="33"/>
      <w:bookmarkEnd w:id="34"/>
    </w:p>
    <w:p w14:paraId="794C7C81">
      <w:pPr>
        <w:numPr>
          <w:ilvl w:val="0"/>
          <w:numId w:val="0"/>
        </w:numPr>
        <w:spacing w:line="600" w:lineRule="exact"/>
        <w:ind w:left="630" w:leftChars="0"/>
        <w:outlineLvl w:val="1"/>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w:t>
      </w:r>
      <w:bookmarkStart w:id="35" w:name="_Toc15377219"/>
      <w:bookmarkStart w:id="36" w:name="_Toc15396611"/>
    </w:p>
    <w:p w14:paraId="0539954C">
      <w:pPr>
        <w:numPr>
          <w:ilvl w:val="0"/>
          <w:numId w:val="0"/>
        </w:numPr>
        <w:spacing w:line="600" w:lineRule="exact"/>
        <w:ind w:left="630" w:leftChars="0"/>
        <w:outlineLvl w:val="1"/>
        <w:rPr>
          <w:rStyle w:val="30"/>
          <w:rFonts w:ascii="Times New Roman" w:hAnsi="Times New Roman" w:eastAsia="黑体"/>
          <w:b w:val="0"/>
          <w:color w:val="auto"/>
          <w:highlight w:val="none"/>
        </w:rPr>
      </w:pPr>
      <w:r>
        <w:rPr>
          <w:rStyle w:val="30"/>
          <w:rFonts w:hint="eastAsia" w:ascii="Times New Roman" w:hAnsi="Times New Roman" w:eastAsia="黑体"/>
          <w:b w:val="0"/>
          <w:color w:val="auto"/>
          <w:highlight w:val="none"/>
          <w:lang w:eastAsia="zh-CN"/>
        </w:rPr>
        <w:t>九、</w:t>
      </w:r>
      <w:r>
        <w:rPr>
          <w:rStyle w:val="30"/>
          <w:rFonts w:hint="eastAsia" w:ascii="Times New Roman" w:hAnsi="Times New Roman" w:eastAsia="黑体"/>
          <w:b w:val="0"/>
          <w:color w:val="auto"/>
          <w:highlight w:val="none"/>
        </w:rPr>
        <w:t>国有资本经营预算支出决算情况说明</w:t>
      </w:r>
      <w:bookmarkEnd w:id="35"/>
      <w:bookmarkEnd w:id="36"/>
    </w:p>
    <w:p w14:paraId="0C970D00">
      <w:pPr>
        <w:numPr>
          <w:ilvl w:val="0"/>
          <w:numId w:val="0"/>
        </w:numPr>
        <w:spacing w:line="600" w:lineRule="exact"/>
        <w:ind w:left="630" w:leftChars="0"/>
        <w:outlineLvl w:val="1"/>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w:t>
      </w:r>
      <w:bookmarkStart w:id="37" w:name="_Toc15377221"/>
      <w:bookmarkStart w:id="38" w:name="_Toc15396612"/>
    </w:p>
    <w:p w14:paraId="4FA10FD2">
      <w:pPr>
        <w:numPr>
          <w:ilvl w:val="0"/>
          <w:numId w:val="0"/>
        </w:numPr>
        <w:spacing w:line="600" w:lineRule="exact"/>
        <w:ind w:left="630" w:leftChars="0"/>
        <w:outlineLvl w:val="1"/>
        <w:rPr>
          <w:rStyle w:val="30"/>
          <w:rFonts w:hint="eastAsia" w:ascii="Times New Roman" w:hAnsi="Times New Roman" w:eastAsia="黑体"/>
          <w:b w:val="0"/>
          <w:color w:val="auto"/>
          <w:highlight w:val="none"/>
        </w:rPr>
      </w:pPr>
      <w:r>
        <w:rPr>
          <w:rStyle w:val="30"/>
          <w:rFonts w:hint="eastAsia" w:ascii="Times New Roman" w:hAnsi="Times New Roman" w:eastAsia="黑体"/>
          <w:b w:val="0"/>
          <w:color w:val="auto"/>
          <w:highlight w:val="none"/>
          <w:lang w:eastAsia="zh-CN"/>
        </w:rPr>
        <w:t>十、</w:t>
      </w:r>
      <w:r>
        <w:rPr>
          <w:rStyle w:val="30"/>
          <w:rFonts w:hint="eastAsia" w:ascii="Times New Roman" w:hAnsi="Times New Roman" w:eastAsia="黑体"/>
          <w:b w:val="0"/>
          <w:color w:val="auto"/>
          <w:highlight w:val="none"/>
        </w:rPr>
        <w:t>其他重要事项的情况说明</w:t>
      </w:r>
      <w:bookmarkEnd w:id="37"/>
      <w:bookmarkEnd w:id="38"/>
    </w:p>
    <w:p w14:paraId="71B53E5B">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9" w:name="_Toc15377222"/>
      <w:r>
        <w:rPr>
          <w:rFonts w:hint="eastAsia" w:ascii="Times New Roman" w:hAnsi="Times New Roman" w:eastAsia="楷体_GB2312" w:cs="楷体_GB2312"/>
          <w:b/>
          <w:color w:val="auto"/>
          <w:sz w:val="32"/>
          <w:szCs w:val="32"/>
          <w:highlight w:val="none"/>
        </w:rPr>
        <w:t>（一）机关运行经费支出情况</w:t>
      </w:r>
      <w:bookmarkEnd w:id="39"/>
    </w:p>
    <w:p w14:paraId="78CE932B">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阿坝州松潘县城乡居民基本医疗保险服务中心</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w:t>
      </w:r>
      <w:r>
        <w:rPr>
          <w:rFonts w:hint="eastAsia" w:eastAsia="仿宋_GB2312" w:cs="仿宋_GB2312"/>
          <w:color w:val="auto"/>
          <w:kern w:val="2"/>
          <w:sz w:val="32"/>
          <w:szCs w:val="32"/>
          <w:highlight w:val="none"/>
          <w:lang w:val="en-US" w:eastAsia="zh-CN" w:bidi="ar-SA"/>
        </w:rPr>
        <w:t>。</w:t>
      </w:r>
    </w:p>
    <w:p w14:paraId="428A66E7">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0" w:name="_Toc15377223"/>
      <w:r>
        <w:rPr>
          <w:rFonts w:hint="eastAsia" w:ascii="Times New Roman" w:hAnsi="Times New Roman" w:eastAsia="楷体_GB2312" w:cs="楷体_GB2312"/>
          <w:b/>
          <w:color w:val="auto"/>
          <w:sz w:val="32"/>
          <w:szCs w:val="32"/>
          <w:highlight w:val="none"/>
        </w:rPr>
        <w:t>（二）政府采购支出情况</w:t>
      </w:r>
      <w:bookmarkEnd w:id="40"/>
    </w:p>
    <w:p w14:paraId="69F7BCDE">
      <w:pPr>
        <w:spacing w:line="600" w:lineRule="exact"/>
        <w:ind w:firstLine="640" w:firstLineChars="200"/>
        <w:outlineLvl w:val="2"/>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阿坝州松潘县城乡居民基本医疗保险服务中心</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bookmarkStart w:id="41" w:name="_Toc15377224"/>
      <w:r>
        <w:rPr>
          <w:rFonts w:hint="eastAsia" w:ascii="仿宋_GB2312" w:hAnsi="仿宋_GB2312" w:eastAsia="仿宋_GB2312" w:cs="仿宋_GB2312"/>
          <w:color w:val="auto"/>
          <w:kern w:val="2"/>
          <w:sz w:val="32"/>
          <w:szCs w:val="32"/>
          <w:highlight w:val="none"/>
          <w:lang w:val="en-US" w:eastAsia="zh-CN" w:bidi="ar-SA"/>
        </w:rPr>
        <w:t>。</w:t>
      </w:r>
    </w:p>
    <w:p w14:paraId="57F911FE">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（三）国有资产占有使用情况</w:t>
      </w:r>
      <w:bookmarkEnd w:id="41"/>
    </w:p>
    <w:p w14:paraId="0BC461C5">
      <w:pPr>
        <w:spacing w:line="600" w:lineRule="exact"/>
        <w:ind w:firstLine="640" w:firstLineChars="200"/>
        <w:outlineLvl w:val="2"/>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阿坝州松潘县城乡居民基本医疗保险服务中心</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w:t>
      </w:r>
    </w:p>
    <w:p w14:paraId="5B3A17D1">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42" w:name="_Toc15396613"/>
      <w:bookmarkStart w:id="43" w:name="_Toc15377225"/>
    </w:p>
    <w:p w14:paraId="7D06FA58">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761D5F77">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29E14696">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37419C1E">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0C468294">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13307C01">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7924E445">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6D088E3C">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1D00E282">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1129A55C">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704EA666">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7B40C933">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3957DBA4">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49E58BAD">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3DE6B232">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6520A5D6">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25425504">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5D4422FE">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4026F007">
      <w:pPr>
        <w:numPr>
          <w:ilvl w:val="0"/>
          <w:numId w:val="0"/>
        </w:numPr>
        <w:spacing w:line="600" w:lineRule="exact"/>
        <w:jc w:val="center"/>
        <w:outlineLvl w:val="0"/>
        <w:rPr>
          <w:rFonts w:hint="eastAsia" w:ascii="Times New Roman" w:hAnsi="Times New Roman" w:eastAsia="黑体"/>
          <w:color w:val="auto"/>
          <w:sz w:val="44"/>
          <w:szCs w:val="44"/>
          <w:highlight w:val="none"/>
        </w:rPr>
      </w:pPr>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42"/>
      <w:bookmarkEnd w:id="43"/>
    </w:p>
    <w:p w14:paraId="30449172">
      <w:pPr>
        <w:spacing w:line="600" w:lineRule="exact"/>
        <w:jc w:val="left"/>
        <w:rPr>
          <w:rFonts w:ascii="Times New Roman" w:hAnsi="Times New Roman"/>
          <w:b/>
          <w:color w:val="auto"/>
          <w:sz w:val="44"/>
          <w:szCs w:val="44"/>
          <w:highlight w:val="none"/>
        </w:rPr>
      </w:pPr>
    </w:p>
    <w:p w14:paraId="6E518828">
      <w:pPr>
        <w:pStyle w:val="15"/>
        <w:keepNext w:val="0"/>
        <w:keepLines w:val="0"/>
        <w:pageBreakBefore w:val="0"/>
        <w:widowControl w:val="0"/>
        <w:suppressLineNumbers w:val="0"/>
        <w:kinsoku/>
        <w:wordWrap/>
        <w:overflowPunct/>
        <w:topLinePunct w:val="0"/>
        <w:bidi w:val="0"/>
        <w:snapToGrid/>
        <w:spacing w:before="0" w:beforeAutospacing="0" w:after="0" w:afterAutospacing="0" w:line="578" w:lineRule="exact"/>
        <w:ind w:left="0" w:leftChars="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1.财政拨款收入：指单位从同级财政部门取得的财政预算资金。</w:t>
      </w:r>
    </w:p>
    <w:p w14:paraId="76CFEA53">
      <w:pPr>
        <w:pStyle w:val="15"/>
        <w:keepNext w:val="0"/>
        <w:keepLines w:val="0"/>
        <w:pageBreakBefore w:val="0"/>
        <w:widowControl w:val="0"/>
        <w:suppressLineNumbers w:val="0"/>
        <w:kinsoku/>
        <w:wordWrap/>
        <w:overflowPunct/>
        <w:topLinePunct w:val="0"/>
        <w:bidi w:val="0"/>
        <w:snapToGrid/>
        <w:spacing w:before="0" w:beforeAutospacing="0" w:after="0" w:afterAutospacing="0" w:line="578" w:lineRule="exact"/>
        <w:ind w:left="0" w:leftChars="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2.事业收入：指事业单位开展专业业务活动及辅助活动取得的收入。如…（二级预算单位事业收入情况）等。</w:t>
      </w:r>
    </w:p>
    <w:p w14:paraId="19DD848A">
      <w:pPr>
        <w:pStyle w:val="15"/>
        <w:keepNext w:val="0"/>
        <w:keepLines w:val="0"/>
        <w:pageBreakBefore w:val="0"/>
        <w:widowControl w:val="0"/>
        <w:suppressLineNumbers w:val="0"/>
        <w:kinsoku/>
        <w:wordWrap/>
        <w:overflowPunct/>
        <w:topLinePunct w:val="0"/>
        <w:bidi w:val="0"/>
        <w:snapToGrid/>
        <w:spacing w:before="0" w:beforeAutospacing="0" w:after="0" w:afterAutospacing="0" w:line="578" w:lineRule="exact"/>
        <w:ind w:left="0" w:leftChars="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3.经营收入：指事业单位在专业业务活动及其辅助活动之外开展非独立核算经营活动取得的收入。如…（二级预算单位经营收入情况）等。</w:t>
      </w:r>
    </w:p>
    <w:p w14:paraId="5A2F12C4">
      <w:pPr>
        <w:pStyle w:val="15"/>
        <w:keepNext w:val="0"/>
        <w:keepLines w:val="0"/>
        <w:pageBreakBefore w:val="0"/>
        <w:widowControl w:val="0"/>
        <w:suppressLineNumbers w:val="0"/>
        <w:kinsoku/>
        <w:wordWrap/>
        <w:overflowPunct/>
        <w:topLinePunct w:val="0"/>
        <w:bidi w:val="0"/>
        <w:snapToGrid/>
        <w:spacing w:before="0" w:beforeAutospacing="0" w:after="0" w:afterAutospacing="0" w:line="578" w:lineRule="exact"/>
        <w:ind w:left="0" w:leftChars="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4.其他收入：指单位取得的除上述收入以外的各项收入。主要是…（收入类型）等。</w:t>
      </w:r>
    </w:p>
    <w:p w14:paraId="50D732CD">
      <w:pPr>
        <w:pStyle w:val="15"/>
        <w:keepNext w:val="0"/>
        <w:keepLines w:val="0"/>
        <w:pageBreakBefore w:val="0"/>
        <w:widowControl w:val="0"/>
        <w:suppressLineNumbers w:val="0"/>
        <w:kinsoku/>
        <w:wordWrap/>
        <w:overflowPunct/>
        <w:topLinePunct w:val="0"/>
        <w:bidi w:val="0"/>
        <w:snapToGrid/>
        <w:spacing w:before="0" w:beforeAutospacing="0" w:after="0" w:afterAutospacing="0" w:line="578" w:lineRule="exact"/>
        <w:ind w:left="0" w:leftChars="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5.使用非财政拨款结余：指事业单位使用以前年度积累的非财政拨款结余弥补当年收支差额的金额。</w:t>
      </w:r>
    </w:p>
    <w:p w14:paraId="7E941935">
      <w:pPr>
        <w:pStyle w:val="15"/>
        <w:keepNext w:val="0"/>
        <w:keepLines w:val="0"/>
        <w:pageBreakBefore w:val="0"/>
        <w:widowControl w:val="0"/>
        <w:suppressLineNumbers w:val="0"/>
        <w:kinsoku/>
        <w:wordWrap/>
        <w:overflowPunct/>
        <w:topLinePunct w:val="0"/>
        <w:bidi w:val="0"/>
        <w:snapToGrid/>
        <w:spacing w:before="0" w:beforeAutospacing="0" w:after="0" w:afterAutospacing="0" w:line="578" w:lineRule="exact"/>
        <w:ind w:left="0" w:leftChars="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6.年初结转和结余：指以前年度尚未完成、结转到本年按有关规定继续使用的资金。</w:t>
      </w:r>
    </w:p>
    <w:p w14:paraId="06D87268">
      <w:pPr>
        <w:pStyle w:val="15"/>
        <w:keepNext w:val="0"/>
        <w:keepLines w:val="0"/>
        <w:pageBreakBefore w:val="0"/>
        <w:widowControl w:val="0"/>
        <w:suppressLineNumbers w:val="0"/>
        <w:kinsoku/>
        <w:wordWrap/>
        <w:overflowPunct/>
        <w:topLinePunct w:val="0"/>
        <w:bidi w:val="0"/>
        <w:snapToGrid/>
        <w:spacing w:before="0" w:beforeAutospacing="0" w:after="0" w:afterAutospacing="0" w:line="578" w:lineRule="exact"/>
        <w:ind w:left="0" w:leftChars="0" w:right="0"/>
        <w:jc w:val="left"/>
        <w:textAlignment w:val="auto"/>
        <w:rPr>
          <w:rFonts w:hint="eastAsia" w:ascii="仿宋_GB2312" w:hAnsi="仿宋_GB2312" w:eastAsia="仿宋_GB2312" w:cs="仿宋_GB2312"/>
          <w:color w:val="auto"/>
          <w:sz w:val="32"/>
          <w:szCs w:val="32"/>
          <w:shd w:val="clear" w:color="auto" w:fill="FFFFFF"/>
          <w:lang w:eastAsia="zh-CN"/>
        </w:rPr>
      </w:pPr>
      <w:r>
        <w:rPr>
          <w:rFonts w:hint="eastAsia" w:ascii="仿宋_GB2312" w:hAnsi="仿宋_GB2312" w:eastAsia="仿宋_GB2312" w:cs="仿宋_GB2312"/>
          <w:color w:val="auto"/>
          <w:sz w:val="32"/>
          <w:szCs w:val="32"/>
          <w:shd w:val="clear" w:color="auto" w:fill="FFFFFF"/>
        </w:rPr>
        <w:t>7.结余分配：指事业单位按照会计制度规定缴纳的所得税</w:t>
      </w:r>
      <w:r>
        <w:rPr>
          <w:rFonts w:hint="eastAsia" w:ascii="仿宋_GB2312" w:hAnsi="仿宋_GB2312" w:eastAsia="仿宋_GB2312" w:cs="仿宋_GB2312"/>
          <w:color w:val="auto"/>
          <w:sz w:val="32"/>
          <w:szCs w:val="32"/>
          <w:shd w:val="clear" w:color="auto" w:fill="FFFFFF"/>
          <w:lang w:eastAsia="zh-CN"/>
        </w:rPr>
        <w:t>。</w:t>
      </w:r>
    </w:p>
    <w:p w14:paraId="6A478058">
      <w:pPr>
        <w:pStyle w:val="15"/>
        <w:keepNext w:val="0"/>
        <w:keepLines w:val="0"/>
        <w:pageBreakBefore w:val="0"/>
        <w:widowControl w:val="0"/>
        <w:suppressLineNumbers w:val="0"/>
        <w:kinsoku/>
        <w:wordWrap/>
        <w:overflowPunct/>
        <w:topLinePunct w:val="0"/>
        <w:bidi w:val="0"/>
        <w:snapToGrid/>
        <w:spacing w:before="0" w:beforeAutospacing="0" w:after="0" w:afterAutospacing="0" w:line="578" w:lineRule="exact"/>
        <w:ind w:left="0" w:leftChars="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8</w:t>
      </w:r>
      <w:r>
        <w:rPr>
          <w:rFonts w:hint="eastAsia" w:ascii="仿宋_GB2312" w:hAnsi="仿宋_GB2312" w:eastAsia="仿宋_GB2312" w:cs="仿宋_GB2312"/>
          <w:color w:val="auto"/>
          <w:sz w:val="32"/>
          <w:szCs w:val="32"/>
          <w:shd w:val="clear" w:color="auto" w:fill="FFFFFF"/>
          <w:lang w:val="en-US" w:eastAsia="zh-CN"/>
        </w:rPr>
        <w:t>.</w:t>
      </w:r>
      <w:r>
        <w:rPr>
          <w:rFonts w:hint="eastAsia" w:ascii="仿宋_GB2312" w:hAnsi="仿宋_GB2312" w:eastAsia="仿宋_GB2312" w:cs="仿宋_GB2312"/>
          <w:color w:val="auto"/>
          <w:sz w:val="32"/>
          <w:szCs w:val="32"/>
          <w:shd w:val="clear" w:color="auto" w:fill="FFFFFF"/>
        </w:rPr>
        <w:t>年末结转和结余：指单位按有关规定结转到下年或以后年度继续使用的资金。</w:t>
      </w:r>
    </w:p>
    <w:p w14:paraId="4BA9199D">
      <w:pPr>
        <w:keepNext w:val="0"/>
        <w:keepLines w:val="0"/>
        <w:pageBreakBefore w:val="0"/>
        <w:widowControl w:val="0"/>
        <w:shd w:val="clear" w:color="auto" w:fill="FBFBFB"/>
        <w:kinsoku/>
        <w:wordWrap/>
        <w:overflowPunct/>
        <w:topLinePunct w:val="0"/>
        <w:bidi w:val="0"/>
        <w:snapToGrid/>
        <w:spacing w:afterAutospacing="0" w:line="578" w:lineRule="exact"/>
        <w:ind w:left="0" w:leftChars="0" w:right="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szCs w:val="32"/>
          <w:shd w:val="clear" w:color="auto" w:fill="FFFFFF"/>
        </w:rPr>
        <w:t>9.</w:t>
      </w:r>
      <w:r>
        <w:rPr>
          <w:rFonts w:hint="eastAsia" w:ascii="仿宋_GB2312" w:hAnsi="仿宋_GB2312" w:eastAsia="仿宋_GB2312" w:cs="仿宋_GB2312"/>
          <w:color w:val="auto"/>
          <w:kern w:val="0"/>
          <w:sz w:val="32"/>
          <w:szCs w:val="32"/>
        </w:rPr>
        <w:t>住房保障支出：指职工的住房公积金。</w:t>
      </w:r>
    </w:p>
    <w:p w14:paraId="2E4C3F84">
      <w:pPr>
        <w:keepNext w:val="0"/>
        <w:keepLines w:val="0"/>
        <w:pageBreakBefore w:val="0"/>
        <w:widowControl w:val="0"/>
        <w:shd w:val="clear" w:color="auto" w:fill="FBFBFB"/>
        <w:kinsoku/>
        <w:wordWrap/>
        <w:overflowPunct/>
        <w:topLinePunct w:val="0"/>
        <w:bidi w:val="0"/>
        <w:snapToGrid/>
        <w:spacing w:afterAutospacing="0" w:line="578" w:lineRule="exact"/>
        <w:ind w:left="0" w:leftChars="0" w:right="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10.结余分配：指事业单位按规定提取的职工福利基金、事业基金和缴纳的所得税，以及建设单位按规定应</w:t>
      </w:r>
      <w:bookmarkStart w:id="59" w:name="_GoBack"/>
      <w:r>
        <w:rPr>
          <w:rFonts w:hint="eastAsia" w:ascii="仿宋_GB2312" w:hAnsi="仿宋_GB2312" w:eastAsia="仿宋_GB2312" w:cs="仿宋_GB2312"/>
          <w:color w:val="auto"/>
          <w:kern w:val="0"/>
          <w:sz w:val="32"/>
          <w:szCs w:val="32"/>
          <w:lang w:eastAsia="zh-CN"/>
        </w:rPr>
        <w:t>缴回</w:t>
      </w:r>
      <w:bookmarkEnd w:id="59"/>
      <w:r>
        <w:rPr>
          <w:rFonts w:hint="eastAsia" w:ascii="仿宋_GB2312" w:hAnsi="仿宋_GB2312" w:eastAsia="仿宋_GB2312" w:cs="仿宋_GB2312"/>
          <w:color w:val="auto"/>
          <w:kern w:val="0"/>
          <w:sz w:val="32"/>
          <w:szCs w:val="32"/>
        </w:rPr>
        <w:t>的基本建设竣工项目结余资金。</w:t>
      </w:r>
    </w:p>
    <w:p w14:paraId="39BF2032">
      <w:pPr>
        <w:keepNext w:val="0"/>
        <w:keepLines w:val="0"/>
        <w:pageBreakBefore w:val="0"/>
        <w:widowControl w:val="0"/>
        <w:shd w:val="clear" w:color="auto" w:fill="FBFBFB"/>
        <w:kinsoku/>
        <w:wordWrap/>
        <w:overflowPunct/>
        <w:topLinePunct w:val="0"/>
        <w:bidi w:val="0"/>
        <w:snapToGrid/>
        <w:spacing w:afterAutospacing="0" w:line="578" w:lineRule="exact"/>
        <w:ind w:left="0" w:leftChars="0" w:right="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11.年末结转和结余：指本年度或以前年度预算安排、因客观条件发生变化无法按原计划实施，需延迟到以后年度按有关规定继续使用的资金。</w:t>
      </w:r>
    </w:p>
    <w:p w14:paraId="4EBD2841">
      <w:pPr>
        <w:keepNext w:val="0"/>
        <w:keepLines w:val="0"/>
        <w:pageBreakBefore w:val="0"/>
        <w:widowControl w:val="0"/>
        <w:shd w:val="clear" w:color="auto" w:fill="FBFBFB"/>
        <w:kinsoku/>
        <w:wordWrap/>
        <w:overflowPunct/>
        <w:topLinePunct w:val="0"/>
        <w:bidi w:val="0"/>
        <w:snapToGrid/>
        <w:spacing w:afterAutospacing="0" w:line="578" w:lineRule="exact"/>
        <w:ind w:left="0" w:leftChars="0" w:right="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12.基本支出：指为保障机构正常运转、完成日常工作任务而发生的人员支出和公用支出。</w:t>
      </w:r>
    </w:p>
    <w:p w14:paraId="25968E01">
      <w:pPr>
        <w:keepNext w:val="0"/>
        <w:keepLines w:val="0"/>
        <w:pageBreakBefore w:val="0"/>
        <w:widowControl w:val="0"/>
        <w:shd w:val="clear" w:color="auto" w:fill="FBFBFB"/>
        <w:kinsoku/>
        <w:wordWrap/>
        <w:overflowPunct/>
        <w:topLinePunct w:val="0"/>
        <w:bidi w:val="0"/>
        <w:snapToGrid/>
        <w:spacing w:afterAutospacing="0" w:line="578" w:lineRule="exact"/>
        <w:ind w:left="0" w:leftChars="0" w:right="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13.项目支出：指在基本支出之外为完成特定行政任务和事业发展目标所发生的支出。</w:t>
      </w:r>
    </w:p>
    <w:p w14:paraId="265F29DD">
      <w:pPr>
        <w:keepNext w:val="0"/>
        <w:keepLines w:val="0"/>
        <w:pageBreakBefore w:val="0"/>
        <w:widowControl w:val="0"/>
        <w:shd w:val="clear" w:color="auto" w:fill="FBFBFB"/>
        <w:kinsoku/>
        <w:wordWrap/>
        <w:overflowPunct/>
        <w:topLinePunct w:val="0"/>
        <w:bidi w:val="0"/>
        <w:snapToGrid/>
        <w:spacing w:afterAutospacing="0" w:line="578" w:lineRule="exact"/>
        <w:ind w:left="0" w:leftChars="0" w:right="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14.经营支出：指事业单位在专业业务活动及其辅助活动之外开展非独立核算经营活动发生的支出。</w:t>
      </w:r>
    </w:p>
    <w:p w14:paraId="70A77169">
      <w:pPr>
        <w:keepNext w:val="0"/>
        <w:keepLines w:val="0"/>
        <w:pageBreakBefore w:val="0"/>
        <w:widowControl w:val="0"/>
        <w:shd w:val="clear" w:color="auto" w:fill="FBFBFB"/>
        <w:kinsoku/>
        <w:wordWrap/>
        <w:overflowPunct/>
        <w:topLinePunct w:val="0"/>
        <w:bidi w:val="0"/>
        <w:snapToGrid/>
        <w:spacing w:afterAutospacing="0" w:line="578" w:lineRule="exact"/>
        <w:ind w:left="0" w:leftChars="0" w:right="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15.“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5884CD05">
      <w:pPr>
        <w:keepNext w:val="0"/>
        <w:keepLines w:val="0"/>
        <w:pageBreakBefore w:val="0"/>
        <w:widowControl w:val="0"/>
        <w:shd w:val="clear" w:color="auto" w:fill="FBFBFB"/>
        <w:kinsoku/>
        <w:wordWrap/>
        <w:overflowPunct/>
        <w:topLinePunct w:val="0"/>
        <w:bidi w:val="0"/>
        <w:snapToGrid/>
        <w:spacing w:afterAutospacing="0" w:line="578" w:lineRule="exact"/>
        <w:ind w:left="0" w:leftChars="0" w:right="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BD72EE7">
      <w:pPr>
        <w:keepNext w:val="0"/>
        <w:keepLines w:val="0"/>
        <w:pageBreakBefore w:val="0"/>
        <w:widowControl w:val="0"/>
        <w:shd w:val="clear" w:color="auto" w:fill="FFFFFF"/>
        <w:kinsoku/>
        <w:wordWrap/>
        <w:overflowPunct/>
        <w:topLinePunct w:val="0"/>
        <w:bidi w:val="0"/>
        <w:snapToGrid/>
        <w:spacing w:afterAutospacing="0" w:line="578" w:lineRule="exact"/>
        <w:ind w:left="0" w:leftChars="0" w:right="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szCs w:val="32"/>
        </w:rPr>
        <w:t>17.基本支出：指为保障机构正常运转、完成日常工作任务而发生的人员支出和公用支出。</w:t>
      </w:r>
    </w:p>
    <w:p w14:paraId="2357A0E6">
      <w:pPr>
        <w:keepNext w:val="0"/>
        <w:keepLines w:val="0"/>
        <w:pageBreakBefore w:val="0"/>
        <w:widowControl w:val="0"/>
        <w:kinsoku/>
        <w:wordWrap/>
        <w:overflowPunct/>
        <w:topLinePunct w:val="0"/>
        <w:bidi w:val="0"/>
        <w:snapToGrid/>
        <w:spacing w:afterAutospacing="0" w:line="578" w:lineRule="exact"/>
        <w:ind w:left="0" w:leftChars="0" w:right="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18.项目支出：指在基本支出之外为完成特定行政任务和事业发展目标所发生的支出。 </w:t>
      </w:r>
    </w:p>
    <w:p w14:paraId="63F54E03">
      <w:pPr>
        <w:keepNext w:val="0"/>
        <w:keepLines w:val="0"/>
        <w:pageBreakBefore w:val="0"/>
        <w:widowControl w:val="0"/>
        <w:kinsoku/>
        <w:wordWrap/>
        <w:overflowPunct/>
        <w:topLinePunct w:val="0"/>
        <w:bidi w:val="0"/>
        <w:snapToGrid/>
        <w:spacing w:afterAutospacing="0" w:line="578" w:lineRule="exact"/>
        <w:ind w:left="0" w:leftChars="0" w:right="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19.经营支出：指事业单位在专业业务活动及其辅助活动之外开展非独立核算经营活动发生的支出。</w:t>
      </w:r>
    </w:p>
    <w:p w14:paraId="4E8DB8E6">
      <w:pPr>
        <w:pStyle w:val="15"/>
        <w:keepNext w:val="0"/>
        <w:keepLines w:val="0"/>
        <w:pageBreakBefore w:val="0"/>
        <w:widowControl w:val="0"/>
        <w:suppressLineNumbers w:val="0"/>
        <w:kinsoku/>
        <w:wordWrap/>
        <w:overflowPunct/>
        <w:topLinePunct w:val="0"/>
        <w:bidi w:val="0"/>
        <w:snapToGrid/>
        <w:spacing w:before="0" w:beforeAutospacing="0" w:after="0" w:afterAutospacing="0" w:line="578" w:lineRule="exact"/>
        <w:ind w:left="0" w:leftChars="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05268AF">
      <w:pPr>
        <w:pStyle w:val="15"/>
        <w:keepNext w:val="0"/>
        <w:keepLines w:val="0"/>
        <w:pageBreakBefore w:val="0"/>
        <w:widowControl w:val="0"/>
        <w:suppressLineNumbers w:val="0"/>
        <w:kinsoku/>
        <w:wordWrap/>
        <w:overflowPunct/>
        <w:topLinePunct w:val="0"/>
        <w:bidi w:val="0"/>
        <w:snapToGrid/>
        <w:spacing w:before="0" w:beforeAutospacing="0" w:after="0" w:afterAutospacing="0" w:line="578" w:lineRule="exact"/>
        <w:ind w:left="0" w:leftChars="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2</w:t>
      </w:r>
      <w:r>
        <w:rPr>
          <w:rFonts w:hint="eastAsia" w:ascii="仿宋_GB2312" w:hAnsi="仿宋_GB2312" w:eastAsia="仿宋_GB2312" w:cs="仿宋_GB2312"/>
          <w:color w:val="auto"/>
          <w:sz w:val="32"/>
          <w:szCs w:val="32"/>
          <w:shd w:val="clear" w:color="auto" w:fill="FFFFFF"/>
          <w:lang w:val="en-US" w:eastAsia="zh-CN"/>
        </w:rPr>
        <w:t>1</w:t>
      </w:r>
      <w:r>
        <w:rPr>
          <w:rFonts w:hint="eastAsia" w:ascii="仿宋_GB2312" w:hAnsi="仿宋_GB2312" w:eastAsia="仿宋_GB2312" w:cs="仿宋_GB2312"/>
          <w:color w:val="auto"/>
          <w:sz w:val="32"/>
          <w:szCs w:val="32"/>
          <w:shd w:val="clear" w:color="auto" w:fill="FFFFFF"/>
        </w:rPr>
        <w:t>.基本支出：指为保障机构正常运转、完成日常工作任务而发生的人员支出和公用支出。</w:t>
      </w:r>
    </w:p>
    <w:p w14:paraId="35E3C92D">
      <w:pPr>
        <w:pStyle w:val="15"/>
        <w:keepNext w:val="0"/>
        <w:keepLines w:val="0"/>
        <w:pageBreakBefore w:val="0"/>
        <w:widowControl w:val="0"/>
        <w:suppressLineNumbers w:val="0"/>
        <w:kinsoku/>
        <w:wordWrap/>
        <w:overflowPunct/>
        <w:topLinePunct w:val="0"/>
        <w:bidi w:val="0"/>
        <w:snapToGrid/>
        <w:spacing w:before="0" w:beforeAutospacing="0" w:after="0" w:afterAutospacing="0" w:line="578" w:lineRule="exact"/>
        <w:ind w:left="0" w:leftChars="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2</w:t>
      </w:r>
      <w:r>
        <w:rPr>
          <w:rFonts w:hint="eastAsia" w:ascii="仿宋_GB2312" w:hAnsi="仿宋_GB2312" w:eastAsia="仿宋_GB2312" w:cs="仿宋_GB2312"/>
          <w:color w:val="auto"/>
          <w:sz w:val="32"/>
          <w:szCs w:val="32"/>
          <w:shd w:val="clear" w:color="auto" w:fill="FFFFFF"/>
          <w:lang w:val="en-US" w:eastAsia="zh-CN"/>
        </w:rPr>
        <w:t>2</w:t>
      </w:r>
      <w:r>
        <w:rPr>
          <w:rFonts w:hint="eastAsia" w:ascii="仿宋_GB2312" w:hAnsi="仿宋_GB2312" w:eastAsia="仿宋_GB2312" w:cs="仿宋_GB2312"/>
          <w:color w:val="auto"/>
          <w:sz w:val="32"/>
          <w:szCs w:val="32"/>
          <w:shd w:val="clear" w:color="auto" w:fill="FFFFFF"/>
        </w:rPr>
        <w:t>.项目支出：指在基本支出之外为完成特定行政任务和事业发展目标所发生的支出。</w:t>
      </w:r>
    </w:p>
    <w:p w14:paraId="72EDC5FF">
      <w:pPr>
        <w:pStyle w:val="15"/>
        <w:keepNext w:val="0"/>
        <w:keepLines w:val="0"/>
        <w:pageBreakBefore w:val="0"/>
        <w:widowControl w:val="0"/>
        <w:suppressLineNumbers w:val="0"/>
        <w:kinsoku/>
        <w:wordWrap/>
        <w:overflowPunct/>
        <w:topLinePunct w:val="0"/>
        <w:bidi w:val="0"/>
        <w:snapToGrid/>
        <w:spacing w:before="0" w:beforeAutospacing="0" w:after="0" w:afterAutospacing="0" w:line="578" w:lineRule="exact"/>
        <w:ind w:left="0" w:leftChars="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2</w:t>
      </w:r>
      <w:r>
        <w:rPr>
          <w:rFonts w:hint="eastAsia" w:ascii="仿宋_GB2312" w:hAnsi="仿宋_GB2312" w:eastAsia="仿宋_GB2312" w:cs="仿宋_GB2312"/>
          <w:color w:val="auto"/>
          <w:sz w:val="32"/>
          <w:szCs w:val="32"/>
          <w:shd w:val="clear" w:color="auto" w:fill="FFFFFF"/>
          <w:lang w:val="en-US" w:eastAsia="zh-CN"/>
        </w:rPr>
        <w:t>3</w:t>
      </w:r>
      <w:r>
        <w:rPr>
          <w:rFonts w:hint="eastAsia" w:ascii="仿宋_GB2312" w:hAnsi="仿宋_GB2312" w:eastAsia="仿宋_GB2312" w:cs="仿宋_GB2312"/>
          <w:color w:val="auto"/>
          <w:sz w:val="32"/>
          <w:szCs w:val="32"/>
          <w:shd w:val="clear" w:color="auto" w:fill="FFFFFF"/>
        </w:rPr>
        <w:t>.经营支出：指事业单位在专业业务活动及其辅助活动之外开展非独立核算经营活动发生的支出。</w:t>
      </w:r>
    </w:p>
    <w:p w14:paraId="32AB19F5">
      <w:pPr>
        <w:pStyle w:val="15"/>
        <w:keepNext w:val="0"/>
        <w:keepLines w:val="0"/>
        <w:pageBreakBefore w:val="0"/>
        <w:widowControl w:val="0"/>
        <w:suppressLineNumbers w:val="0"/>
        <w:kinsoku/>
        <w:wordWrap/>
        <w:overflowPunct/>
        <w:topLinePunct w:val="0"/>
        <w:bidi w:val="0"/>
        <w:snapToGrid/>
        <w:spacing w:before="0" w:beforeAutospacing="0" w:after="0" w:afterAutospacing="0" w:line="578" w:lineRule="exact"/>
        <w:ind w:left="0" w:leftChars="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lang w:val="en-US" w:eastAsia="zh-CN"/>
        </w:rPr>
        <w:t>24</w:t>
      </w:r>
      <w:r>
        <w:rPr>
          <w:rFonts w:hint="eastAsia" w:ascii="仿宋_GB2312" w:hAnsi="仿宋_GB2312" w:eastAsia="仿宋_GB2312" w:cs="仿宋_GB2312"/>
          <w:color w:val="auto"/>
          <w:sz w:val="32"/>
          <w:szCs w:val="32"/>
          <w:shd w:val="clear" w:color="auto" w:fill="FFFFFF"/>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F0AFC59">
      <w:pPr>
        <w:pStyle w:val="15"/>
        <w:keepNext w:val="0"/>
        <w:keepLines w:val="0"/>
        <w:pageBreakBefore w:val="0"/>
        <w:widowControl w:val="0"/>
        <w:suppressLineNumbers w:val="0"/>
        <w:kinsoku/>
        <w:wordWrap/>
        <w:overflowPunct/>
        <w:topLinePunct w:val="0"/>
        <w:bidi w:val="0"/>
        <w:snapToGrid/>
        <w:spacing w:before="0" w:beforeAutospacing="0" w:after="0" w:afterAutospacing="0" w:line="578" w:lineRule="exact"/>
        <w:ind w:left="0" w:leftChars="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lang w:val="en-US" w:eastAsia="zh-CN"/>
        </w:rPr>
        <w:t>25</w:t>
      </w:r>
      <w:r>
        <w:rPr>
          <w:rFonts w:hint="eastAsia" w:ascii="仿宋_GB2312" w:hAnsi="仿宋_GB2312" w:eastAsia="仿宋_GB2312" w:cs="仿宋_GB2312"/>
          <w:color w:val="auto"/>
          <w:sz w:val="32"/>
          <w:szCs w:val="32"/>
          <w:shd w:val="clear" w:color="auto" w:fill="FFFFFF"/>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77711DE">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44" w:name="_Toc15377226"/>
    </w:p>
    <w:p w14:paraId="4B4F28FB">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4113C90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617A03F9">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0915E8FB">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0050DF0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36F96E31">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1744287B">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759BA92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56CF970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202BE3A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5CDB5461">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14287DD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29B2799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1C24235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09BB4DA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6D36AF7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45" w:name="_Toc15396618"/>
    </w:p>
    <w:p w14:paraId="4843C1C5">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29"/>
          <w:rFonts w:hint="eastAsia" w:ascii="Times New Roman" w:hAnsi="Times New Roman" w:eastAsia="黑体"/>
          <w:b w:val="0"/>
          <w:color w:val="auto"/>
          <w:highlight w:val="none"/>
        </w:rPr>
        <w:t>五部分 附表</w:t>
      </w:r>
      <w:bookmarkEnd w:id="44"/>
      <w:bookmarkEnd w:id="45"/>
      <w:bookmarkStart w:id="46" w:name="_Toc15396619"/>
    </w:p>
    <w:p w14:paraId="2E55F913">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4412C029">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46"/>
    </w:p>
    <w:p w14:paraId="1B6CF4B8">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47" w:name="_Toc15396620"/>
      <w:r>
        <w:rPr>
          <w:rFonts w:hint="eastAsia" w:ascii="Times New Roman" w:hAnsi="Times New Roman" w:eastAsia="仿宋_GB2312" w:cs="仿宋_GB2312"/>
          <w:color w:val="auto"/>
          <w:sz w:val="32"/>
          <w:szCs w:val="32"/>
          <w:highlight w:val="none"/>
        </w:rPr>
        <w:t>二、收入决算表</w:t>
      </w:r>
      <w:bookmarkEnd w:id="47"/>
    </w:p>
    <w:p w14:paraId="6FADC255">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48" w:name="_Toc15396621"/>
      <w:r>
        <w:rPr>
          <w:rFonts w:hint="eastAsia" w:ascii="Times New Roman" w:hAnsi="Times New Roman" w:eastAsia="仿宋_GB2312" w:cs="仿宋_GB2312"/>
          <w:color w:val="auto"/>
          <w:sz w:val="32"/>
          <w:szCs w:val="32"/>
          <w:highlight w:val="none"/>
        </w:rPr>
        <w:t>三、支出决算表</w:t>
      </w:r>
      <w:bookmarkEnd w:id="48"/>
    </w:p>
    <w:p w14:paraId="561FF369">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49" w:name="_Toc15396622"/>
      <w:r>
        <w:rPr>
          <w:rFonts w:hint="eastAsia" w:ascii="Times New Roman" w:hAnsi="Times New Roman" w:eastAsia="仿宋_GB2312" w:cs="仿宋_GB2312"/>
          <w:color w:val="auto"/>
          <w:sz w:val="32"/>
          <w:szCs w:val="32"/>
          <w:highlight w:val="none"/>
        </w:rPr>
        <w:t>四、财政拨款收入支出决算总表</w:t>
      </w:r>
      <w:bookmarkEnd w:id="49"/>
    </w:p>
    <w:p w14:paraId="1EB972E4">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0" w:name="_Toc15396623"/>
      <w:r>
        <w:rPr>
          <w:rFonts w:hint="eastAsia" w:ascii="Times New Roman" w:hAnsi="Times New Roman" w:eastAsia="仿宋_GB2312" w:cs="仿宋_GB2312"/>
          <w:color w:val="auto"/>
          <w:sz w:val="32"/>
          <w:szCs w:val="32"/>
          <w:highlight w:val="none"/>
        </w:rPr>
        <w:t>五、财政拨款支出决算明细表</w:t>
      </w:r>
      <w:bookmarkEnd w:id="50"/>
      <w:bookmarkStart w:id="51" w:name="_Toc15396624"/>
    </w:p>
    <w:p w14:paraId="6DC0D6CD">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51"/>
    </w:p>
    <w:p w14:paraId="734B5162">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2" w:name="_Toc15396625"/>
      <w:r>
        <w:rPr>
          <w:rFonts w:hint="eastAsia" w:ascii="Times New Roman" w:hAnsi="Times New Roman" w:eastAsia="仿宋_GB2312" w:cs="仿宋_GB2312"/>
          <w:color w:val="auto"/>
          <w:sz w:val="32"/>
          <w:szCs w:val="32"/>
          <w:highlight w:val="none"/>
        </w:rPr>
        <w:t>七、一般公共预算财政拨款支出决算明细表</w:t>
      </w:r>
      <w:bookmarkEnd w:id="52"/>
    </w:p>
    <w:p w14:paraId="1839C804">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3" w:name="_Toc15396626"/>
      <w:r>
        <w:rPr>
          <w:rFonts w:hint="eastAsia" w:ascii="Times New Roman" w:hAnsi="Times New Roman" w:eastAsia="仿宋_GB2312" w:cs="仿宋_GB2312"/>
          <w:color w:val="auto"/>
          <w:sz w:val="32"/>
          <w:szCs w:val="32"/>
          <w:highlight w:val="none"/>
        </w:rPr>
        <w:t>八、一般公共预算财政拨款基本支出决算表</w:t>
      </w:r>
      <w:bookmarkEnd w:id="53"/>
    </w:p>
    <w:p w14:paraId="3502A5CE">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4" w:name="_Toc15396627"/>
      <w:r>
        <w:rPr>
          <w:rFonts w:hint="eastAsia" w:ascii="Times New Roman" w:hAnsi="Times New Roman" w:eastAsia="仿宋_GB2312" w:cs="仿宋_GB2312"/>
          <w:color w:val="auto"/>
          <w:sz w:val="32"/>
          <w:szCs w:val="32"/>
          <w:highlight w:val="none"/>
        </w:rPr>
        <w:t>九、一般公共预算财政拨款项目支出决算表</w:t>
      </w:r>
      <w:bookmarkEnd w:id="54"/>
    </w:p>
    <w:p w14:paraId="5E720F8F">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5" w:name="_Toc15396628"/>
      <w:r>
        <w:rPr>
          <w:rFonts w:hint="eastAsia" w:ascii="Times New Roman" w:hAnsi="Times New Roman" w:eastAsia="仿宋_GB2312" w:cs="仿宋_GB2312"/>
          <w:color w:val="auto"/>
          <w:sz w:val="32"/>
          <w:szCs w:val="32"/>
          <w:highlight w:val="none"/>
        </w:rPr>
        <w:t>十、</w:t>
      </w:r>
      <w:bookmarkEnd w:id="55"/>
      <w:r>
        <w:rPr>
          <w:rFonts w:hint="eastAsia" w:ascii="Times New Roman" w:hAnsi="Times New Roman" w:eastAsia="仿宋_GB2312" w:cs="仿宋_GB2312"/>
          <w:color w:val="auto"/>
          <w:sz w:val="32"/>
          <w:szCs w:val="32"/>
          <w:highlight w:val="none"/>
        </w:rPr>
        <w:t>政府性基金预算财政拨款收入支出决算表</w:t>
      </w:r>
    </w:p>
    <w:p w14:paraId="1CB68D3A">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6" w:name="_Toc15396629"/>
      <w:r>
        <w:rPr>
          <w:rFonts w:hint="eastAsia" w:ascii="Times New Roman" w:hAnsi="Times New Roman" w:eastAsia="仿宋_GB2312" w:cs="仿宋_GB2312"/>
          <w:color w:val="auto"/>
          <w:sz w:val="32"/>
          <w:szCs w:val="32"/>
          <w:highlight w:val="none"/>
        </w:rPr>
        <w:t>十一、</w:t>
      </w:r>
      <w:bookmarkEnd w:id="56"/>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3FF31D9C">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7" w:name="_Toc15396630"/>
      <w:r>
        <w:rPr>
          <w:rFonts w:hint="eastAsia" w:ascii="Times New Roman" w:hAnsi="Times New Roman" w:eastAsia="仿宋_GB2312" w:cs="仿宋_GB2312"/>
          <w:color w:val="auto"/>
          <w:sz w:val="32"/>
          <w:szCs w:val="32"/>
          <w:highlight w:val="none"/>
        </w:rPr>
        <w:t>十二、</w:t>
      </w:r>
      <w:bookmarkEnd w:id="57"/>
      <w:r>
        <w:rPr>
          <w:rFonts w:hint="eastAsia" w:ascii="Times New Roman" w:hAnsi="Times New Roman" w:eastAsia="仿宋_GB2312" w:cs="仿宋_GB2312"/>
          <w:color w:val="auto"/>
          <w:sz w:val="32"/>
          <w:szCs w:val="32"/>
          <w:highlight w:val="none"/>
          <w:lang w:eastAsia="zh-CN"/>
        </w:rPr>
        <w:t>国有资本经营预算财政拨款支出决算表</w:t>
      </w:r>
    </w:p>
    <w:p w14:paraId="38900672">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58" w:name="_Toc15396631"/>
      <w:r>
        <w:rPr>
          <w:rFonts w:hint="eastAsia" w:ascii="Times New Roman" w:hAnsi="Times New Roman" w:eastAsia="仿宋_GB2312" w:cs="仿宋_GB2312"/>
          <w:color w:val="auto"/>
          <w:sz w:val="32"/>
          <w:szCs w:val="32"/>
          <w:highlight w:val="none"/>
        </w:rPr>
        <w:t>十三、</w:t>
      </w:r>
      <w:bookmarkEnd w:id="58"/>
      <w:r>
        <w:rPr>
          <w:rFonts w:hint="eastAsia" w:ascii="Times New Roman" w:hAnsi="Times New Roman" w:eastAsia="仿宋_GB2312" w:cs="仿宋_GB2312"/>
          <w:color w:val="auto"/>
          <w:sz w:val="32"/>
          <w:szCs w:val="32"/>
          <w:highlight w:val="none"/>
          <w:lang w:eastAsia="zh-CN"/>
        </w:rPr>
        <w:t>财政拨款“三公”经费支出决算表</w:t>
      </w:r>
    </w:p>
    <w:p w14:paraId="1BF24988">
      <w:pPr>
        <w:rPr>
          <w:rFonts w:hint="eastAsia" w:ascii="Times New Roman" w:hAnsi="Times New Roman"/>
          <w:lang w:eastAsia="zh-CN"/>
        </w:rPr>
      </w:pPr>
    </w:p>
    <w:sectPr>
      <w:footerReference r:id="rId6" w:type="first"/>
      <w:footerReference r:id="rId5"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1C6F34E-D51A-4B5A-AAAD-9B9E847FD70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CD41120-EBEC-437C-83CC-A3816C334B27}"/>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498D2E0E-A628-4145-A5FC-6450C40FFCA6}"/>
  </w:font>
  <w:font w:name="仿宋">
    <w:panose1 w:val="02010609060101010101"/>
    <w:charset w:val="86"/>
    <w:family w:val="modern"/>
    <w:pitch w:val="default"/>
    <w:sig w:usb0="800002BF" w:usb1="38CF7CFA" w:usb2="00000016" w:usb3="00000000" w:csb0="00040001" w:csb1="00000000"/>
    <w:embedRegular r:id="rId4" w:fontKey="{DCAD54D9-CEDE-4148-95B9-B465018F00D8}"/>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0010101010101"/>
    <w:charset w:val="86"/>
    <w:family w:val="script"/>
    <w:pitch w:val="default"/>
    <w:sig w:usb0="00000001" w:usb1="080E0000" w:usb2="00000000" w:usb3="00000000" w:csb0="00040000" w:csb1="00000000"/>
    <w:embedRegular r:id="rId5" w:fontKey="{2C935487-D8CC-4E26-A04E-EC1C4952B5D8}"/>
  </w:font>
  <w:font w:name="楷体_GB2312">
    <w:panose1 w:val="02010609030101010101"/>
    <w:charset w:val="86"/>
    <w:family w:val="auto"/>
    <w:pitch w:val="default"/>
    <w:sig w:usb0="00000001" w:usb1="080E0000" w:usb2="00000000" w:usb3="00000000" w:csb0="00040000" w:csb1="00000000"/>
    <w:embedRegular r:id="rId6" w:fontKey="{7C238256-DAC1-4650-B8A9-F4A1F83B39F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33BB1">
    <w:pPr>
      <w:pStyle w:val="10"/>
      <w:jc w:val="center"/>
    </w:pPr>
  </w:p>
  <w:p w14:paraId="67629C9B">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417B0">
    <w:pPr>
      <w:pStyle w:val="10"/>
      <w:jc w:val="center"/>
    </w:pPr>
  </w:p>
  <w:p w14:paraId="18B4B74C">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4ADF1">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E9706">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409769"/>
    <w:multiLevelType w:val="singleLevel"/>
    <w:tmpl w:val="0640976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23BB4"/>
    <w:rsid w:val="015975B8"/>
    <w:rsid w:val="02FEBE30"/>
    <w:rsid w:val="04916F1E"/>
    <w:rsid w:val="061E35DE"/>
    <w:rsid w:val="066E0107"/>
    <w:rsid w:val="07996F6E"/>
    <w:rsid w:val="07DFD8BA"/>
    <w:rsid w:val="09867E8F"/>
    <w:rsid w:val="0A2032A3"/>
    <w:rsid w:val="0CA8290A"/>
    <w:rsid w:val="0D35B1ED"/>
    <w:rsid w:val="0E254B6B"/>
    <w:rsid w:val="0F98263C"/>
    <w:rsid w:val="101860EC"/>
    <w:rsid w:val="101F47CC"/>
    <w:rsid w:val="10C055FF"/>
    <w:rsid w:val="11694EBD"/>
    <w:rsid w:val="11772AA4"/>
    <w:rsid w:val="118107EC"/>
    <w:rsid w:val="12E24EE2"/>
    <w:rsid w:val="13D50BC4"/>
    <w:rsid w:val="14B17F78"/>
    <w:rsid w:val="15AE7869"/>
    <w:rsid w:val="165E0673"/>
    <w:rsid w:val="16B831D5"/>
    <w:rsid w:val="16BB723D"/>
    <w:rsid w:val="17E50567"/>
    <w:rsid w:val="186504BB"/>
    <w:rsid w:val="19A445FC"/>
    <w:rsid w:val="1BE8440E"/>
    <w:rsid w:val="1D155CEE"/>
    <w:rsid w:val="1D1638FE"/>
    <w:rsid w:val="1E312DEB"/>
    <w:rsid w:val="1E740ACF"/>
    <w:rsid w:val="1FF35744"/>
    <w:rsid w:val="1FF6BC77"/>
    <w:rsid w:val="2186353C"/>
    <w:rsid w:val="23860B96"/>
    <w:rsid w:val="240371BF"/>
    <w:rsid w:val="244F3473"/>
    <w:rsid w:val="24C97D99"/>
    <w:rsid w:val="25A718F0"/>
    <w:rsid w:val="25BB59F6"/>
    <w:rsid w:val="260F557C"/>
    <w:rsid w:val="26970054"/>
    <w:rsid w:val="281408E2"/>
    <w:rsid w:val="29FD04D3"/>
    <w:rsid w:val="2BFF7BC6"/>
    <w:rsid w:val="2C8A61B5"/>
    <w:rsid w:val="2DCA0635"/>
    <w:rsid w:val="2DF04E50"/>
    <w:rsid w:val="2E586DFA"/>
    <w:rsid w:val="2F040D46"/>
    <w:rsid w:val="2F6B035B"/>
    <w:rsid w:val="2FAE5751"/>
    <w:rsid w:val="2FB1A395"/>
    <w:rsid w:val="2FD9A7D8"/>
    <w:rsid w:val="2FDBF714"/>
    <w:rsid w:val="30AB6865"/>
    <w:rsid w:val="319F7F4E"/>
    <w:rsid w:val="32BD1EF1"/>
    <w:rsid w:val="3304709D"/>
    <w:rsid w:val="33A773CB"/>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45350CD"/>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37E6D0A"/>
    <w:rsid w:val="53F74C96"/>
    <w:rsid w:val="55170BA8"/>
    <w:rsid w:val="553218C9"/>
    <w:rsid w:val="567E1AA5"/>
    <w:rsid w:val="56E47B74"/>
    <w:rsid w:val="57175D52"/>
    <w:rsid w:val="57BD3DD4"/>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2BF3928"/>
    <w:rsid w:val="63B3701E"/>
    <w:rsid w:val="647F5392"/>
    <w:rsid w:val="65E66580"/>
    <w:rsid w:val="664B1D71"/>
    <w:rsid w:val="664B4E8E"/>
    <w:rsid w:val="67277B67"/>
    <w:rsid w:val="67AA3209"/>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410F65"/>
    <w:rsid w:val="7B6C7DFB"/>
    <w:rsid w:val="7BBFBED0"/>
    <w:rsid w:val="7BC3E394"/>
    <w:rsid w:val="7C1F3737"/>
    <w:rsid w:val="7CBFC87B"/>
    <w:rsid w:val="7CFE0F48"/>
    <w:rsid w:val="7D272ABC"/>
    <w:rsid w:val="7D7EC23E"/>
    <w:rsid w:val="7E133F59"/>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6"/>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Chars="200"/>
    </w:pPr>
    <w:rPr>
      <w:rFonts w:ascii="仿宋_GB2312"/>
      <w:szCs w:val="32"/>
    </w:rPr>
  </w:style>
  <w:style w:type="paragraph" w:styleId="7">
    <w:name w:val="Body Text First Indent 2"/>
    <w:basedOn w:val="6"/>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2"/>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7"/>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1"/>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0"/>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5"/>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2"/>
    <w:qFormat/>
    <w:uiPriority w:val="9"/>
    <w:rPr>
      <w:rFonts w:ascii="Times New Roman" w:hAnsi="Times New Roman"/>
      <w:b/>
      <w:bCs/>
      <w:kern w:val="44"/>
      <w:sz w:val="44"/>
      <w:szCs w:val="44"/>
    </w:rPr>
  </w:style>
  <w:style w:type="character" w:customStyle="1" w:styleId="30">
    <w:name w:val="标题 2 Char"/>
    <w:basedOn w:val="17"/>
    <w:link w:val="3"/>
    <w:qFormat/>
    <w:uiPriority w:val="9"/>
    <w:rPr>
      <w:rFonts w:asciiTheme="majorHAnsi" w:hAnsiTheme="majorHAnsi" w:eastAsiaTheme="majorEastAsia" w:cstheme="majorBidi"/>
      <w:b/>
      <w:bCs/>
      <w:kern w:val="2"/>
      <w:sz w:val="32"/>
      <w:szCs w:val="32"/>
    </w:rPr>
  </w:style>
  <w:style w:type="paragraph" w:customStyle="1" w:styleId="31">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9"/>
    <w:semiHidden/>
    <w:qFormat/>
    <w:uiPriority w:val="99"/>
    <w:rPr>
      <w:rFonts w:ascii="Times New Roman" w:hAnsi="Times New Roman"/>
      <w:kern w:val="2"/>
      <w:sz w:val="18"/>
      <w:szCs w:val="18"/>
    </w:rPr>
  </w:style>
  <w:style w:type="character" w:customStyle="1" w:styleId="33">
    <w:name w:val="标题 3 Char"/>
    <w:basedOn w:val="17"/>
    <w:link w:val="4"/>
    <w:qFormat/>
    <w:uiPriority w:val="9"/>
    <w:rPr>
      <w:rFonts w:ascii="Times New Roman" w:hAnsi="Times New Roman"/>
      <w:b/>
      <w:bCs/>
      <w:kern w:val="2"/>
      <w:sz w:val="32"/>
      <w:szCs w:val="32"/>
    </w:rPr>
  </w:style>
  <w:style w:type="paragraph" w:customStyle="1" w:styleId="34">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652cde0a-ed18-4ffd-9cba-e93bc8592529</errorID>
      <errorWord>城乡居民参保</errorWord>
      <group>L1_Political</group>
      <groupName>政治性问题</groupName>
      <ability>L2_Keyword</ability>
      <abilityName>固定表述</abilityName>
      <candidateList>
        <item>城乡居民医保</item>
      </candidateList>
      <explain>词汇“城乡居民医保”在特定场景下为固定表述形式，请确认此处的“城乡居民参保”是否存在不当。</explain>
      <paraID>2B2D4C00</paraID>
      <start>25</start>
      <end>31</end>
      <status>modified</status>
      <modifiedWord>城乡居民医保</modifiedWord>
      <trackRevisions>false</trackRevisions>
    </reviewItem>
    <reviewItem>
      <errorID>8a4d17ff-9fa8-4ee9-89e0-55e57260b919</errorID>
      <errorWord>现金管理暂行条例</errorWord>
      <group>L1_Knowledge</group>
      <groupName>知识性问题</groupName>
      <ability>L2_Knowledge</ability>
      <abilityName>其他知识</abilityName>
      <candidateList/>
      <explain>该法规已废止，请注意检查引用是否正确。</explain>
      <paraID>2042F22F</paraID>
      <start>21</start>
      <end>29</end>
      <status>ignored</status>
      <modifiedWord/>
      <trackRevisions>false</trackRevisions>
    </reviewItem>
    <reviewItem>
      <errorID>02ff30ee-b349-4da2-aea4-143f22f98752</errorID>
      <errorWord>交回</errorWord>
      <group>L1_Word</group>
      <groupName>字词问题</groupName>
      <ability>L2_Typo</ability>
      <abilityName>字词错误</abilityName>
      <candidateList>
        <item>缴回</item>
      </candidateList>
      <explain>存在发音相同字词的误用。</explain>
      <paraID>2E4C3F84</paraID>
      <start>48</start>
      <end>50</end>
      <status>modified</status>
      <modifiedWord>缴回</modifiedWord>
      <trackRevisions>false</trackRevisions>
    </reviewItem>
  </reviewItems>
  <config/>
</contractReview>
</file>

<file path=customXml/itemProps1.xml><?xml version="1.0" encoding="utf-8"?>
<ds:datastoreItem xmlns:ds="http://schemas.openxmlformats.org/officeDocument/2006/customXml" ds:itemID="{24e8fd76-5511-4af4-95d3-d47f547e2f0e}">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17</Pages>
  <Words>5786</Words>
  <Characters>6082</Characters>
  <Lines>61</Lines>
  <Paragraphs>17</Paragraphs>
  <TotalTime>1</TotalTime>
  <ScaleCrop>false</ScaleCrop>
  <LinksUpToDate>false</LinksUpToDate>
  <CharactersWithSpaces>6183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奕夕^_^</cp:lastModifiedBy>
  <cp:lastPrinted>2025-08-06T17:34:00Z</cp:lastPrinted>
  <dcterms:modified xsi:type="dcterms:W3CDTF">2026-04-23T02:12:08Z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04787F2533EB45DC91BCDE4AB213247F</vt:lpwstr>
  </property>
  <property fmtid="{D5CDD505-2E9C-101B-9397-08002B2CF9AE}" pid="4" name="KSOTemplateDocerSaveRecord">
    <vt:lpwstr>eyJoZGlkIjoiNTU1MWNhN2ZmY2ZhZmY3ODhlYTg0MWU5OGMyY2QwZmUiLCJ1c2VySWQiOiI0MzQ2NTM0NzEifQ==</vt:lpwstr>
  </property>
</Properties>
</file>