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9825A5">
      <w:pPr>
        <w:pStyle w:val="5"/>
        <w:jc w:val="both"/>
        <w:rPr>
          <w:rFonts w:hint="eastAsia" w:ascii="Times New Roman" w:hAnsi="Times New Roman" w:eastAsia="方正小标宋简体" w:cs="Times New Roman"/>
          <w:color w:val="auto"/>
          <w:kern w:val="2"/>
          <w:sz w:val="44"/>
          <w:szCs w:val="44"/>
          <w:highlight w:val="none"/>
          <w:lang w:val="en-US" w:eastAsia="zh-CN" w:bidi="ar-SA"/>
        </w:rPr>
      </w:pPr>
      <w:bookmarkStart w:id="0" w:name="_Toc15396475"/>
      <w:bookmarkStart w:id="1" w:name="_Toc15306267"/>
      <w:bookmarkStart w:id="2" w:name="_Toc15378441"/>
      <w:bookmarkStart w:id="3" w:name="_Toc15396597"/>
      <w:bookmarkStart w:id="4" w:name="_Toc15377425"/>
      <w:bookmarkStart w:id="5" w:name="_Toc15377193"/>
    </w:p>
    <w:p w14:paraId="26A6D18B">
      <w:pPr>
        <w:pStyle w:val="5"/>
        <w:jc w:val="both"/>
        <w:rPr>
          <w:rFonts w:hint="eastAsia" w:ascii="Times New Roman" w:hAnsi="Times New Roman" w:eastAsia="方正小标宋简体" w:cs="Times New Roman"/>
          <w:color w:val="auto"/>
          <w:kern w:val="2"/>
          <w:sz w:val="44"/>
          <w:szCs w:val="44"/>
          <w:highlight w:val="none"/>
          <w:lang w:val="en-US" w:eastAsia="zh-CN" w:bidi="ar-SA"/>
        </w:rPr>
      </w:pPr>
    </w:p>
    <w:p w14:paraId="3E7A9B28">
      <w:pPr>
        <w:pStyle w:val="5"/>
        <w:jc w:val="both"/>
        <w:rPr>
          <w:rFonts w:hint="eastAsia" w:ascii="Times New Roman" w:hAnsi="Times New Roman" w:eastAsia="方正小标宋简体" w:cs="Times New Roman"/>
          <w:color w:val="auto"/>
          <w:kern w:val="2"/>
          <w:sz w:val="44"/>
          <w:szCs w:val="44"/>
          <w:highlight w:val="none"/>
          <w:lang w:val="en-US" w:eastAsia="zh-CN" w:bidi="ar-SA"/>
        </w:rPr>
      </w:pPr>
    </w:p>
    <w:p w14:paraId="239B6DAD">
      <w:pPr>
        <w:pStyle w:val="5"/>
        <w:jc w:val="both"/>
        <w:rPr>
          <w:rFonts w:hint="eastAsia" w:ascii="Times New Roman" w:hAnsi="Times New Roman" w:eastAsia="方正小标宋简体" w:cs="Times New Roman"/>
          <w:color w:val="auto"/>
          <w:kern w:val="2"/>
          <w:sz w:val="44"/>
          <w:szCs w:val="44"/>
          <w:highlight w:val="none"/>
          <w:lang w:val="en-US" w:eastAsia="zh-CN" w:bidi="ar-SA"/>
        </w:rPr>
      </w:pPr>
    </w:p>
    <w:p w14:paraId="2D76867C">
      <w:pPr>
        <w:pStyle w:val="5"/>
        <w:jc w:val="both"/>
        <w:rPr>
          <w:rFonts w:hint="eastAsia" w:ascii="Times New Roman" w:hAnsi="Times New Roman" w:eastAsia="方正小标宋简体" w:cs="Times New Roman"/>
          <w:color w:val="auto"/>
          <w:kern w:val="2"/>
          <w:sz w:val="44"/>
          <w:szCs w:val="44"/>
          <w:highlight w:val="none"/>
          <w:lang w:val="en-US" w:eastAsia="zh-CN" w:bidi="ar-SA"/>
        </w:rPr>
      </w:pPr>
    </w:p>
    <w:p w14:paraId="6FE4557E">
      <w:pPr>
        <w:pStyle w:val="5"/>
        <w:jc w:val="both"/>
        <w:rPr>
          <w:rFonts w:hint="eastAsia" w:ascii="Times New Roman" w:hAnsi="Times New Roman" w:eastAsia="方正小标宋简体" w:cs="Times New Roman"/>
          <w:color w:val="auto"/>
          <w:kern w:val="2"/>
          <w:sz w:val="44"/>
          <w:szCs w:val="44"/>
          <w:highlight w:val="none"/>
          <w:lang w:val="en-US" w:eastAsia="zh-CN" w:bidi="ar-SA"/>
        </w:rPr>
      </w:pPr>
    </w:p>
    <w:p w14:paraId="5E2B4BD3">
      <w:pPr>
        <w:pStyle w:val="5"/>
        <w:jc w:val="both"/>
        <w:rPr>
          <w:rFonts w:hint="eastAsia" w:ascii="Times New Roman" w:hAnsi="Times New Roman" w:eastAsia="方正小标宋简体" w:cs="Times New Roman"/>
          <w:color w:val="auto"/>
          <w:kern w:val="2"/>
          <w:sz w:val="44"/>
          <w:szCs w:val="44"/>
          <w:highlight w:val="none"/>
          <w:lang w:val="en-US" w:eastAsia="zh-CN" w:bidi="ar-SA"/>
        </w:rPr>
      </w:pPr>
    </w:p>
    <w:p w14:paraId="30CF68EE">
      <w:pPr>
        <w:pStyle w:val="5"/>
        <w:jc w:val="center"/>
        <w:rPr>
          <w:rFonts w:hint="eastAsia" w:ascii="Times New Roman" w:eastAsia="方正小标宋简体" w:cs="Times New Roman"/>
          <w:color w:val="auto"/>
          <w:kern w:val="2"/>
          <w:sz w:val="44"/>
          <w:szCs w:val="44"/>
          <w:highlight w:val="none"/>
          <w:lang w:val="en-US" w:eastAsia="zh-CN" w:bidi="ar-SA"/>
        </w:rPr>
      </w:pPr>
      <w:r>
        <w:rPr>
          <w:rFonts w:hint="eastAsia" w:ascii="Times New Roman" w:hAnsi="Times New Roman" w:eastAsia="方正小标宋简体" w:cs="Times New Roman"/>
          <w:color w:val="auto"/>
          <w:kern w:val="2"/>
          <w:sz w:val="44"/>
          <w:szCs w:val="44"/>
          <w:highlight w:val="none"/>
          <w:lang w:val="en-US" w:eastAsia="zh-CN" w:bidi="ar-SA"/>
        </w:rPr>
        <w:t>2024年度</w:t>
      </w:r>
      <w:r>
        <w:rPr>
          <w:rFonts w:hint="eastAsia" w:ascii="Times New Roman" w:eastAsia="方正小标宋简体" w:cs="Times New Roman"/>
          <w:color w:val="auto"/>
          <w:kern w:val="2"/>
          <w:sz w:val="44"/>
          <w:szCs w:val="44"/>
          <w:highlight w:val="none"/>
          <w:lang w:val="en-US" w:eastAsia="zh-CN" w:bidi="ar-SA"/>
        </w:rPr>
        <w:t>松潘县医疗保障局</w:t>
      </w:r>
      <w:r>
        <w:rPr>
          <w:rFonts w:hint="eastAsia" w:ascii="Times New Roman" w:hAnsi="Times New Roman" w:eastAsia="方正小标宋简体" w:cs="Times New Roman"/>
          <w:color w:val="auto"/>
          <w:kern w:val="2"/>
          <w:sz w:val="44"/>
          <w:szCs w:val="44"/>
          <w:highlight w:val="none"/>
          <w:lang w:val="en-US" w:eastAsia="zh-CN" w:bidi="ar-SA"/>
        </w:rPr>
        <w:t>决算</w:t>
      </w:r>
      <w:r>
        <w:rPr>
          <w:rFonts w:hint="eastAsia" w:ascii="Times New Roman" w:eastAsia="方正小标宋简体" w:cs="Times New Roman"/>
          <w:color w:val="auto"/>
          <w:kern w:val="2"/>
          <w:sz w:val="44"/>
          <w:szCs w:val="44"/>
          <w:highlight w:val="none"/>
          <w:lang w:val="en-US" w:eastAsia="zh-CN" w:bidi="ar-SA"/>
        </w:rPr>
        <w:t>公开</w:t>
      </w:r>
    </w:p>
    <w:p w14:paraId="4F03F18C">
      <w:pPr>
        <w:pStyle w:val="5"/>
        <w:jc w:val="center"/>
        <w:rPr>
          <w:rFonts w:ascii="Times New Roman" w:hAnsi="Times New Roman"/>
        </w:rPr>
        <w:sectPr>
          <w:headerReference r:id="rId3" w:type="default"/>
          <w:footerReference r:id="rId4" w:type="default"/>
          <w:pgSz w:w="11906" w:h="16838"/>
          <w:pgMar w:top="1440" w:right="1800" w:bottom="1440" w:left="1800" w:header="851" w:footer="992" w:gutter="0"/>
          <w:pgNumType w:fmt="numberInDash" w:start="1"/>
          <w:cols w:space="425" w:num="1"/>
          <w:titlePg/>
          <w:docGrid w:type="lines" w:linePitch="312" w:charSpace="0"/>
        </w:sectPr>
      </w:pPr>
      <w:r>
        <w:rPr>
          <w:rFonts w:hint="eastAsia" w:ascii="Times New Roman" w:eastAsia="方正小标宋简体" w:cs="Times New Roman"/>
          <w:color w:val="auto"/>
          <w:kern w:val="2"/>
          <w:sz w:val="44"/>
          <w:szCs w:val="44"/>
          <w:highlight w:val="none"/>
          <w:lang w:val="en-US" w:eastAsia="zh-CN" w:bidi="ar-SA"/>
        </w:rPr>
        <w:t>（单位公开）</w:t>
      </w:r>
    </w:p>
    <w:bookmarkEnd w:id="0"/>
    <w:bookmarkEnd w:id="1"/>
    <w:bookmarkEnd w:id="2"/>
    <w:bookmarkEnd w:id="3"/>
    <w:bookmarkEnd w:id="4"/>
    <w:bookmarkEnd w:id="5"/>
    <w:p w14:paraId="48BF28FB">
      <w:pPr>
        <w:widowControl/>
        <w:jc w:val="center"/>
        <w:rPr>
          <w:rFonts w:ascii="Times New Roman" w:hAnsi="Times New Roman" w:eastAsia="黑体"/>
          <w:color w:val="auto"/>
          <w:sz w:val="48"/>
          <w:szCs w:val="48"/>
          <w:highlight w:val="none"/>
        </w:rPr>
      </w:pPr>
      <w:r>
        <w:rPr>
          <w:rFonts w:hint="eastAsia" w:ascii="Times New Roman" w:hAnsi="Times New Roman" w:eastAsia="黑体"/>
          <w:color w:val="auto"/>
          <w:sz w:val="48"/>
          <w:szCs w:val="48"/>
          <w:highlight w:val="none"/>
        </w:rPr>
        <w:t>目录</w:t>
      </w:r>
    </w:p>
    <w:p w14:paraId="774D943B">
      <w:pPr>
        <w:widowControl/>
        <w:jc w:val="center"/>
        <w:rPr>
          <w:rFonts w:ascii="Times New Roman" w:hAnsi="Times New Roman" w:eastAsia="黑体" w:cstheme="minorBidi"/>
          <w:color w:val="auto"/>
          <w:sz w:val="28"/>
          <w:szCs w:val="28"/>
          <w:highlight w:val="none"/>
        </w:rPr>
      </w:pPr>
    </w:p>
    <w:p w14:paraId="36397E56">
      <w:pPr>
        <w:pStyle w:val="12"/>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公开时间：20</w:t>
      </w:r>
      <w:r>
        <w:rPr>
          <w:rFonts w:hint="eastAsia" w:ascii="Times New Roman" w:hAnsi="Times New Roman" w:eastAsia="仿宋_GB2312" w:cs="仿宋_GB2312"/>
          <w:color w:val="auto"/>
          <w:sz w:val="32"/>
          <w:szCs w:val="32"/>
          <w:highlight w:val="none"/>
          <w:lang w:val="en-US" w:eastAsia="zh-CN"/>
        </w:rPr>
        <w:t>25</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val="en-US" w:eastAsia="zh-CN"/>
        </w:rPr>
        <w:t>10</w:t>
      </w:r>
      <w:r>
        <w:rPr>
          <w:rFonts w:hint="eastAsia" w:ascii="Times New Roman" w:hAnsi="Times New Roman" w:eastAsia="仿宋_GB2312" w:cs="仿宋_GB2312"/>
          <w:color w:val="auto"/>
          <w:sz w:val="32"/>
          <w:szCs w:val="32"/>
          <w:highlight w:val="none"/>
        </w:rPr>
        <w:t>月</w:t>
      </w:r>
      <w:r>
        <w:rPr>
          <w:rFonts w:hint="eastAsia" w:ascii="Times New Roman" w:hAnsi="Times New Roman" w:eastAsia="仿宋_GB2312" w:cs="仿宋_GB2312"/>
          <w:color w:val="auto"/>
          <w:sz w:val="32"/>
          <w:szCs w:val="32"/>
          <w:highlight w:val="none"/>
          <w:lang w:val="en-US" w:eastAsia="zh-CN"/>
        </w:rPr>
        <w:t xml:space="preserve"> 17 </w:t>
      </w:r>
      <w:r>
        <w:rPr>
          <w:rFonts w:hint="eastAsia" w:ascii="Times New Roman" w:hAnsi="Times New Roman" w:eastAsia="仿宋_GB2312" w:cs="仿宋_GB2312"/>
          <w:color w:val="auto"/>
          <w:sz w:val="32"/>
          <w:szCs w:val="32"/>
          <w:highlight w:val="none"/>
        </w:rPr>
        <w:t>日</w:t>
      </w:r>
    </w:p>
    <w:p w14:paraId="58995D15">
      <w:pPr>
        <w:rPr>
          <w:rFonts w:ascii="Times New Roman" w:hAnsi="Times New Roman"/>
          <w:color w:val="auto"/>
          <w:highlight w:val="none"/>
        </w:rPr>
      </w:pPr>
    </w:p>
    <w:p w14:paraId="2D04B317">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第一部分 部门概况</w:t>
      </w:r>
    </w:p>
    <w:p w14:paraId="4427CFF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w:t>
      </w:r>
      <w:r>
        <w:rPr>
          <w:rFonts w:hint="eastAsia" w:ascii="Times New Roman" w:hAnsi="Times New Roman" w:eastAsia="仿宋_GB2312" w:cs="仿宋_GB2312"/>
          <w:color w:val="auto"/>
          <w:sz w:val="32"/>
          <w:szCs w:val="32"/>
          <w:highlight w:val="none"/>
          <w:lang w:eastAsia="zh-CN"/>
        </w:rPr>
        <w:t>部门职责</w:t>
      </w:r>
    </w:p>
    <w:p w14:paraId="5F68A56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二、机构设置</w:t>
      </w:r>
    </w:p>
    <w:p w14:paraId="420E0626">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第二部分</w:t>
      </w:r>
      <w:r>
        <w:rPr>
          <w:rFonts w:hint="eastAsia" w:ascii="Times New Roman" w:hAnsi="Times New Roman" w:eastAsia="黑体" w:cs="黑体"/>
          <w:color w:val="auto"/>
          <w:sz w:val="32"/>
          <w:szCs w:val="32"/>
          <w:highlight w:val="none"/>
          <w:lang w:val="en-US" w:eastAsia="zh-CN"/>
        </w:rPr>
        <w:t xml:space="preserve"> 2024年度</w:t>
      </w:r>
      <w:r>
        <w:rPr>
          <w:rFonts w:hint="eastAsia" w:ascii="Times New Roman" w:hAnsi="Times New Roman" w:eastAsia="黑体" w:cs="黑体"/>
          <w:color w:val="auto"/>
          <w:sz w:val="32"/>
          <w:szCs w:val="32"/>
          <w:highlight w:val="none"/>
        </w:rPr>
        <w:t>部门决算情况说明</w:t>
      </w:r>
    </w:p>
    <w:p w14:paraId="07C881B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一、收入支出决算总体情况说明</w:t>
      </w:r>
    </w:p>
    <w:p w14:paraId="6577BAB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二、收入决算情况说明</w:t>
      </w:r>
    </w:p>
    <w:p w14:paraId="7D79A2C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三、支出决算情况说明</w:t>
      </w:r>
    </w:p>
    <w:p w14:paraId="659D53E1">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四、财政拨款收入支出决算总体情况说明</w:t>
      </w:r>
    </w:p>
    <w:p w14:paraId="2348AE8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五、一般公共预算财政拨款支出决算情况说明</w:t>
      </w:r>
    </w:p>
    <w:p w14:paraId="608DBA48">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六、一般公共预算财政拨款基本支出决算情况说明</w:t>
      </w:r>
    </w:p>
    <w:p w14:paraId="7CF5928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七、财政拨款</w:t>
      </w:r>
      <w:r>
        <w:rPr>
          <w:rFonts w:hint="eastAsia" w:ascii="Times New Roman" w:hAnsi="Times New Roman" w:eastAsia="仿宋_GB2312" w:cs="仿宋_GB2312"/>
          <w:color w:val="auto"/>
          <w:sz w:val="32"/>
          <w:szCs w:val="32"/>
          <w:highlight w:val="none"/>
          <w:lang w:eastAsia="zh-CN"/>
        </w:rPr>
        <w:t>“</w:t>
      </w:r>
      <w:r>
        <w:rPr>
          <w:rFonts w:hint="eastAsia" w:ascii="Times New Roman" w:hAnsi="Times New Roman" w:eastAsia="仿宋_GB2312" w:cs="仿宋_GB2312"/>
          <w:color w:val="auto"/>
          <w:sz w:val="32"/>
          <w:szCs w:val="32"/>
          <w:highlight w:val="none"/>
        </w:rPr>
        <w:t>三公”经费支出决算情况说明</w:t>
      </w:r>
    </w:p>
    <w:p w14:paraId="007392E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八、政府性基金预算支出决算情况说明</w:t>
      </w:r>
    </w:p>
    <w:p w14:paraId="5E4D633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w:t>
      </w:r>
      <w:r>
        <w:rPr>
          <w:rFonts w:hint="eastAsia" w:ascii="Times New Roman" w:hAnsi="Times New Roman" w:eastAsia="仿宋_GB2312" w:cs="仿宋_GB2312"/>
          <w:color w:val="auto"/>
          <w:sz w:val="32"/>
          <w:szCs w:val="32"/>
          <w:highlight w:val="none"/>
          <w:lang w:eastAsia="zh-CN"/>
        </w:rPr>
        <w:t>国</w:t>
      </w:r>
      <w:r>
        <w:rPr>
          <w:rFonts w:hint="eastAsia" w:ascii="Times New Roman" w:hAnsi="Times New Roman" w:eastAsia="仿宋_GB2312" w:cs="仿宋_GB2312"/>
          <w:color w:val="auto"/>
          <w:sz w:val="32"/>
          <w:szCs w:val="32"/>
          <w:highlight w:val="none"/>
        </w:rPr>
        <w:t>有资本经营预算支出决算情况说明</w:t>
      </w:r>
    </w:p>
    <w:p w14:paraId="68DFAB0F">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十</w:t>
      </w:r>
      <w:r>
        <w:rPr>
          <w:rFonts w:hint="eastAsia" w:ascii="Times New Roman" w:hAnsi="Times New Roman" w:eastAsia="仿宋_GB2312" w:cs="仿宋_GB2312"/>
          <w:color w:val="auto"/>
          <w:sz w:val="32"/>
          <w:szCs w:val="32"/>
          <w:highlight w:val="none"/>
        </w:rPr>
        <w:t>、其他重要事项的情况说明</w:t>
      </w:r>
    </w:p>
    <w:p w14:paraId="4941EF26">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第三部分 名词解释</w:t>
      </w:r>
    </w:p>
    <w:p w14:paraId="161DF312">
      <w:pPr>
        <w:pStyle w:val="12"/>
        <w:keepNext w:val="0"/>
        <w:keepLines w:val="0"/>
        <w:pageBreakBefore w:val="0"/>
        <w:kinsoku/>
        <w:wordWrap/>
        <w:overflowPunct/>
        <w:topLinePunct w:val="0"/>
        <w:autoSpaceDE/>
        <w:autoSpaceDN/>
        <w:bidi w:val="0"/>
        <w:adjustRightInd w:val="0"/>
        <w:snapToGrid w:val="0"/>
        <w:spacing w:before="0" w:line="560" w:lineRule="exact"/>
        <w:jc w:val="left"/>
        <w:textAlignment w:val="auto"/>
        <w:rPr>
          <w:rFonts w:hint="eastAsia" w:ascii="Times New Roman" w:hAnsi="Times New Roman" w:eastAsia="黑体" w:cs="黑体"/>
          <w:color w:val="auto"/>
          <w:sz w:val="32"/>
          <w:szCs w:val="32"/>
          <w:highlight w:val="none"/>
        </w:rPr>
      </w:pPr>
      <w:r>
        <w:rPr>
          <w:rFonts w:hint="eastAsia" w:ascii="Times New Roman" w:hAnsi="Times New Roman" w:eastAsia="黑体" w:cs="黑体"/>
          <w:color w:val="auto"/>
          <w:sz w:val="32"/>
          <w:szCs w:val="32"/>
          <w:highlight w:val="none"/>
        </w:rPr>
        <w:t>第</w:t>
      </w:r>
      <w:r>
        <w:rPr>
          <w:rFonts w:hint="eastAsia" w:ascii="Times New Roman" w:hAnsi="Times New Roman" w:eastAsia="黑体" w:cs="黑体"/>
          <w:color w:val="auto"/>
          <w:sz w:val="32"/>
          <w:szCs w:val="32"/>
          <w:highlight w:val="none"/>
          <w:lang w:val="en-US" w:eastAsia="zh-CN"/>
        </w:rPr>
        <w:t>四</w:t>
      </w:r>
      <w:r>
        <w:rPr>
          <w:rFonts w:hint="eastAsia" w:ascii="Times New Roman" w:hAnsi="Times New Roman" w:eastAsia="黑体" w:cs="黑体"/>
          <w:color w:val="auto"/>
          <w:sz w:val="32"/>
          <w:szCs w:val="32"/>
          <w:highlight w:val="none"/>
        </w:rPr>
        <w:t>部分 附表</w:t>
      </w:r>
    </w:p>
    <w:p w14:paraId="52CD5A4C">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p>
    <w:p w14:paraId="7AF33AC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二、收入决算表</w:t>
      </w:r>
    </w:p>
    <w:p w14:paraId="04ABFC3B">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三、支出决算表</w:t>
      </w:r>
    </w:p>
    <w:p w14:paraId="16130783">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四、财政拨款收入支出决算总表</w:t>
      </w:r>
    </w:p>
    <w:p w14:paraId="39ABF8DE">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五、财政拨款支出决算明细表</w:t>
      </w:r>
    </w:p>
    <w:p w14:paraId="696782D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p>
    <w:p w14:paraId="5F2977E2">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七、一般公共预算财政拨款支出决算明细表</w:t>
      </w:r>
    </w:p>
    <w:p w14:paraId="4F05B6A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八、一般公共预算财政拨款基本支出决算</w:t>
      </w:r>
      <w:r>
        <w:rPr>
          <w:rFonts w:hint="eastAsia" w:ascii="Times New Roman" w:hAnsi="Times New Roman" w:eastAsia="仿宋_GB2312" w:cs="仿宋_GB2312"/>
          <w:color w:val="auto"/>
          <w:sz w:val="32"/>
          <w:szCs w:val="32"/>
          <w:highlight w:val="none"/>
          <w:lang w:eastAsia="zh-CN"/>
        </w:rPr>
        <w:t>明细</w:t>
      </w:r>
      <w:r>
        <w:rPr>
          <w:rFonts w:hint="eastAsia" w:ascii="Times New Roman" w:hAnsi="Times New Roman" w:eastAsia="仿宋_GB2312" w:cs="仿宋_GB2312"/>
          <w:color w:val="auto"/>
          <w:sz w:val="32"/>
          <w:szCs w:val="32"/>
          <w:highlight w:val="none"/>
        </w:rPr>
        <w:t>表</w:t>
      </w:r>
    </w:p>
    <w:p w14:paraId="452664F4">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九、一般公共预算财政拨款项目支出决算表</w:t>
      </w:r>
    </w:p>
    <w:p w14:paraId="5E4B967A">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十、政府性基金预算财政拨款收入支出决算表</w:t>
      </w:r>
    </w:p>
    <w:p w14:paraId="7A14F366">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十一、国有资本经营预算财政拨款收入支出决算表</w:t>
      </w:r>
    </w:p>
    <w:p w14:paraId="0552D11D">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十二、</w:t>
      </w:r>
      <w:r>
        <w:rPr>
          <w:rFonts w:hint="eastAsia" w:ascii="Times New Roman" w:hAnsi="Times New Roman" w:eastAsia="仿宋_GB2312" w:cs="仿宋_GB2312"/>
          <w:color w:val="auto"/>
          <w:sz w:val="32"/>
          <w:szCs w:val="32"/>
          <w:highlight w:val="none"/>
          <w:lang w:val="en-US" w:eastAsia="zh-CN"/>
        </w:rPr>
        <w:t>国有资本经营预算财政拨款支出决算表</w:t>
      </w:r>
    </w:p>
    <w:p w14:paraId="24DA3009">
      <w:pPr>
        <w:pStyle w:val="14"/>
        <w:keepNext w:val="0"/>
        <w:keepLines w:val="0"/>
        <w:pageBreakBefore w:val="0"/>
        <w:widowControl w:val="0"/>
        <w:kinsoku/>
        <w:wordWrap/>
        <w:overflowPunct/>
        <w:topLinePunct w:val="0"/>
        <w:autoSpaceDE/>
        <w:autoSpaceDN/>
        <w:bidi w:val="0"/>
        <w:adjustRightInd w:val="0"/>
        <w:snapToGrid w:val="0"/>
        <w:spacing w:line="560" w:lineRule="exact"/>
        <w:ind w:left="0" w:leftChars="0" w:firstLine="640" w:firstLineChars="200"/>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十三、财政拨款“三公”经费支出决算表</w:t>
      </w:r>
    </w:p>
    <w:p w14:paraId="5F5DE9CD">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bookmarkStart w:id="6" w:name="_Toc15396599"/>
      <w:bookmarkStart w:id="7" w:name="_Toc15377196"/>
    </w:p>
    <w:p w14:paraId="276B960A">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2E439FB0">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3046E104">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2593EF1A">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441E94BF">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54E7F8DA">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4096DDD3">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36C096AF">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5F7E0503">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2E47FA2A">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611BAAF2">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564AF3D5">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040CD9B0">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01D03AC6">
      <w:pPr>
        <w:keepNext w:val="0"/>
        <w:keepLines w:val="0"/>
        <w:pageBreakBefore w:val="0"/>
        <w:widowControl/>
        <w:kinsoku/>
        <w:wordWrap/>
        <w:overflowPunct/>
        <w:topLinePunct w:val="0"/>
        <w:autoSpaceDE/>
        <w:autoSpaceDN/>
        <w:bidi w:val="0"/>
        <w:spacing w:line="560" w:lineRule="exact"/>
        <w:jc w:val="left"/>
        <w:textAlignment w:val="auto"/>
        <w:rPr>
          <w:rFonts w:hint="eastAsia" w:ascii="Times New Roman" w:hAnsi="Times New Roman" w:eastAsia="仿宋_GB2312" w:cs="仿宋_GB2312"/>
          <w:bCs/>
          <w:color w:val="auto"/>
          <w:kern w:val="44"/>
          <w:sz w:val="32"/>
          <w:szCs w:val="32"/>
          <w:highlight w:val="none"/>
          <w:lang w:eastAsia="zh-CN"/>
        </w:rPr>
      </w:pPr>
    </w:p>
    <w:p w14:paraId="5E32ECF3">
      <w:pPr>
        <w:pStyle w:val="2"/>
        <w:jc w:val="center"/>
        <w:rPr>
          <w:rFonts w:ascii="Times New Roman" w:hAnsi="Times New Roman" w:eastAsia="黑体"/>
          <w:color w:val="auto"/>
          <w:sz w:val="32"/>
          <w:szCs w:val="32"/>
          <w:highlight w:val="none"/>
        </w:rPr>
      </w:pPr>
      <w:r>
        <w:rPr>
          <w:rFonts w:hint="eastAsia" w:ascii="Times New Roman" w:hAnsi="Times New Roman" w:eastAsia="方正小标宋简体" w:cs="方正小标宋简体"/>
          <w:b w:val="0"/>
          <w:color w:val="auto"/>
          <w:highlight w:val="none"/>
        </w:rPr>
        <w:t>第一部分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Style w:val="29"/>
          <w:rFonts w:hint="eastAsia" w:ascii="Times New Roman" w:hAnsi="Times New Roman" w:eastAsia="方正小标宋简体" w:cs="方正小标宋简体"/>
          <w:b w:val="0"/>
          <w:bCs w:val="0"/>
          <w:color w:val="auto"/>
          <w:highlight w:val="none"/>
        </w:rPr>
        <w:t>部门概况</w:t>
      </w:r>
      <w:bookmarkEnd w:id="6"/>
      <w:bookmarkEnd w:id="7"/>
    </w:p>
    <w:p w14:paraId="1DAE3948">
      <w:pPr>
        <w:pStyle w:val="3"/>
        <w:numPr>
          <w:ilvl w:val="0"/>
          <w:numId w:val="1"/>
        </w:numPr>
        <w:rPr>
          <w:rFonts w:hint="eastAsia" w:ascii="Times New Roman" w:hAnsi="Times New Roman" w:eastAsia="黑体"/>
          <w:b w:val="0"/>
          <w:color w:val="auto"/>
          <w:highlight w:val="none"/>
          <w:lang w:eastAsia="zh-CN"/>
        </w:rPr>
      </w:pPr>
      <w:r>
        <w:rPr>
          <w:rFonts w:hint="eastAsia" w:ascii="Times New Roman" w:hAnsi="Times New Roman" w:eastAsia="黑体"/>
          <w:b w:val="0"/>
          <w:color w:val="auto"/>
          <w:highlight w:val="none"/>
          <w:lang w:eastAsia="zh-CN"/>
        </w:rPr>
        <w:t>部门职责</w:t>
      </w:r>
    </w:p>
    <w:p w14:paraId="1900B175">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afterAutospacing="0" w:line="578" w:lineRule="exact"/>
        <w:ind w:firstLine="643" w:firstLineChars="200"/>
        <w:textAlignment w:val="auto"/>
        <w:rPr>
          <w:rFonts w:hint="eastAsia" w:ascii="仿宋_GB2312" w:hAnsi="仿宋_GB2312" w:eastAsia="仿宋_GB2312" w:cs="仿宋_GB2312"/>
          <w:b w:val="0"/>
          <w:bCs w:val="0"/>
          <w:color w:val="auto"/>
          <w:kern w:val="2"/>
          <w:sz w:val="32"/>
          <w:szCs w:val="32"/>
          <w:lang w:val="en-US" w:eastAsia="zh-CN" w:bidi="ar-SA"/>
        </w:rPr>
      </w:pPr>
      <w:r>
        <w:rPr>
          <w:rFonts w:hint="eastAsia"/>
          <w:lang w:val="en-US" w:eastAsia="zh-CN"/>
        </w:rPr>
        <w:t xml:space="preserve">  </w:t>
      </w:r>
      <w:r>
        <w:rPr>
          <w:rFonts w:hint="eastAsia" w:ascii="仿宋_GB2312" w:hAnsi="仿宋_GB2312" w:eastAsia="仿宋_GB2312" w:cs="仿宋_GB2312"/>
          <w:b w:val="0"/>
          <w:bCs w:val="0"/>
          <w:color w:val="auto"/>
          <w:kern w:val="2"/>
          <w:sz w:val="32"/>
          <w:szCs w:val="32"/>
          <w:lang w:val="en-US" w:eastAsia="zh-CN" w:bidi="ar-SA"/>
        </w:rPr>
        <w:t>（1）负责贯彻落实国家、省、市州政府有关医疗保险的方针、政策；</w:t>
      </w:r>
    </w:p>
    <w:p w14:paraId="7372ED05">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afterAutospacing="0" w:line="578"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（2）负责县级机关事业单位、企业和个体、农民工及</w:t>
      </w:r>
      <w:r>
        <w:rPr>
          <w:rFonts w:hint="eastAsia" w:ascii="仿宋_GB2312" w:hAnsi="仿宋_GB2312" w:eastAsia="仿宋_GB2312" w:cs="仿宋_GB2312"/>
          <w:b w:val="0"/>
          <w:bCs w:val="0"/>
          <w:color w:val="auto"/>
          <w:sz w:val="32"/>
          <w:szCs w:val="32"/>
          <w:lang w:eastAsia="zh-CN"/>
        </w:rPr>
        <w:t>城乡居民医保</w:t>
      </w:r>
      <w:r>
        <w:rPr>
          <w:rFonts w:hint="eastAsia" w:ascii="仿宋_GB2312" w:hAnsi="仿宋_GB2312" w:eastAsia="仿宋_GB2312" w:cs="仿宋_GB2312"/>
          <w:b w:val="0"/>
          <w:bCs w:val="0"/>
          <w:color w:val="auto"/>
          <w:sz w:val="32"/>
          <w:szCs w:val="32"/>
        </w:rPr>
        <w:t>手续的办理；</w:t>
      </w:r>
    </w:p>
    <w:p w14:paraId="1E6649F7">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afterAutospacing="0" w:line="578"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（3）负责县级基本医疗保险基金的征缴、管理与支付； </w:t>
      </w:r>
    </w:p>
    <w:p w14:paraId="4D540B68">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afterAutospacing="0" w:line="578"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（4）负责县级公务员医疗保险基金、补充医疗保险金的征收、管理与支付；</w:t>
      </w:r>
    </w:p>
    <w:p w14:paraId="63CE4ABE">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afterAutospacing="0" w:line="578"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（5）负责县级参保居民医疗保险基金的征收和参保人员费用的审核支付；                               </w:t>
      </w:r>
    </w:p>
    <w:p w14:paraId="147FA4FF">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afterAutospacing="0" w:line="578"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（6）负责企业离休干部、二等乙级伤残军人医疗费的管理、支付；                                        </w:t>
      </w:r>
    </w:p>
    <w:p w14:paraId="690DDFE5">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afterAutospacing="0" w:line="578"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（7）负责定点医院、定点药店的服务协议签订，并对协议执行情况进行管理、监督、指导；</w:t>
      </w:r>
    </w:p>
    <w:p w14:paraId="4D8BB667">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afterAutospacing="0" w:line="578"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8</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负责全县财政供养人员的体检费用的审核与报销。</w:t>
      </w:r>
    </w:p>
    <w:p w14:paraId="7C509DA4">
      <w:pPr>
        <w:pStyle w:val="1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8" w:lineRule="exact"/>
        <w:ind w:right="0"/>
        <w:jc w:val="left"/>
        <w:textAlignment w:val="auto"/>
        <w:rPr>
          <w:rFonts w:hint="eastAsia" w:ascii="仿宋_GB2312" w:hAnsi="仿宋_GB2312" w:eastAsia="仿宋_GB2312" w:cs="仿宋_GB2312"/>
          <w:b w:val="0"/>
          <w:bCs w:val="0"/>
          <w:color w:val="auto"/>
          <w:sz w:val="32"/>
          <w:szCs w:val="32"/>
          <w:shd w:val="clear" w:color="auto" w:fill="FFFFFF"/>
        </w:rPr>
      </w:pPr>
      <w:r>
        <w:rPr>
          <w:rFonts w:hint="eastAsia" w:ascii="仿宋_GB2312" w:hAnsi="仿宋_GB2312" w:eastAsia="仿宋_GB2312" w:cs="仿宋_GB2312"/>
          <w:b w:val="0"/>
          <w:bCs w:val="0"/>
          <w:color w:val="auto"/>
          <w:sz w:val="32"/>
          <w:szCs w:val="32"/>
          <w:shd w:val="clear" w:color="auto" w:fill="FFFFFF"/>
        </w:rPr>
        <w:t>202</w:t>
      </w:r>
      <w:r>
        <w:rPr>
          <w:rFonts w:hint="eastAsia" w:ascii="仿宋_GB2312" w:hAnsi="仿宋_GB2312" w:eastAsia="仿宋_GB2312" w:cs="仿宋_GB2312"/>
          <w:b w:val="0"/>
          <w:bCs w:val="0"/>
          <w:color w:val="auto"/>
          <w:sz w:val="32"/>
          <w:szCs w:val="32"/>
          <w:shd w:val="clear" w:color="auto" w:fill="FFFFFF"/>
          <w:lang w:val="en-US" w:eastAsia="zh-CN"/>
        </w:rPr>
        <w:t>4</w:t>
      </w:r>
      <w:r>
        <w:rPr>
          <w:rFonts w:hint="eastAsia" w:ascii="仿宋_GB2312" w:hAnsi="仿宋_GB2312" w:eastAsia="仿宋_GB2312" w:cs="仿宋_GB2312"/>
          <w:b w:val="0"/>
          <w:bCs w:val="0"/>
          <w:color w:val="auto"/>
          <w:sz w:val="32"/>
          <w:szCs w:val="32"/>
          <w:shd w:val="clear" w:color="auto" w:fill="FFFFFF"/>
        </w:rPr>
        <w:t>年重点工作完成情况。</w:t>
      </w:r>
    </w:p>
    <w:p w14:paraId="1B322235">
      <w:pPr>
        <w:numPr>
          <w:ilvl w:val="0"/>
          <w:numId w:val="0"/>
        </w:numPr>
        <w:ind w:firstLine="640" w:firstLineChars="200"/>
        <w:rPr>
          <w:rFonts w:hint="default"/>
          <w:lang w:val="en-US" w:eastAsia="zh-CN"/>
        </w:rPr>
      </w:pPr>
      <w:r>
        <w:rPr>
          <w:rFonts w:hint="eastAsia" w:ascii="仿宋_GB2312" w:hAnsi="仿宋_GB2312" w:eastAsia="仿宋_GB2312" w:cs="仿宋_GB2312"/>
          <w:b w:val="0"/>
          <w:bCs w:val="0"/>
          <w:color w:val="auto"/>
          <w:sz w:val="32"/>
          <w:szCs w:val="32"/>
          <w:shd w:val="clear" w:color="auto" w:fill="FFFFFF"/>
          <w:lang w:val="en-US" w:eastAsia="zh-CN"/>
        </w:rPr>
        <w:t>完成了州、县下达的各项目标任务。</w:t>
      </w:r>
    </w:p>
    <w:p w14:paraId="0275ABC4">
      <w:pPr>
        <w:pStyle w:val="3"/>
        <w:rPr>
          <w:rStyle w:val="30"/>
          <w:rFonts w:ascii="Times New Roman" w:hAnsi="Times New Roman"/>
          <w:b w:val="0"/>
          <w:bCs w:val="0"/>
          <w:color w:val="auto"/>
          <w:highlight w:val="none"/>
        </w:rPr>
      </w:pPr>
      <w:bookmarkStart w:id="8" w:name="_Toc15377200"/>
      <w:bookmarkStart w:id="9" w:name="_Toc15396601"/>
      <w:r>
        <w:rPr>
          <w:rFonts w:hint="eastAsia" w:ascii="Times New Roman" w:hAnsi="Times New Roman" w:eastAsia="黑体"/>
          <w:b w:val="0"/>
          <w:color w:val="auto"/>
          <w:highlight w:val="none"/>
        </w:rPr>
        <w:t>二、机</w:t>
      </w:r>
      <w:r>
        <w:rPr>
          <w:rStyle w:val="30"/>
          <w:rFonts w:hint="eastAsia" w:ascii="Times New Roman" w:hAnsi="Times New Roman" w:eastAsia="黑体"/>
          <w:b w:val="0"/>
          <w:bCs w:val="0"/>
          <w:color w:val="auto"/>
          <w:highlight w:val="none"/>
        </w:rPr>
        <w:t>构设置</w:t>
      </w:r>
      <w:bookmarkEnd w:id="8"/>
      <w:bookmarkEnd w:id="9"/>
    </w:p>
    <w:p w14:paraId="37B616BA">
      <w:pPr>
        <w:pStyle w:val="3"/>
        <w:keepNext w:val="0"/>
        <w:keepLines w:val="0"/>
        <w:pageBreakBefore w:val="0"/>
        <w:widowControl w:val="0"/>
        <w:numPr>
          <w:ilvl w:val="0"/>
          <w:numId w:val="0"/>
        </w:numPr>
        <w:kinsoku/>
        <w:wordWrap/>
        <w:overflowPunct/>
        <w:topLinePunct w:val="0"/>
        <w:bidi w:val="0"/>
        <w:snapToGrid/>
        <w:spacing w:afterAutospacing="0" w:line="578" w:lineRule="exact"/>
        <w:ind w:right="0" w:rightChars="0"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rPr>
        <w:t>根据上述职责，松潘县医疗保障局设4个股室，分别是办公室、审核结算股、基金管理股、统筹股，各股室的职能职责如下：</w:t>
      </w:r>
    </w:p>
    <w:p w14:paraId="57E68E3C">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㈠办公室</w:t>
      </w:r>
    </w:p>
    <w:p w14:paraId="1C86C72C">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负责医保局的行政日常工作，负责会议室的管理工作，</w:t>
      </w:r>
      <w:r>
        <w:rPr>
          <w:rFonts w:hint="eastAsia" w:ascii="仿宋_GB2312" w:hAnsi="仿宋_GB2312" w:eastAsia="仿宋_GB2312" w:cs="仿宋_GB2312"/>
          <w:color w:val="auto"/>
          <w:sz w:val="32"/>
          <w:szCs w:val="32"/>
          <w:lang w:eastAsia="zh-CN"/>
        </w:rPr>
        <w:t>建立健全</w:t>
      </w:r>
      <w:r>
        <w:rPr>
          <w:rFonts w:hint="eastAsia" w:ascii="仿宋_GB2312" w:hAnsi="仿宋_GB2312" w:eastAsia="仿宋_GB2312" w:cs="仿宋_GB2312"/>
          <w:color w:val="auto"/>
          <w:sz w:val="32"/>
          <w:szCs w:val="32"/>
        </w:rPr>
        <w:t>本局的各项规章制度，撰写分析报告。</w:t>
      </w:r>
    </w:p>
    <w:p w14:paraId="76691F14">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1.负责局文件、报告、会议资料、工作总结等有关文字材料的拟稿、打印、装订，并进行发文的登记管理；</w:t>
      </w:r>
    </w:p>
    <w:p w14:paraId="2163C8D6">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2.负责公文收发、传递，根据领导的批示要求催办、督促文件的办理执行情况；</w:t>
      </w:r>
    </w:p>
    <w:p w14:paraId="412582BC">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3.负责整理、建立健全档案管理制度，保管好文书档案；负责有关会议记录，并及时整理会议的有关材料（包括会议纪要、简报等）；</w:t>
      </w:r>
    </w:p>
    <w:p w14:paraId="3756FE82">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4.负责依照国家相关规定做好公章、法人印章、局介绍信的保管和使用工作，对各种更换的印章负责登记、保管；</w:t>
      </w:r>
    </w:p>
    <w:p w14:paraId="36D9E9A5">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5.认真做好综合信息的收集、分析、整理并及时、准确向领导汇报；协助领导做好内部管理和服务工作；</w:t>
      </w:r>
    </w:p>
    <w:p w14:paraId="7A2DBF63">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6.完成领导交办的其他工作。</w:t>
      </w:r>
    </w:p>
    <w:p w14:paraId="1358911B">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㈡审核结算股</w:t>
      </w:r>
    </w:p>
    <w:p w14:paraId="0017FB4E">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负责医疗费用票据报销的审核，认真贯彻执行各种与审核制度有关的</w:t>
      </w:r>
      <w:r>
        <w:rPr>
          <w:rFonts w:hint="eastAsia" w:ascii="仿宋_GB2312" w:hAnsi="仿宋_GB2312" w:eastAsia="仿宋_GB2312" w:cs="仿宋_GB2312"/>
          <w:color w:val="auto"/>
          <w:sz w:val="32"/>
          <w:szCs w:val="32"/>
          <w:lang w:eastAsia="zh-CN"/>
        </w:rPr>
        <w:t>法律法规</w:t>
      </w:r>
      <w:r>
        <w:rPr>
          <w:rFonts w:hint="eastAsia" w:ascii="仿宋_GB2312" w:hAnsi="仿宋_GB2312" w:eastAsia="仿宋_GB2312" w:cs="仿宋_GB2312"/>
          <w:color w:val="auto"/>
          <w:sz w:val="32"/>
          <w:szCs w:val="32"/>
        </w:rPr>
        <w:t>，树立良好的职业道</w:t>
      </w:r>
      <w:r>
        <w:rPr>
          <w:rFonts w:hint="eastAsia" w:ascii="仿宋_GB2312" w:hAnsi="仿宋_GB2312" w:eastAsia="仿宋_GB2312" w:cs="仿宋_GB2312"/>
          <w:color w:val="auto"/>
          <w:sz w:val="32"/>
          <w:szCs w:val="32"/>
          <w:lang w:eastAsia="zh-CN"/>
        </w:rPr>
        <w:t>德和</w:t>
      </w:r>
      <w:r>
        <w:rPr>
          <w:rFonts w:hint="eastAsia" w:ascii="仿宋_GB2312" w:hAnsi="仿宋_GB2312" w:eastAsia="仿宋_GB2312" w:cs="仿宋_GB2312"/>
          <w:color w:val="auto"/>
          <w:sz w:val="32"/>
          <w:szCs w:val="32"/>
        </w:rPr>
        <w:t>坚持原则，秉公办事。</w:t>
      </w:r>
    </w:p>
    <w:p w14:paraId="5CFE6210">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1.认真执行国家、省有关医疗保险政策、法规，严格掌握审核标准，杜绝一切不合理医疗消费；</w:t>
      </w:r>
    </w:p>
    <w:p w14:paraId="2EF681B7">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2.负责医疗费用凭据的初审，核定参保人应付金额和应报销金额；</w:t>
      </w:r>
    </w:p>
    <w:p w14:paraId="50663A95">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3.负责初审后医疗费用凭据、个人自付金额和应报销金额的复核，并将复核意见和全部复核凭证交财务科；</w:t>
      </w:r>
    </w:p>
    <w:p w14:paraId="0B403869">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4.严格按省医疗保险管理条例和细则要求，办理特殊用药和特殊检查申请的审核和审批手续；</w:t>
      </w:r>
    </w:p>
    <w:p w14:paraId="7528A755">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5.完成领导交办的其他工作任务。</w:t>
      </w:r>
    </w:p>
    <w:p w14:paraId="7D981A3F">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㈢基金管理股</w:t>
      </w:r>
    </w:p>
    <w:p w14:paraId="1C8044FC">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按照收支两条线，严格遵守《社会保险基金财务制度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社会保险基金会计制度</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事业单位财务</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事业单位会计制度》执行，定期与银行</w:t>
      </w:r>
      <w:r>
        <w:rPr>
          <w:rFonts w:hint="eastAsia" w:ascii="仿宋_GB2312" w:hAnsi="仿宋_GB2312" w:eastAsia="仿宋_GB2312" w:cs="仿宋_GB2312"/>
          <w:color w:val="auto"/>
          <w:sz w:val="32"/>
          <w:szCs w:val="32"/>
          <w:lang w:eastAsia="zh-CN"/>
        </w:rPr>
        <w:t>进行对账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确保账</w:t>
      </w:r>
      <w:r>
        <w:rPr>
          <w:rFonts w:hint="eastAsia" w:ascii="仿宋_GB2312" w:hAnsi="仿宋_GB2312" w:eastAsia="仿宋_GB2312" w:cs="仿宋_GB2312"/>
          <w:color w:val="auto"/>
          <w:sz w:val="32"/>
          <w:szCs w:val="32"/>
        </w:rPr>
        <w:t>款相符，保管好空白支票，根据相关政策做好稽核工作。</w:t>
      </w:r>
    </w:p>
    <w:p w14:paraId="4DCF986D">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1.认真执行国家财经制度、严格掌握经费开支标准、杜绝一切不合理开支。根据经费实际需要，编制年度收支预算，定期分析预算的执行情况。</w:t>
      </w:r>
    </w:p>
    <w:p w14:paraId="11884AAB">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2.负责经费</w:t>
      </w:r>
      <w:r>
        <w:rPr>
          <w:rFonts w:hint="eastAsia" w:ascii="仿宋_GB2312" w:hAnsi="仿宋_GB2312" w:eastAsia="仿宋_GB2312" w:cs="仿宋_GB2312"/>
          <w:color w:val="auto"/>
          <w:sz w:val="32"/>
          <w:szCs w:val="32"/>
          <w:lang w:eastAsia="zh-CN"/>
        </w:rPr>
        <w:t>总账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明细分类账</w:t>
      </w:r>
      <w:r>
        <w:rPr>
          <w:rFonts w:hint="eastAsia" w:ascii="仿宋_GB2312" w:hAnsi="仿宋_GB2312" w:eastAsia="仿宋_GB2312" w:cs="仿宋_GB2312"/>
          <w:color w:val="auto"/>
          <w:sz w:val="32"/>
          <w:szCs w:val="32"/>
        </w:rPr>
        <w:t>的设置和登记，及时清理往来款项，按期</w:t>
      </w:r>
      <w:r>
        <w:rPr>
          <w:rFonts w:hint="eastAsia" w:ascii="仿宋_GB2312" w:hAnsi="仿宋_GB2312" w:eastAsia="仿宋_GB2312" w:cs="仿宋_GB2312"/>
          <w:color w:val="auto"/>
          <w:sz w:val="32"/>
          <w:szCs w:val="32"/>
          <w:lang w:eastAsia="zh-CN"/>
        </w:rPr>
        <w:t>核对账目</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做到账账账相符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账表相符</w:t>
      </w:r>
      <w:r>
        <w:rPr>
          <w:rFonts w:hint="eastAsia" w:ascii="仿宋_GB2312" w:hAnsi="仿宋_GB2312" w:eastAsia="仿宋_GB2312" w:cs="仿宋_GB2312"/>
          <w:color w:val="auto"/>
          <w:sz w:val="32"/>
          <w:szCs w:val="32"/>
        </w:rPr>
        <w:t>。</w:t>
      </w:r>
    </w:p>
    <w:p w14:paraId="5657A626">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3.负责编制经费</w:t>
      </w:r>
      <w:r>
        <w:rPr>
          <w:rFonts w:hint="eastAsia" w:ascii="仿宋_GB2312" w:hAnsi="仿宋_GB2312" w:eastAsia="仿宋_GB2312" w:cs="仿宋_GB2312"/>
          <w:color w:val="auto"/>
          <w:sz w:val="32"/>
          <w:szCs w:val="32"/>
          <w:lang w:eastAsia="zh-CN"/>
        </w:rPr>
        <w:t>记账</w:t>
      </w:r>
      <w:r>
        <w:rPr>
          <w:rFonts w:hint="eastAsia" w:ascii="仿宋_GB2312" w:hAnsi="仿宋_GB2312" w:eastAsia="仿宋_GB2312" w:cs="仿宋_GB2312"/>
          <w:color w:val="auto"/>
          <w:sz w:val="32"/>
          <w:szCs w:val="32"/>
        </w:rPr>
        <w:t>凭证和科目汇总表，按制度规定正确使用会计科目。</w:t>
      </w:r>
    </w:p>
    <w:p w14:paraId="647953BE">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4.严格执行经费开支审批报销制度，对超计划和手续不完备，无分管主任签字的开支有权拒绝报销。</w:t>
      </w:r>
    </w:p>
    <w:p w14:paraId="76286EDE">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5.熟悉和掌握国家财经法规、银行结算纪律、</w:t>
      </w:r>
      <w:r>
        <w:rPr>
          <w:rFonts w:hint="eastAsia" w:ascii="仿宋_GB2312" w:hAnsi="仿宋_GB2312" w:eastAsia="仿宋_GB2312" w:cs="仿宋_GB2312"/>
          <w:color w:val="auto"/>
          <w:sz w:val="32"/>
          <w:szCs w:val="32"/>
          <w:lang w:eastAsia="zh-CN"/>
        </w:rPr>
        <w:t>现金管理暂行条例</w:t>
      </w:r>
      <w:r>
        <w:rPr>
          <w:rFonts w:hint="eastAsia" w:ascii="仿宋_GB2312" w:hAnsi="仿宋_GB2312" w:eastAsia="仿宋_GB2312" w:cs="仿宋_GB2312"/>
          <w:color w:val="auto"/>
          <w:sz w:val="32"/>
          <w:szCs w:val="32"/>
        </w:rPr>
        <w:t>及有关规章制度。</w:t>
      </w:r>
    </w:p>
    <w:p w14:paraId="523D7EFA">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6.严格执行基金“收支两条线”管理规定，做好银行收支</w:t>
      </w:r>
      <w:r>
        <w:rPr>
          <w:rFonts w:hint="eastAsia" w:ascii="仿宋_GB2312" w:hAnsi="仿宋_GB2312" w:eastAsia="仿宋_GB2312" w:cs="仿宋_GB2312"/>
          <w:color w:val="auto"/>
          <w:sz w:val="32"/>
          <w:szCs w:val="32"/>
          <w:lang w:eastAsia="zh-CN"/>
        </w:rPr>
        <w:t>账户及其他账户的</w:t>
      </w:r>
      <w:r>
        <w:rPr>
          <w:rFonts w:hint="eastAsia" w:ascii="仿宋_GB2312" w:hAnsi="仿宋_GB2312" w:eastAsia="仿宋_GB2312" w:cs="仿宋_GB2312"/>
          <w:color w:val="auto"/>
          <w:sz w:val="32"/>
          <w:szCs w:val="32"/>
        </w:rPr>
        <w:t>日常结算，掌握银行余额的变化情况。</w:t>
      </w:r>
    </w:p>
    <w:p w14:paraId="132B0354">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7.负责</w:t>
      </w:r>
      <w:r>
        <w:rPr>
          <w:rFonts w:hint="eastAsia" w:ascii="仿宋_GB2312" w:hAnsi="仿宋_GB2312" w:eastAsia="仿宋_GB2312" w:cs="仿宋_GB2312"/>
          <w:color w:val="auto"/>
          <w:sz w:val="32"/>
          <w:szCs w:val="32"/>
          <w:lang w:eastAsia="zh-CN"/>
        </w:rPr>
        <w:t>现金日记账</w:t>
      </w:r>
      <w:r>
        <w:rPr>
          <w:rFonts w:hint="eastAsia" w:ascii="仿宋_GB2312" w:hAnsi="仿宋_GB2312" w:eastAsia="仿宋_GB2312" w:cs="仿宋_GB2312"/>
          <w:color w:val="auto"/>
          <w:sz w:val="32"/>
          <w:szCs w:val="32"/>
        </w:rPr>
        <w:t>、银行存款</w:t>
      </w:r>
      <w:r>
        <w:rPr>
          <w:rFonts w:hint="eastAsia" w:ascii="仿宋_GB2312" w:hAnsi="仿宋_GB2312" w:eastAsia="仿宋_GB2312" w:cs="仿宋_GB2312"/>
          <w:color w:val="auto"/>
          <w:sz w:val="32"/>
          <w:szCs w:val="32"/>
          <w:lang w:eastAsia="zh-CN"/>
        </w:rPr>
        <w:t>日记账的记账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算账</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对账</w:t>
      </w:r>
      <w:r>
        <w:rPr>
          <w:rFonts w:hint="eastAsia" w:ascii="仿宋_GB2312" w:hAnsi="仿宋_GB2312" w:eastAsia="仿宋_GB2312" w:cs="仿宋_GB2312"/>
          <w:color w:val="auto"/>
          <w:sz w:val="32"/>
          <w:szCs w:val="32"/>
        </w:rPr>
        <w:t>工作，做到日清月结、</w:t>
      </w:r>
      <w:r>
        <w:rPr>
          <w:rFonts w:hint="eastAsia" w:ascii="仿宋_GB2312" w:hAnsi="仿宋_GB2312" w:eastAsia="仿宋_GB2312" w:cs="仿宋_GB2312"/>
          <w:color w:val="auto"/>
          <w:sz w:val="32"/>
          <w:szCs w:val="32"/>
          <w:lang w:eastAsia="zh-CN"/>
        </w:rPr>
        <w:t>账账相符</w:t>
      </w:r>
      <w:r>
        <w:rPr>
          <w:rFonts w:hint="eastAsia" w:ascii="仿宋_GB2312" w:hAnsi="仿宋_GB2312" w:eastAsia="仿宋_GB2312" w:cs="仿宋_GB2312"/>
          <w:color w:val="auto"/>
          <w:sz w:val="32"/>
          <w:szCs w:val="32"/>
        </w:rPr>
        <w:t>。</w:t>
      </w:r>
    </w:p>
    <w:p w14:paraId="69DAD4D6">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8.严格按现金管理规定，做好现金收支结算。不超库存限额、不坐支，不以白条顶替现金，每日核对库存余额，保证</w:t>
      </w:r>
      <w:r>
        <w:rPr>
          <w:rFonts w:hint="eastAsia" w:ascii="仿宋_GB2312" w:hAnsi="仿宋_GB2312" w:eastAsia="仿宋_GB2312" w:cs="仿宋_GB2312"/>
          <w:color w:val="auto"/>
          <w:sz w:val="32"/>
          <w:szCs w:val="32"/>
          <w:lang w:eastAsia="zh-CN"/>
        </w:rPr>
        <w:t>账款</w:t>
      </w:r>
      <w:r>
        <w:rPr>
          <w:rFonts w:hint="eastAsia" w:ascii="仿宋_GB2312" w:hAnsi="仿宋_GB2312" w:eastAsia="仿宋_GB2312" w:cs="仿宋_GB2312"/>
          <w:color w:val="auto"/>
          <w:sz w:val="32"/>
          <w:szCs w:val="32"/>
        </w:rPr>
        <w:t>相符。</w:t>
      </w:r>
    </w:p>
    <w:p w14:paraId="39431968">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9.严格审核原始凭证，对内容不全、字迹不清、责任不明确、涂改、金额不符的原始凭证有权拒绝付款。</w:t>
      </w:r>
    </w:p>
    <w:p w14:paraId="2A6B24A2">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10.按月编制银行存款余额调节表，发现问题立即查询，及时清理</w:t>
      </w:r>
      <w:r>
        <w:rPr>
          <w:rFonts w:hint="eastAsia" w:ascii="仿宋_GB2312" w:hAnsi="仿宋_GB2312" w:eastAsia="仿宋_GB2312" w:cs="仿宋_GB2312"/>
          <w:color w:val="auto"/>
          <w:sz w:val="32"/>
          <w:szCs w:val="32"/>
          <w:lang w:eastAsia="zh-CN"/>
        </w:rPr>
        <w:t>未达账项</w:t>
      </w:r>
      <w:r>
        <w:rPr>
          <w:rFonts w:hint="eastAsia" w:ascii="仿宋_GB2312" w:hAnsi="仿宋_GB2312" w:eastAsia="仿宋_GB2312" w:cs="仿宋_GB2312"/>
          <w:color w:val="auto"/>
          <w:sz w:val="32"/>
          <w:szCs w:val="32"/>
        </w:rPr>
        <w:t>。</w:t>
      </w:r>
    </w:p>
    <w:p w14:paraId="3685C329">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11.负责保管空白支票、空白收据及各种有关证件。建立支票、收据领用登记本，签发支票时内容填写完整，保证银行存款不空头。对因管理不严而造成支票丢失的，要承担相应责任。</w:t>
      </w:r>
    </w:p>
    <w:p w14:paraId="43057C68">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12.完成领导交办的其他工作。</w:t>
      </w:r>
    </w:p>
    <w:p w14:paraId="75AD6202">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㈣统筹股</w:t>
      </w:r>
    </w:p>
    <w:p w14:paraId="07976161">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负责管理好全县参保职工的个人台账，负责制定本部门的发展规划，完成好本部门的工作计划，为确保工作顺利完成，制定出相应的对策，做好稽核工作。负责本</w:t>
      </w:r>
      <w:r>
        <w:rPr>
          <w:rFonts w:hint="eastAsia" w:ascii="仿宋_GB2312" w:hAnsi="仿宋_GB2312" w:eastAsia="仿宋_GB2312" w:cs="仿宋_GB2312"/>
          <w:color w:val="auto"/>
          <w:sz w:val="32"/>
          <w:szCs w:val="32"/>
          <w:lang w:eastAsia="zh-CN"/>
        </w:rPr>
        <w:t>部门</w:t>
      </w:r>
      <w:r>
        <w:rPr>
          <w:rFonts w:hint="eastAsia" w:ascii="仿宋_GB2312" w:hAnsi="仿宋_GB2312" w:eastAsia="仿宋_GB2312" w:cs="仿宋_GB2312"/>
          <w:color w:val="auto"/>
          <w:sz w:val="32"/>
          <w:szCs w:val="32"/>
        </w:rPr>
        <w:t>各种数据的分析和整理，制定与自己工作范围相适应的各种工作计划和规划，对平时自己的工作进行总结、分析，解决统计工作中的实际困难与问题。撰写调查报告和工作总结。</w:t>
      </w:r>
    </w:p>
    <w:p w14:paraId="6D2C53CE">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1.认真贯彻执行《</w:t>
      </w:r>
      <w:r>
        <w:rPr>
          <w:rFonts w:hint="eastAsia" w:ascii="仿宋_GB2312" w:hAnsi="仿宋_GB2312" w:eastAsia="仿宋_GB2312" w:cs="仿宋_GB2312"/>
          <w:color w:val="auto"/>
          <w:sz w:val="32"/>
          <w:szCs w:val="32"/>
          <w:lang w:eastAsia="zh-CN"/>
        </w:rPr>
        <w:t>中华人民共和国统计法</w:t>
      </w:r>
      <w:r>
        <w:rPr>
          <w:rFonts w:hint="eastAsia" w:ascii="仿宋_GB2312" w:hAnsi="仿宋_GB2312" w:eastAsia="仿宋_GB2312" w:cs="仿宋_GB2312"/>
          <w:color w:val="auto"/>
          <w:sz w:val="32"/>
          <w:szCs w:val="32"/>
        </w:rPr>
        <w:t>》和国家、省劳动和社会保障厅有关规定。</w:t>
      </w:r>
    </w:p>
    <w:p w14:paraId="0143FA75">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2.结合局医疗保险基金业务运行特点，建立和完善统计数据库，监督和定期检查统计信息质量及管理工作。</w:t>
      </w:r>
    </w:p>
    <w:p w14:paraId="6D295E01">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3.负责编制月、季、年统计报表和综合分析报告，做到内容完整，数据准确。</w:t>
      </w:r>
    </w:p>
    <w:p w14:paraId="67ED290D">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4.负责统计资料的收集、整理，汇编统计年鉴，按时向领导提供完整、准确的统计信息。</w:t>
      </w:r>
    </w:p>
    <w:p w14:paraId="57645B52">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5.定期深入调查研究，针对统计信息工作中存在的问题提出改进措施建议。</w:t>
      </w:r>
    </w:p>
    <w:p w14:paraId="1F984222">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6.加强业务知识和计算机管理程序的学习，提高自身业务素质。</w:t>
      </w:r>
    </w:p>
    <w:p w14:paraId="2C840FA7">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7.对参保单位及人员进行保险登记。</w:t>
      </w:r>
    </w:p>
    <w:p w14:paraId="3FF6661A">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8.核定缴费基数，并按核定的缴费基数编制征集计划。</w:t>
      </w:r>
    </w:p>
    <w:p w14:paraId="0FEEE350">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9.依据核定的缴费基数，开具征缴通知书，通过“收入户”征集。</w:t>
      </w:r>
    </w:p>
    <w:p w14:paraId="79611A90">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10.整理汇总保险费收缴情况，对已办理登记但未及时、足额缴纳的单位，及时向其发出《催缴通知书》，对拒不</w:t>
      </w:r>
      <w:r>
        <w:rPr>
          <w:rFonts w:hint="eastAsia" w:ascii="仿宋_GB2312" w:hAnsi="仿宋_GB2312" w:eastAsia="仿宋_GB2312" w:cs="仿宋_GB2312"/>
          <w:color w:val="auto"/>
          <w:sz w:val="32"/>
          <w:szCs w:val="32"/>
          <w:lang w:eastAsia="zh-CN"/>
        </w:rPr>
        <w:t>缴纳</w:t>
      </w:r>
      <w:r>
        <w:rPr>
          <w:rFonts w:hint="eastAsia" w:ascii="仿宋_GB2312" w:hAnsi="仿宋_GB2312" w:eastAsia="仿宋_GB2312" w:cs="仿宋_GB2312"/>
          <w:color w:val="auto"/>
          <w:sz w:val="32"/>
          <w:szCs w:val="32"/>
        </w:rPr>
        <w:t>者，按有关规定执行。</w:t>
      </w:r>
    </w:p>
    <w:p w14:paraId="3F66AC35">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11.审核办理机关事业单位医疗保险的人员增减、转移、终止变更工作。</w:t>
      </w:r>
    </w:p>
    <w:p w14:paraId="79F0E7E8">
      <w:pPr>
        <w:keepNext w:val="0"/>
        <w:keepLines w:val="0"/>
        <w:pageBreakBefore w:val="0"/>
        <w:widowControl w:val="0"/>
        <w:kinsoku/>
        <w:wordWrap/>
        <w:overflowPunct/>
        <w:topLinePunct w:val="0"/>
        <w:autoSpaceDE w:val="0"/>
        <w:autoSpaceDN w:val="0"/>
        <w:bidi w:val="0"/>
        <w:snapToGrid/>
        <w:spacing w:afterAutospacing="0" w:line="578" w:lineRule="exact"/>
        <w:ind w:left="0" w:right="0" w:firstLine="64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12.按单位上报情况，定期核定职工</w:t>
      </w:r>
      <w:r>
        <w:rPr>
          <w:rFonts w:hint="eastAsia" w:ascii="仿宋_GB2312" w:hAnsi="仿宋_GB2312" w:eastAsia="仿宋_GB2312" w:cs="仿宋_GB2312"/>
          <w:color w:val="auto"/>
          <w:sz w:val="32"/>
          <w:szCs w:val="32"/>
          <w:lang w:eastAsia="zh-CN"/>
        </w:rPr>
        <w:t>人数</w:t>
      </w:r>
      <w:r>
        <w:rPr>
          <w:rFonts w:hint="eastAsia" w:ascii="仿宋_GB2312" w:hAnsi="仿宋_GB2312" w:eastAsia="仿宋_GB2312" w:cs="仿宋_GB2312"/>
          <w:color w:val="auto"/>
          <w:sz w:val="32"/>
          <w:szCs w:val="32"/>
        </w:rPr>
        <w:t>进行基数调整。</w:t>
      </w:r>
    </w:p>
    <w:p w14:paraId="5BB3CC99">
      <w:pPr>
        <w:keepNext w:val="0"/>
        <w:keepLines w:val="0"/>
        <w:pageBreakBefore w:val="0"/>
        <w:widowControl w:val="0"/>
        <w:kinsoku/>
        <w:wordWrap/>
        <w:overflowPunct/>
        <w:topLinePunct w:val="0"/>
        <w:bidi w:val="0"/>
        <w:snapToGrid/>
        <w:spacing w:afterAutospacing="0" w:line="578" w:lineRule="exact"/>
        <w:ind w:left="0" w:right="0" w:firstLine="640" w:firstLineChars="20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13.完成领导交办的其他工作。</w:t>
      </w:r>
    </w:p>
    <w:p w14:paraId="496C129E">
      <w:pPr>
        <w:pStyle w:val="2"/>
        <w:jc w:val="center"/>
        <w:rPr>
          <w:rFonts w:hint="eastAsia" w:ascii="Times New Roman" w:hAnsi="Times New Roman" w:eastAsia="方正小标宋简体" w:cs="方正小标宋简体"/>
          <w:b w:val="0"/>
          <w:color w:val="auto"/>
          <w:highlight w:val="none"/>
        </w:rPr>
      </w:pPr>
      <w:bookmarkStart w:id="10" w:name="_Toc15396602"/>
      <w:bookmarkStart w:id="11" w:name="_Toc15377204"/>
      <w:r>
        <w:rPr>
          <w:rFonts w:hint="eastAsia" w:ascii="Times New Roman" w:hAnsi="Times New Roman" w:eastAsia="方正小标宋简体" w:cs="方正小标宋简体"/>
          <w:b w:val="0"/>
          <w:color w:val="auto"/>
          <w:highlight w:val="none"/>
        </w:rPr>
        <w:t>第二部分</w:t>
      </w:r>
      <w:r>
        <w:rPr>
          <w:rFonts w:hint="eastAsia" w:ascii="Times New Roman" w:hAnsi="Times New Roman" w:eastAsia="方正小标宋简体" w:cs="方正小标宋简体"/>
          <w:b w:val="0"/>
          <w:color w:val="auto"/>
          <w:highlight w:val="none"/>
          <w:lang w:val="en-US" w:eastAsia="zh-CN"/>
        </w:rPr>
        <w:t xml:space="preserve"> </w:t>
      </w:r>
      <w:r>
        <w:rPr>
          <w:rFonts w:hint="eastAsia" w:ascii="Times New Roman" w:hAnsi="Times New Roman" w:eastAsia="方正小标宋简体" w:cs="方正小标宋简体"/>
          <w:b w:val="0"/>
          <w:color w:val="auto"/>
          <w:highlight w:val="none"/>
        </w:rPr>
        <w:t xml:space="preserve"> </w:t>
      </w:r>
      <w:r>
        <w:rPr>
          <w:rFonts w:hint="eastAsia" w:ascii="Times New Roman" w:hAnsi="Times New Roman" w:eastAsia="方正小标宋简体" w:cs="方正小标宋简体"/>
          <w:b w:val="0"/>
          <w:color w:val="auto"/>
          <w:highlight w:val="none"/>
          <w:lang w:val="en-US" w:eastAsia="zh-CN"/>
        </w:rPr>
        <w:t>2024年度</w:t>
      </w:r>
      <w:r>
        <w:rPr>
          <w:rFonts w:hint="eastAsia" w:ascii="Times New Roman" w:hAnsi="Times New Roman" w:eastAsia="方正小标宋简体" w:cs="方正小标宋简体"/>
          <w:b w:val="0"/>
          <w:color w:val="auto"/>
          <w:highlight w:val="none"/>
        </w:rPr>
        <w:t>部门决算情况说明</w:t>
      </w:r>
      <w:bookmarkEnd w:id="10"/>
      <w:bookmarkEnd w:id="11"/>
    </w:p>
    <w:p w14:paraId="2F55655C">
      <w:pPr>
        <w:rPr>
          <w:rFonts w:ascii="Times New Roman" w:hAnsi="Times New Roman"/>
          <w:color w:val="auto"/>
          <w:highlight w:val="none"/>
        </w:rPr>
      </w:pPr>
    </w:p>
    <w:p w14:paraId="54015209">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2" w:name="_Toc15396603"/>
      <w:bookmarkStart w:id="13" w:name="_Toc15377205"/>
      <w:r>
        <w:rPr>
          <w:rFonts w:hint="eastAsia" w:ascii="Times New Roman" w:hAnsi="Times New Roman" w:eastAsia="黑体"/>
          <w:color w:val="auto"/>
          <w:sz w:val="32"/>
          <w:szCs w:val="32"/>
          <w:highlight w:val="none"/>
          <w:lang w:eastAsia="zh-CN"/>
        </w:rPr>
        <w:t>一、</w:t>
      </w:r>
      <w:r>
        <w:rPr>
          <w:rFonts w:hint="eastAsia" w:ascii="Times New Roman" w:hAnsi="Times New Roman" w:eastAsia="黑体"/>
          <w:color w:val="auto"/>
          <w:sz w:val="32"/>
          <w:szCs w:val="32"/>
          <w:highlight w:val="none"/>
        </w:rPr>
        <w:t>收</w:t>
      </w:r>
      <w:r>
        <w:rPr>
          <w:rStyle w:val="30"/>
          <w:rFonts w:hint="eastAsia" w:ascii="Times New Roman" w:hAnsi="Times New Roman" w:eastAsia="黑体"/>
          <w:b w:val="0"/>
          <w:color w:val="auto"/>
          <w:highlight w:val="none"/>
        </w:rPr>
        <w:t>入支出决算总体情况说明</w:t>
      </w:r>
      <w:bookmarkEnd w:id="12"/>
      <w:bookmarkEnd w:id="13"/>
    </w:p>
    <w:p w14:paraId="62DEE07D">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lang w:eastAsia="zh-CN"/>
        </w:rPr>
        <w:t>2024年度收入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w:t>
      </w:r>
      <w:r>
        <w:rPr>
          <w:rFonts w:hint="eastAsia" w:ascii="Times New Roman" w:hAnsi="Times New Roman" w:eastAsia="仿宋_GB2312" w:cs="仿宋_GB2312"/>
          <w:color w:val="auto"/>
          <w:sz w:val="32"/>
          <w:szCs w:val="32"/>
          <w:highlight w:val="none"/>
          <w:lang w:eastAsia="zh-CN"/>
        </w:rPr>
        <w:t>均为</w:t>
      </w:r>
      <w:r>
        <w:rPr>
          <w:rFonts w:hint="eastAsia" w:ascii="仿宋_GB2312" w:hAnsi="仿宋_GB2312" w:eastAsia="仿宋_GB2312" w:cs="仿宋_GB2312"/>
          <w:sz w:val="32"/>
          <w:szCs w:val="32"/>
        </w:rPr>
        <w:t>1002.86</w:t>
      </w:r>
      <w:r>
        <w:rPr>
          <w:rFonts w:hint="eastAsia" w:ascii="Times New Roman" w:hAnsi="Times New Roman" w:eastAsia="仿宋_GB2312" w:cs="仿宋_GB2312"/>
          <w:color w:val="auto"/>
          <w:sz w:val="32"/>
          <w:szCs w:val="32"/>
          <w:highlight w:val="none"/>
        </w:rPr>
        <w:t>万元。与</w:t>
      </w:r>
      <w:r>
        <w:rPr>
          <w:rFonts w:hint="eastAsia" w:ascii="Times New Roman" w:hAnsi="Times New Roman" w:eastAsia="仿宋_GB2312" w:cs="仿宋_GB2312"/>
          <w:color w:val="auto"/>
          <w:sz w:val="32"/>
          <w:szCs w:val="32"/>
          <w:highlight w:val="none"/>
          <w:lang w:eastAsia="zh-CN"/>
        </w:rPr>
        <w:t>202</w:t>
      </w:r>
      <w:r>
        <w:rPr>
          <w:rFonts w:hint="eastAsia" w:ascii="Times New Roman" w:hAnsi="Times New Roman" w:eastAsia="仿宋_GB2312" w:cs="仿宋_GB2312"/>
          <w:color w:val="auto"/>
          <w:sz w:val="32"/>
          <w:szCs w:val="32"/>
          <w:highlight w:val="none"/>
          <w:lang w:val="en-US" w:eastAsia="zh-CN"/>
        </w:rPr>
        <w:t>3</w:t>
      </w:r>
      <w:r>
        <w:rPr>
          <w:rFonts w:hint="eastAsia" w:ascii="Times New Roman" w:hAnsi="Times New Roman" w:eastAsia="仿宋_GB2312" w:cs="仿宋_GB2312"/>
          <w:color w:val="auto"/>
          <w:sz w:val="32"/>
          <w:szCs w:val="32"/>
          <w:highlight w:val="none"/>
        </w:rPr>
        <w:t>年</w:t>
      </w:r>
      <w:r>
        <w:rPr>
          <w:rFonts w:hint="eastAsia" w:ascii="Times New Roman" w:hAnsi="Times New Roman" w:eastAsia="仿宋_GB2312" w:cs="仿宋_GB2312"/>
          <w:color w:val="auto"/>
          <w:sz w:val="32"/>
          <w:szCs w:val="32"/>
          <w:highlight w:val="none"/>
          <w:lang w:eastAsia="zh-CN"/>
        </w:rPr>
        <w:t>度</w:t>
      </w:r>
      <w:r>
        <w:rPr>
          <w:rFonts w:hint="eastAsia" w:ascii="Times New Roman" w:hAnsi="Times New Roman" w:eastAsia="仿宋_GB2312" w:cs="仿宋_GB2312"/>
          <w:color w:val="auto"/>
          <w:sz w:val="32"/>
          <w:szCs w:val="32"/>
          <w:highlight w:val="none"/>
        </w:rPr>
        <w:t>相比，</w:t>
      </w:r>
      <w:r>
        <w:rPr>
          <w:rFonts w:hint="eastAsia" w:ascii="Times New Roman" w:hAnsi="Times New Roman" w:eastAsia="仿宋_GB2312" w:cs="仿宋_GB2312"/>
          <w:color w:val="auto"/>
          <w:sz w:val="32"/>
          <w:szCs w:val="32"/>
          <w:highlight w:val="none"/>
          <w:lang w:eastAsia="zh-CN"/>
        </w:rPr>
        <w:t>收入</w:t>
      </w:r>
      <w:r>
        <w:rPr>
          <w:rFonts w:hint="eastAsia" w:ascii="Times New Roman" w:hAnsi="Times New Roman" w:eastAsia="仿宋_GB2312" w:cs="仿宋_GB2312"/>
          <w:color w:val="auto"/>
          <w:sz w:val="32"/>
          <w:szCs w:val="32"/>
          <w:highlight w:val="none"/>
        </w:rPr>
        <w:t>、</w:t>
      </w:r>
      <w:r>
        <w:rPr>
          <w:rFonts w:hint="eastAsia" w:ascii="Times New Roman" w:hAnsi="Times New Roman" w:eastAsia="仿宋_GB2312" w:cs="仿宋_GB2312"/>
          <w:color w:val="auto"/>
          <w:sz w:val="32"/>
          <w:szCs w:val="32"/>
          <w:highlight w:val="none"/>
          <w:lang w:eastAsia="zh-CN"/>
        </w:rPr>
        <w:t>支出</w:t>
      </w:r>
      <w:r>
        <w:rPr>
          <w:rFonts w:hint="eastAsia" w:ascii="Times New Roman" w:hAnsi="Times New Roman" w:eastAsia="仿宋_GB2312" w:cs="仿宋_GB2312"/>
          <w:color w:val="auto"/>
          <w:sz w:val="32"/>
          <w:szCs w:val="32"/>
          <w:highlight w:val="none"/>
        </w:rPr>
        <w:t>总计各增加</w:t>
      </w:r>
      <w:r>
        <w:rPr>
          <w:rFonts w:hint="eastAsia" w:eastAsia="仿宋_GB2312" w:cs="仿宋_GB2312"/>
          <w:color w:val="auto"/>
          <w:sz w:val="32"/>
          <w:szCs w:val="32"/>
          <w:highlight w:val="none"/>
          <w:lang w:val="en-US" w:eastAsia="zh-CN"/>
        </w:rPr>
        <w:t>150.17</w:t>
      </w:r>
      <w:r>
        <w:rPr>
          <w:rFonts w:hint="eastAsia" w:ascii="Times New Roman" w:hAnsi="Times New Roman" w:eastAsia="仿宋_GB2312" w:cs="仿宋_GB2312"/>
          <w:color w:val="auto"/>
          <w:sz w:val="32"/>
          <w:szCs w:val="32"/>
          <w:highlight w:val="none"/>
        </w:rPr>
        <w:t>万元，增长</w:t>
      </w:r>
      <w:r>
        <w:rPr>
          <w:rFonts w:hint="eastAsia" w:eastAsia="仿宋_GB2312" w:cs="仿宋_GB2312"/>
          <w:color w:val="auto"/>
          <w:sz w:val="32"/>
          <w:szCs w:val="32"/>
          <w:highlight w:val="none"/>
          <w:lang w:val="en-US" w:eastAsia="zh-CN"/>
        </w:rPr>
        <w:t>17.61</w:t>
      </w:r>
      <w:r>
        <w:rPr>
          <w:rFonts w:hint="eastAsia" w:ascii="Times New Roman" w:hAnsi="Times New Roman" w:eastAsia="仿宋_GB2312" w:cs="仿宋_GB2312"/>
          <w:color w:val="auto"/>
          <w:sz w:val="32"/>
          <w:szCs w:val="32"/>
          <w:highlight w:val="none"/>
        </w:rPr>
        <w:t>%。主要变动原因是</w:t>
      </w:r>
      <w:r>
        <w:rPr>
          <w:rFonts w:hint="eastAsia" w:ascii="仿宋_GB2312" w:hAnsi="仿宋_GB2312" w:eastAsia="仿宋_GB2312" w:cs="仿宋_GB2312"/>
          <w:color w:val="auto"/>
          <w:sz w:val="32"/>
          <w:szCs w:val="32"/>
          <w:highlight w:val="none"/>
          <w:lang w:val="en-US" w:eastAsia="zh-CN"/>
        </w:rPr>
        <w:t>项目资金增加，人员变动。</w:t>
      </w:r>
    </w:p>
    <w:p w14:paraId="36EC3F6F">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Fonts w:hint="eastAsia" w:ascii="Times New Roman" w:hAnsi="Times New Roman" w:eastAsia="黑体"/>
          <w:color w:val="auto"/>
          <w:sz w:val="32"/>
          <w:szCs w:val="32"/>
          <w:highlight w:val="none"/>
          <w:lang w:eastAsia="zh-CN"/>
        </w:rPr>
      </w:pPr>
      <w:bookmarkStart w:id="14" w:name="_Toc15377206"/>
      <w:bookmarkStart w:id="15" w:name="_Toc15396604"/>
      <w:r>
        <w:rPr>
          <w:rFonts w:hint="eastAsia" w:ascii="Times New Roman" w:hAnsi="Times New Roman" w:eastAsia="黑体"/>
          <w:color w:val="auto"/>
          <w:sz w:val="32"/>
          <w:szCs w:val="32"/>
          <w:highlight w:val="none"/>
          <w:lang w:eastAsia="zh-CN"/>
        </w:rPr>
        <w:t>二、收入决算情况说明</w:t>
      </w:r>
      <w:bookmarkEnd w:id="14"/>
      <w:bookmarkEnd w:id="15"/>
    </w:p>
    <w:p w14:paraId="3B9D158A">
      <w:pPr>
        <w:ind w:firstLine="800" w:firstLineChars="250"/>
        <w:rPr>
          <w:rFonts w:hint="eastAsia" w:ascii="Times New Roman" w:hAnsi="Times New Roman"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2024年度本年收入合计</w:t>
      </w:r>
      <w:r>
        <w:rPr>
          <w:rFonts w:hint="eastAsia" w:ascii="仿宋_GB2312" w:hAnsi="仿宋_GB2312" w:eastAsia="仿宋_GB2312" w:cs="仿宋_GB2312"/>
          <w:sz w:val="32"/>
          <w:szCs w:val="32"/>
        </w:rPr>
        <w:t>1002.86万元，其中：一般公共预算财政拨款收入1002.86</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sz w:val="32"/>
          <w:szCs w:val="32"/>
          <w:highlight w:val="none"/>
          <w:lang w:eastAsia="zh-CN"/>
        </w:rPr>
        <w:t>%；政府性基金预算财政拨款收入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万元，占0%；国有资本经营预算财政拨款收入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%；上级补助收入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%；事业收入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%；附属单位上缴收入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%；其他收入</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w:t>
      </w:r>
    </w:p>
    <w:p w14:paraId="5BFF0BA5">
      <w:pPr>
        <w:pStyle w:val="28"/>
        <w:keepNext w:val="0"/>
        <w:keepLines w:val="0"/>
        <w:pageBreakBefore w:val="0"/>
        <w:widowControl w:val="0"/>
        <w:numPr>
          <w:ilvl w:val="0"/>
          <w:numId w:val="0"/>
        </w:numPr>
        <w:kinsoku/>
        <w:wordWrap/>
        <w:overflowPunct/>
        <w:topLinePunct w:val="0"/>
        <w:autoSpaceDE/>
        <w:autoSpaceDN/>
        <w:bidi w:val="0"/>
        <w:adjustRightInd/>
        <w:snapToGrid/>
        <w:spacing w:line="600" w:lineRule="exact"/>
        <w:ind w:firstLine="640" w:firstLineChars="200"/>
        <w:textAlignment w:val="auto"/>
        <w:outlineLvl w:val="1"/>
        <w:rPr>
          <w:rStyle w:val="30"/>
          <w:rFonts w:hint="eastAsia" w:ascii="Times New Roman" w:hAnsi="Times New Roman" w:eastAsia="黑体"/>
          <w:b w:val="0"/>
          <w:color w:val="auto"/>
          <w:highlight w:val="none"/>
        </w:rPr>
      </w:pPr>
      <w:bookmarkStart w:id="16" w:name="_Toc15396605"/>
      <w:bookmarkStart w:id="17" w:name="_Toc15377207"/>
      <w:r>
        <w:rPr>
          <w:rFonts w:hint="eastAsia" w:ascii="Times New Roman" w:hAnsi="Times New Roman" w:eastAsia="黑体"/>
          <w:color w:val="auto"/>
          <w:sz w:val="32"/>
          <w:szCs w:val="32"/>
          <w:highlight w:val="none"/>
          <w:lang w:eastAsia="zh-CN"/>
        </w:rPr>
        <w:t>三、</w:t>
      </w:r>
      <w:r>
        <w:rPr>
          <w:rFonts w:hint="eastAsia" w:ascii="Times New Roman" w:hAnsi="Times New Roman" w:eastAsia="黑体"/>
          <w:color w:val="auto"/>
          <w:sz w:val="32"/>
          <w:szCs w:val="32"/>
          <w:highlight w:val="none"/>
        </w:rPr>
        <w:t>支</w:t>
      </w:r>
      <w:r>
        <w:rPr>
          <w:rStyle w:val="30"/>
          <w:rFonts w:hint="eastAsia" w:ascii="Times New Roman" w:hAnsi="Times New Roman" w:eastAsia="黑体"/>
          <w:b w:val="0"/>
          <w:color w:val="auto"/>
          <w:highlight w:val="none"/>
        </w:rPr>
        <w:t>出决算情况说明</w:t>
      </w:r>
      <w:bookmarkEnd w:id="16"/>
      <w:bookmarkEnd w:id="17"/>
    </w:p>
    <w:p w14:paraId="0F0D90E7">
      <w:pPr>
        <w:spacing w:line="600" w:lineRule="exact"/>
        <w:ind w:firstLine="640" w:firstLineChars="200"/>
        <w:outlineLvl w:val="1"/>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2024年度本年支出合计</w:t>
      </w:r>
      <w:r>
        <w:rPr>
          <w:rFonts w:hint="eastAsia" w:ascii="仿宋_GB2312" w:hAnsi="仿宋_GB2312" w:eastAsia="仿宋_GB2312" w:cs="仿宋_GB2312"/>
          <w:sz w:val="32"/>
          <w:szCs w:val="32"/>
        </w:rPr>
        <w:t>1002.86</w:t>
      </w:r>
      <w:r>
        <w:rPr>
          <w:rFonts w:hint="eastAsia" w:ascii="仿宋_GB2312" w:hAnsi="仿宋_GB2312" w:eastAsia="仿宋_GB2312" w:cs="仿宋_GB2312"/>
          <w:color w:val="auto"/>
          <w:sz w:val="32"/>
          <w:szCs w:val="32"/>
          <w:highlight w:val="none"/>
          <w:lang w:eastAsia="zh-CN"/>
        </w:rPr>
        <w:t>万元，其中：基本支出</w:t>
      </w:r>
      <w:r>
        <w:rPr>
          <w:rFonts w:hint="eastAsia" w:ascii="仿宋_GB2312" w:hAnsi="仿宋_GB2312" w:eastAsia="仿宋_GB2312" w:cs="仿宋_GB2312"/>
          <w:sz w:val="32"/>
          <w:szCs w:val="32"/>
        </w:rPr>
        <w:t>275.21</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27.44</w:t>
      </w:r>
      <w:r>
        <w:rPr>
          <w:rFonts w:hint="eastAsia" w:ascii="仿宋_GB2312" w:hAnsi="仿宋_GB2312" w:eastAsia="仿宋_GB2312" w:cs="仿宋_GB2312"/>
          <w:color w:val="auto"/>
          <w:sz w:val="32"/>
          <w:szCs w:val="32"/>
          <w:highlight w:val="none"/>
          <w:lang w:eastAsia="zh-CN"/>
        </w:rPr>
        <w:t>%；项目支出</w:t>
      </w:r>
      <w:r>
        <w:rPr>
          <w:rFonts w:hint="eastAsia" w:ascii="仿宋_GB2312" w:hAnsi="仿宋_GB2312" w:eastAsia="仿宋_GB2312" w:cs="仿宋_GB2312"/>
          <w:sz w:val="32"/>
          <w:szCs w:val="32"/>
        </w:rPr>
        <w:t>727.65</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72.55</w:t>
      </w:r>
      <w:r>
        <w:rPr>
          <w:rFonts w:hint="eastAsia" w:ascii="仿宋_GB2312" w:hAnsi="仿宋_GB2312" w:eastAsia="仿宋_GB2312" w:cs="仿宋_GB2312"/>
          <w:color w:val="auto"/>
          <w:sz w:val="32"/>
          <w:szCs w:val="32"/>
          <w:highlight w:val="none"/>
          <w:lang w:eastAsia="zh-CN"/>
        </w:rPr>
        <w:t>%；上缴上级支出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%；经营支出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%；对附属单位补助支出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sz w:val="32"/>
          <w:szCs w:val="32"/>
          <w:highlight w:val="none"/>
          <w:lang w:eastAsia="zh-CN"/>
        </w:rPr>
        <w:t>万元，占0%。</w:t>
      </w:r>
      <w:bookmarkStart w:id="18" w:name="_Toc15377208"/>
      <w:bookmarkStart w:id="19" w:name="_Toc15396606"/>
    </w:p>
    <w:p w14:paraId="6741FE4A">
      <w:pPr>
        <w:spacing w:line="600" w:lineRule="exact"/>
        <w:ind w:firstLine="640" w:firstLineChars="200"/>
        <w:outlineLvl w:val="1"/>
        <w:rPr>
          <w:rStyle w:val="30"/>
          <w:rFonts w:ascii="Times New Roman" w:hAnsi="Times New Roman" w:eastAsia="黑体"/>
          <w:b w:val="0"/>
          <w:color w:val="auto"/>
          <w:highlight w:val="none"/>
        </w:rPr>
      </w:pPr>
      <w:r>
        <w:rPr>
          <w:rFonts w:hint="eastAsia" w:ascii="Times New Roman" w:hAnsi="Times New Roman" w:eastAsia="黑体"/>
          <w:color w:val="auto"/>
          <w:sz w:val="32"/>
          <w:szCs w:val="32"/>
          <w:highlight w:val="none"/>
        </w:rPr>
        <w:t>四、财</w:t>
      </w:r>
      <w:r>
        <w:rPr>
          <w:rStyle w:val="30"/>
          <w:rFonts w:hint="eastAsia" w:ascii="Times New Roman" w:hAnsi="Times New Roman" w:eastAsia="黑体"/>
          <w:b w:val="0"/>
          <w:color w:val="auto"/>
          <w:highlight w:val="none"/>
        </w:rPr>
        <w:t>政拨款收入支出决算总体情况说明</w:t>
      </w:r>
      <w:bookmarkEnd w:id="18"/>
      <w:bookmarkEnd w:id="19"/>
    </w:p>
    <w:p w14:paraId="0C5F0E2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2024年度财政拨款收入、支出总计均为</w:t>
      </w:r>
      <w:r>
        <w:rPr>
          <w:rFonts w:hint="eastAsia" w:ascii="仿宋_GB2312" w:hAnsi="仿宋_GB2312" w:eastAsia="仿宋_GB2312" w:cs="仿宋_GB2312"/>
          <w:sz w:val="32"/>
          <w:szCs w:val="32"/>
        </w:rPr>
        <w:t>1002.86</w:t>
      </w:r>
      <w:r>
        <w:rPr>
          <w:rFonts w:hint="eastAsia" w:ascii="Times New Roman" w:hAnsi="Times New Roman" w:eastAsia="仿宋_GB2312" w:cs="仿宋_GB2312"/>
          <w:color w:val="auto"/>
          <w:kern w:val="2"/>
          <w:sz w:val="32"/>
          <w:szCs w:val="32"/>
          <w:highlight w:val="none"/>
          <w:lang w:val="en-US" w:eastAsia="zh-CN" w:bidi="ar-SA"/>
        </w:rPr>
        <w:t>万元。与2023年度相比，财政拨款收入总计、支出总计各增加</w:t>
      </w:r>
      <w:r>
        <w:rPr>
          <w:rFonts w:hint="eastAsia" w:eastAsia="仿宋_GB2312" w:cs="仿宋_GB2312"/>
          <w:color w:val="auto"/>
          <w:kern w:val="2"/>
          <w:sz w:val="32"/>
          <w:szCs w:val="32"/>
          <w:highlight w:val="none"/>
          <w:lang w:val="en-US" w:eastAsia="zh-CN" w:bidi="ar-SA"/>
        </w:rPr>
        <w:t>150.17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17.61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_GB2312" w:hAnsi="仿宋_GB2312" w:eastAsia="仿宋_GB2312" w:cs="仿宋_GB2312"/>
          <w:color w:val="auto"/>
          <w:sz w:val="32"/>
          <w:szCs w:val="32"/>
          <w:highlight w:val="none"/>
          <w:lang w:val="en-US" w:eastAsia="zh-CN"/>
        </w:rPr>
        <w:t>项目资金增加，人员变动。</w:t>
      </w:r>
    </w:p>
    <w:p w14:paraId="70A4CDD9">
      <w:pPr>
        <w:spacing w:line="600" w:lineRule="exact"/>
        <w:ind w:firstLine="640" w:firstLineChars="200"/>
        <w:outlineLvl w:val="1"/>
        <w:rPr>
          <w:rStyle w:val="30"/>
          <w:rFonts w:ascii="Times New Roman" w:hAnsi="Times New Roman" w:eastAsia="黑体"/>
          <w:b w:val="0"/>
          <w:color w:val="auto"/>
          <w:highlight w:val="none"/>
        </w:rPr>
      </w:pPr>
      <w:bookmarkStart w:id="20" w:name="_Toc15396607"/>
      <w:bookmarkStart w:id="21" w:name="_Toc15377209"/>
      <w:r>
        <w:rPr>
          <w:rFonts w:hint="eastAsia" w:ascii="Times New Roman" w:hAnsi="Times New Roman" w:eastAsia="黑体"/>
          <w:color w:val="auto"/>
          <w:sz w:val="32"/>
          <w:szCs w:val="32"/>
          <w:highlight w:val="none"/>
        </w:rPr>
        <w:t>五、</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般公共预算财政拨款支出决算情况说明</w:t>
      </w:r>
      <w:bookmarkEnd w:id="20"/>
      <w:bookmarkEnd w:id="21"/>
    </w:p>
    <w:p w14:paraId="0BDCCB9A">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2" w:name="_Toc15377210"/>
      <w:r>
        <w:rPr>
          <w:rFonts w:hint="eastAsia" w:ascii="Times New Roman" w:hAnsi="Times New Roman" w:eastAsia="楷体_GB2312" w:cs="楷体_GB2312"/>
          <w:b/>
          <w:color w:val="auto"/>
          <w:sz w:val="32"/>
          <w:szCs w:val="32"/>
          <w:highlight w:val="none"/>
        </w:rPr>
        <w:t>（一）一般公共预算财政拨款支出决算总体情况</w:t>
      </w:r>
      <w:bookmarkEnd w:id="22"/>
    </w:p>
    <w:p w14:paraId="676F8D8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1002.86</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%。与2023年度相比，一般公共预算财政拨款支出</w:t>
      </w:r>
      <w:r>
        <w:rPr>
          <w:rFonts w:hint="eastAsia" w:ascii="Times New Roman" w:hAnsi="Times New Roman" w:eastAsia="仿宋_GB2312" w:cs="仿宋_GB2312"/>
          <w:color w:val="auto"/>
          <w:kern w:val="2"/>
          <w:sz w:val="32"/>
          <w:szCs w:val="32"/>
          <w:highlight w:val="none"/>
          <w:lang w:val="en-US" w:eastAsia="zh-CN" w:bidi="ar-SA"/>
        </w:rPr>
        <w:t>增加</w:t>
      </w:r>
      <w:r>
        <w:rPr>
          <w:rFonts w:hint="eastAsia" w:eastAsia="仿宋_GB2312" w:cs="仿宋_GB2312"/>
          <w:color w:val="auto"/>
          <w:kern w:val="2"/>
          <w:sz w:val="32"/>
          <w:szCs w:val="32"/>
          <w:highlight w:val="none"/>
          <w:lang w:val="en-US" w:eastAsia="zh-CN" w:bidi="ar-SA"/>
        </w:rPr>
        <w:t>150.17</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17.61</w:t>
      </w:r>
      <w:r>
        <w:rPr>
          <w:rFonts w:hint="eastAsia" w:ascii="Times New Roman" w:hAnsi="Times New Roman" w:eastAsia="仿宋_GB2312" w:cs="仿宋_GB2312"/>
          <w:color w:val="auto"/>
          <w:kern w:val="2"/>
          <w:sz w:val="32"/>
          <w:szCs w:val="32"/>
          <w:highlight w:val="none"/>
          <w:lang w:val="en-US" w:eastAsia="zh-CN" w:bidi="ar-SA"/>
        </w:rPr>
        <w:t>%。主要变动原因是</w:t>
      </w:r>
      <w:r>
        <w:rPr>
          <w:rFonts w:hint="eastAsia" w:ascii="仿宋_GB2312" w:hAnsi="仿宋_GB2312" w:eastAsia="仿宋_GB2312" w:cs="仿宋_GB2312"/>
          <w:color w:val="auto"/>
          <w:sz w:val="32"/>
          <w:szCs w:val="32"/>
          <w:highlight w:val="none"/>
          <w:lang w:val="en-US" w:eastAsia="zh-CN"/>
        </w:rPr>
        <w:t>项目资金增加，人员变动。</w:t>
      </w:r>
    </w:p>
    <w:p w14:paraId="056076C1">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23" w:name="_Toc15377211"/>
      <w:r>
        <w:rPr>
          <w:rFonts w:hint="eastAsia" w:ascii="Times New Roman" w:hAnsi="Times New Roman" w:eastAsia="楷体_GB2312" w:cs="楷体_GB2312"/>
          <w:b/>
          <w:color w:val="auto"/>
          <w:sz w:val="32"/>
          <w:szCs w:val="32"/>
          <w:highlight w:val="none"/>
        </w:rPr>
        <w:t>（二）一般公共预算财政拨款支出决算结构情况</w:t>
      </w:r>
      <w:bookmarkEnd w:id="23"/>
    </w:p>
    <w:p w14:paraId="7B62159E">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2024年度一般公共预算财政拨款支出</w:t>
      </w:r>
      <w:r>
        <w:rPr>
          <w:rFonts w:hint="eastAsia" w:ascii="仿宋_GB2312" w:hAnsi="仿宋_GB2312" w:eastAsia="仿宋_GB2312" w:cs="仿宋_GB2312"/>
          <w:sz w:val="32"/>
          <w:szCs w:val="32"/>
        </w:rPr>
        <w:t>1002.86</w:t>
      </w:r>
      <w:r>
        <w:rPr>
          <w:rFonts w:hint="eastAsia" w:ascii="仿宋_GB2312" w:hAnsi="仿宋_GB2312" w:eastAsia="仿宋_GB2312" w:cs="仿宋_GB2312"/>
          <w:color w:val="auto"/>
          <w:kern w:val="2"/>
          <w:sz w:val="32"/>
          <w:szCs w:val="32"/>
          <w:highlight w:val="none"/>
          <w:lang w:val="en-US" w:eastAsia="zh-CN" w:bidi="ar-SA"/>
        </w:rPr>
        <w:t>万元</w:t>
      </w:r>
      <w:r>
        <w:rPr>
          <w:rFonts w:hint="eastAsia" w:ascii="Times New Roman" w:hAnsi="Times New Roman" w:eastAsia="仿宋_GB2312" w:cs="仿宋_GB2312"/>
          <w:color w:val="auto"/>
          <w:kern w:val="2"/>
          <w:sz w:val="32"/>
          <w:szCs w:val="32"/>
          <w:highlight w:val="none"/>
          <w:lang w:val="en-US" w:eastAsia="zh-CN" w:bidi="ar-SA"/>
        </w:rPr>
        <w:t>，主要用于以下方面</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社会保障和就业支出</w:t>
      </w:r>
      <w:r>
        <w:rPr>
          <w:rFonts w:hint="eastAsia" w:eastAsia="仿宋_GB2312" w:cs="仿宋_GB2312"/>
          <w:color w:val="auto"/>
          <w:kern w:val="2"/>
          <w:sz w:val="32"/>
          <w:szCs w:val="32"/>
          <w:highlight w:val="none"/>
          <w:lang w:val="en-US" w:eastAsia="zh-CN" w:bidi="ar-SA"/>
        </w:rPr>
        <w:t>43.97</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4.38</w:t>
      </w:r>
      <w:r>
        <w:rPr>
          <w:rFonts w:hint="eastAsia" w:ascii="Times New Roman" w:hAnsi="Times New Roman" w:eastAsia="仿宋_GB2312" w:cs="仿宋_GB2312"/>
          <w:color w:val="auto"/>
          <w:kern w:val="2"/>
          <w:sz w:val="32"/>
          <w:szCs w:val="32"/>
          <w:highlight w:val="none"/>
          <w:lang w:val="en-US" w:eastAsia="zh-CN" w:bidi="ar-SA"/>
        </w:rPr>
        <w:t>%；卫生健康支出</w:t>
      </w:r>
      <w:r>
        <w:rPr>
          <w:rFonts w:hint="eastAsia" w:eastAsia="仿宋_GB2312" w:cs="仿宋_GB2312"/>
          <w:color w:val="auto"/>
          <w:kern w:val="2"/>
          <w:sz w:val="32"/>
          <w:szCs w:val="32"/>
          <w:highlight w:val="none"/>
          <w:lang w:val="en-US" w:eastAsia="zh-CN" w:bidi="ar-SA"/>
        </w:rPr>
        <w:t>938.58</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93.59</w:t>
      </w:r>
      <w:r>
        <w:rPr>
          <w:rFonts w:hint="eastAsia" w:ascii="Times New Roman" w:hAnsi="Times New Roman" w:eastAsia="仿宋_GB2312" w:cs="仿宋_GB2312"/>
          <w:color w:val="auto"/>
          <w:kern w:val="2"/>
          <w:sz w:val="32"/>
          <w:szCs w:val="32"/>
          <w:highlight w:val="none"/>
          <w:lang w:val="en-US" w:eastAsia="zh-CN" w:bidi="ar-SA"/>
        </w:rPr>
        <w:t>%；住房保障支出</w:t>
      </w:r>
      <w:r>
        <w:rPr>
          <w:rFonts w:hint="eastAsia" w:eastAsia="仿宋_GB2312" w:cs="仿宋_GB2312"/>
          <w:color w:val="auto"/>
          <w:kern w:val="2"/>
          <w:sz w:val="32"/>
          <w:szCs w:val="32"/>
          <w:highlight w:val="none"/>
          <w:lang w:val="en-US" w:eastAsia="zh-CN" w:bidi="ar-SA"/>
        </w:rPr>
        <w:t>20.32</w:t>
      </w:r>
      <w:r>
        <w:rPr>
          <w:rFonts w:hint="eastAsia" w:ascii="Times New Roman" w:hAnsi="Times New Roman" w:eastAsia="仿宋_GB2312" w:cs="仿宋_GB2312"/>
          <w:color w:val="auto"/>
          <w:kern w:val="2"/>
          <w:sz w:val="32"/>
          <w:szCs w:val="32"/>
          <w:highlight w:val="none"/>
          <w:lang w:val="en-US" w:eastAsia="zh-CN" w:bidi="ar-SA"/>
        </w:rPr>
        <w:t>万元，占</w:t>
      </w:r>
      <w:r>
        <w:rPr>
          <w:rFonts w:hint="eastAsia" w:eastAsia="仿宋_GB2312" w:cs="仿宋_GB2312"/>
          <w:color w:val="auto"/>
          <w:kern w:val="2"/>
          <w:sz w:val="32"/>
          <w:szCs w:val="32"/>
          <w:highlight w:val="none"/>
          <w:lang w:val="en-US" w:eastAsia="zh-CN" w:bidi="ar-SA"/>
        </w:rPr>
        <w:t>2.02</w:t>
      </w:r>
      <w:r>
        <w:rPr>
          <w:rFonts w:hint="eastAsia" w:ascii="Times New Roman" w:hAnsi="Times New Roman" w:eastAsia="仿宋_GB2312" w:cs="仿宋_GB2312"/>
          <w:color w:val="auto"/>
          <w:kern w:val="2"/>
          <w:sz w:val="32"/>
          <w:szCs w:val="32"/>
          <w:highlight w:val="none"/>
          <w:lang w:val="en-US" w:eastAsia="zh-CN" w:bidi="ar-SA"/>
        </w:rPr>
        <w:t>%</w:t>
      </w:r>
      <w:bookmarkStart w:id="24" w:name="_Toc15377212"/>
    </w:p>
    <w:p w14:paraId="1F4A5DC2">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（三）一般公共预算财政拨款支出决算具体情况</w:t>
      </w:r>
      <w:bookmarkEnd w:id="24"/>
    </w:p>
    <w:p w14:paraId="0E978F9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bookmarkStart w:id="25" w:name="_Toc15377444"/>
      <w:bookmarkStart w:id="26" w:name="_Toc15378460"/>
      <w:bookmarkStart w:id="27" w:name="_Toc15377213"/>
      <w:r>
        <w:rPr>
          <w:rFonts w:hint="eastAsia" w:ascii="Times New Roman" w:hAnsi="Times New Roman" w:eastAsia="仿宋_GB2312" w:cs="仿宋_GB2312"/>
          <w:color w:val="auto"/>
          <w:kern w:val="2"/>
          <w:sz w:val="32"/>
          <w:szCs w:val="32"/>
          <w:highlight w:val="none"/>
          <w:lang w:val="en-US" w:eastAsia="zh-CN" w:bidi="ar-SA"/>
        </w:rPr>
        <w:t>2024年度一般公共预算财政拨款支出决算数为</w:t>
      </w:r>
      <w:r>
        <w:rPr>
          <w:rFonts w:hint="eastAsia" w:ascii="仿宋_GB2312" w:hAnsi="仿宋_GB2312" w:eastAsia="仿宋_GB2312" w:cs="仿宋_GB2312"/>
          <w:sz w:val="32"/>
          <w:szCs w:val="32"/>
        </w:rPr>
        <w:t>1002.86</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%。其中：</w:t>
      </w:r>
      <w:bookmarkEnd w:id="25"/>
      <w:bookmarkEnd w:id="26"/>
      <w:bookmarkEnd w:id="27"/>
    </w:p>
    <w:p w14:paraId="452B54AE">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.社会保障和就业</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43.97</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r>
        <w:rPr>
          <w:rFonts w:hint="eastAsia" w:eastAsia="仿宋_GB2312" w:cs="仿宋_GB2312"/>
          <w:color w:val="auto"/>
          <w:kern w:val="2"/>
          <w:sz w:val="32"/>
          <w:szCs w:val="32"/>
          <w:highlight w:val="none"/>
          <w:lang w:val="en-US" w:eastAsia="zh-CN" w:bidi="ar-SA"/>
        </w:rPr>
        <w:t>。</w:t>
      </w:r>
    </w:p>
    <w:p w14:paraId="6D00C78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eastAsia="仿宋_GB2312" w:cs="仿宋_GB2312"/>
          <w:color w:val="auto"/>
          <w:kern w:val="2"/>
          <w:sz w:val="32"/>
          <w:szCs w:val="32"/>
          <w:highlight w:val="none"/>
          <w:lang w:val="en-US" w:eastAsia="zh-CN" w:bidi="ar-SA"/>
        </w:rPr>
        <w:t>2</w:t>
      </w:r>
      <w:r>
        <w:rPr>
          <w:rFonts w:hint="eastAsia" w:ascii="Times New Roman" w:hAnsi="Times New Roman" w:eastAsia="仿宋_GB2312" w:cs="仿宋_GB2312"/>
          <w:color w:val="auto"/>
          <w:kern w:val="2"/>
          <w:sz w:val="32"/>
          <w:szCs w:val="32"/>
          <w:highlight w:val="none"/>
          <w:lang w:val="en-US" w:eastAsia="zh-CN" w:bidi="ar-SA"/>
        </w:rPr>
        <w:t>.卫生健康</w:t>
      </w:r>
      <w:r>
        <w:rPr>
          <w:rFonts w:hint="eastAsia"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支出决算为</w:t>
      </w:r>
      <w:r>
        <w:rPr>
          <w:rFonts w:hint="eastAsia" w:eastAsia="仿宋_GB2312" w:cs="仿宋_GB2312"/>
          <w:color w:val="auto"/>
          <w:kern w:val="2"/>
          <w:sz w:val="32"/>
          <w:szCs w:val="32"/>
          <w:highlight w:val="none"/>
          <w:lang w:val="en-US" w:eastAsia="zh-CN" w:bidi="ar-SA"/>
        </w:rPr>
        <w:t>938.58</w:t>
      </w:r>
      <w:r>
        <w:rPr>
          <w:rFonts w:hint="eastAsia" w:ascii="Times New Roman" w:hAnsi="Times New Roman" w:eastAsia="仿宋_GB2312" w:cs="仿宋_GB2312"/>
          <w:color w:val="auto"/>
          <w:kern w:val="2"/>
          <w:sz w:val="32"/>
          <w:szCs w:val="32"/>
          <w:highlight w:val="none"/>
          <w:lang w:val="en-US" w:eastAsia="zh-CN" w:bidi="ar-SA"/>
        </w:rPr>
        <w:t>万元，完成预算</w:t>
      </w:r>
      <w:r>
        <w:rPr>
          <w:rFonts w:hint="eastAsia" w:eastAsia="仿宋_GB2312" w:cs="仿宋_GB2312"/>
          <w:color w:val="auto"/>
          <w:kern w:val="2"/>
          <w:sz w:val="32"/>
          <w:szCs w:val="32"/>
          <w:highlight w:val="none"/>
          <w:lang w:val="en-US" w:eastAsia="zh-CN" w:bidi="ar-SA"/>
        </w:rPr>
        <w:t>100</w:t>
      </w:r>
      <w:r>
        <w:rPr>
          <w:rFonts w:hint="eastAsia" w:ascii="Times New Roman" w:hAnsi="Times New Roman" w:eastAsia="仿宋_GB2312" w:cs="仿宋_GB2312"/>
          <w:color w:val="auto"/>
          <w:kern w:val="2"/>
          <w:sz w:val="32"/>
          <w:szCs w:val="32"/>
          <w:highlight w:val="none"/>
          <w:lang w:val="en-US" w:eastAsia="zh-CN" w:bidi="ar-SA"/>
        </w:rPr>
        <w:t>%，</w:t>
      </w:r>
    </w:p>
    <w:p w14:paraId="3D2A1027">
      <w:pPr>
        <w:tabs>
          <w:tab w:val="right" w:pos="8306"/>
        </w:tabs>
        <w:spacing w:line="600" w:lineRule="exact"/>
        <w:ind w:firstLine="640"/>
        <w:outlineLvl w:val="1"/>
        <w:rPr>
          <w:rStyle w:val="30"/>
          <w:rFonts w:ascii="Times New Roman" w:hAnsi="Times New Roman"/>
          <w:color w:val="auto"/>
          <w:highlight w:val="none"/>
        </w:rPr>
      </w:pPr>
      <w:bookmarkStart w:id="28" w:name="_Toc15396608"/>
      <w:bookmarkStart w:id="29" w:name="_Toc15377214"/>
      <w:r>
        <w:rPr>
          <w:rFonts w:hint="eastAsia" w:ascii="Times New Roman" w:hAnsi="Times New Roman" w:eastAsia="黑体"/>
          <w:color w:val="auto"/>
          <w:sz w:val="32"/>
          <w:szCs w:val="32"/>
          <w:highlight w:val="none"/>
        </w:rPr>
        <w:t>六</w:t>
      </w:r>
      <w:r>
        <w:rPr>
          <w:rFonts w:hint="eastAsia" w:ascii="Times New Roman" w:hAnsi="Times New Roman" w:eastAsia="黑体"/>
          <w:b/>
          <w:color w:val="auto"/>
          <w:sz w:val="32"/>
          <w:szCs w:val="32"/>
          <w:highlight w:val="none"/>
        </w:rPr>
        <w:t>、一</w:t>
      </w:r>
      <w:r>
        <w:rPr>
          <w:rStyle w:val="30"/>
          <w:rFonts w:hint="eastAsia" w:ascii="Times New Roman" w:hAnsi="Times New Roman" w:eastAsia="黑体"/>
          <w:b w:val="0"/>
          <w:color w:val="auto"/>
          <w:highlight w:val="none"/>
        </w:rPr>
        <w:t>般公共预算财政拨款基本支出决算情况说明</w:t>
      </w:r>
      <w:bookmarkEnd w:id="28"/>
      <w:bookmarkEnd w:id="29"/>
      <w:r>
        <w:rPr>
          <w:rStyle w:val="30"/>
          <w:rFonts w:ascii="Times New Roman" w:hAnsi="Times New Roman" w:eastAsia="黑体"/>
          <w:b w:val="0"/>
          <w:color w:val="auto"/>
          <w:highlight w:val="none"/>
        </w:rPr>
        <w:tab/>
      </w:r>
    </w:p>
    <w:p w14:paraId="7430F87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2024年度一般公共预算财政拨款基本支出</w:t>
      </w:r>
      <w:r>
        <w:rPr>
          <w:rFonts w:hint="eastAsia" w:ascii="仿宋_GB2312" w:hAnsi="仿宋_GB2312" w:eastAsia="仿宋_GB2312" w:cs="仿宋_GB2312"/>
          <w:sz w:val="32"/>
          <w:szCs w:val="32"/>
        </w:rPr>
        <w:t>275.21</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元，其中：</w:t>
      </w:r>
    </w:p>
    <w:p w14:paraId="30AAFCD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人员经费</w:t>
      </w:r>
      <w:r>
        <w:rPr>
          <w:rFonts w:hint="eastAsia" w:ascii="仿宋_GB2312" w:hAnsi="仿宋_GB2312" w:eastAsia="仿宋_GB2312" w:cs="仿宋_GB2312"/>
          <w:sz w:val="32"/>
          <w:szCs w:val="32"/>
        </w:rPr>
        <w:t>262.95</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eastAsia" w:ascii="Times New Roman" w:hAnsi="Times New Roman" w:eastAsia="仿宋_GB2312" w:cs="仿宋_GB2312"/>
          <w:color w:val="auto"/>
          <w:kern w:val="2"/>
          <w:sz w:val="32"/>
          <w:szCs w:val="32"/>
          <w:highlight w:val="none"/>
          <w:lang w:val="en-US" w:eastAsia="zh-CN" w:bidi="ar-SA"/>
        </w:rPr>
        <w:br w:type="textWrapping"/>
      </w:r>
      <w:r>
        <w:rPr>
          <w:rFonts w:hint="eastAsia" w:ascii="Times New Roman" w:hAnsi="Times New Roman" w:eastAsia="仿宋_GB2312" w:cs="仿宋_GB2312"/>
          <w:color w:val="auto"/>
          <w:kern w:val="2"/>
          <w:sz w:val="32"/>
          <w:szCs w:val="32"/>
          <w:highlight w:val="none"/>
          <w:lang w:val="en-US" w:eastAsia="zh-CN" w:bidi="ar-SA"/>
        </w:rPr>
        <w:t>　　公用经费</w:t>
      </w:r>
      <w:r>
        <w:rPr>
          <w:rFonts w:hint="eastAsia" w:ascii="仿宋_GB2312" w:hAnsi="仿宋_GB2312" w:eastAsia="仿宋_GB2312" w:cs="仿宋_GB2312"/>
          <w:sz w:val="32"/>
          <w:szCs w:val="32"/>
        </w:rPr>
        <w:t>12.26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194A8AD">
      <w:pPr>
        <w:spacing w:line="600" w:lineRule="exact"/>
        <w:ind w:firstLine="640"/>
        <w:outlineLvl w:val="1"/>
        <w:rPr>
          <w:rStyle w:val="30"/>
          <w:rFonts w:ascii="Times New Roman" w:hAnsi="Times New Roman" w:eastAsia="黑体"/>
          <w:b w:val="0"/>
          <w:color w:val="auto"/>
          <w:highlight w:val="none"/>
        </w:rPr>
      </w:pPr>
      <w:bookmarkStart w:id="30" w:name="_Toc15377215"/>
      <w:bookmarkStart w:id="31" w:name="_Toc15396609"/>
      <w:r>
        <w:rPr>
          <w:rFonts w:hint="eastAsia" w:ascii="Times New Roman" w:hAnsi="Times New Roman" w:eastAsia="黑体"/>
          <w:color w:val="auto"/>
          <w:sz w:val="32"/>
          <w:szCs w:val="32"/>
          <w:highlight w:val="none"/>
        </w:rPr>
        <w:t>七、</w:t>
      </w:r>
      <w:r>
        <w:rPr>
          <w:rStyle w:val="30"/>
          <w:rFonts w:hint="eastAsia" w:ascii="Times New Roman" w:hAnsi="Times New Roman" w:eastAsia="黑体"/>
          <w:b w:val="0"/>
          <w:color w:val="auto"/>
          <w:highlight w:val="none"/>
        </w:rPr>
        <w:t>财政拨款</w:t>
      </w:r>
      <w:r>
        <w:rPr>
          <w:rStyle w:val="30"/>
          <w:rFonts w:hint="eastAsia" w:ascii="Times New Roman" w:hAnsi="Times New Roman" w:eastAsia="黑体"/>
          <w:color w:val="auto"/>
          <w:highlight w:val="none"/>
        </w:rPr>
        <w:t>“</w:t>
      </w:r>
      <w:r>
        <w:rPr>
          <w:rStyle w:val="30"/>
          <w:rFonts w:hint="eastAsia" w:ascii="Times New Roman" w:hAnsi="Times New Roman" w:eastAsia="黑体"/>
          <w:b w:val="0"/>
          <w:color w:val="auto"/>
          <w:highlight w:val="none"/>
        </w:rPr>
        <w:t>三公”经费支出决算情况说明</w:t>
      </w:r>
      <w:bookmarkEnd w:id="30"/>
      <w:bookmarkEnd w:id="31"/>
    </w:p>
    <w:p w14:paraId="55A9557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2" w:name="_Toc15377216"/>
      <w:r>
        <w:rPr>
          <w:rFonts w:hint="eastAsia" w:ascii="Times New Roman" w:hAnsi="Times New Roman" w:eastAsia="楷体_GB2312" w:cs="楷体_GB2312"/>
          <w:b/>
          <w:color w:val="auto"/>
          <w:sz w:val="32"/>
          <w:szCs w:val="32"/>
          <w:highlight w:val="none"/>
        </w:rPr>
        <w:t>（一）“三公”经费财政拨款支出决算总体情况说明</w:t>
      </w:r>
      <w:bookmarkEnd w:id="32"/>
    </w:p>
    <w:p w14:paraId="30ED7566">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2024年度“三公”经费财政拨款支出决算为</w:t>
      </w:r>
      <w:r>
        <w:rPr>
          <w:rFonts w:hint="eastAsia" w:ascii="仿宋_GB2312" w:hAnsi="仿宋_GB2312" w:eastAsia="仿宋_GB2312" w:cs="仿宋_GB2312"/>
          <w:sz w:val="32"/>
          <w:szCs w:val="32"/>
        </w:rPr>
        <w:t>1.75</w:t>
      </w:r>
      <w:r>
        <w:rPr>
          <w:rFonts w:hint="eastAsia" w:ascii="仿宋_GB2312" w:hAnsi="仿宋_GB2312" w:eastAsia="仿宋_GB2312" w:cs="仿宋_GB2312"/>
          <w:color w:val="auto"/>
          <w:kern w:val="2"/>
          <w:sz w:val="32"/>
          <w:szCs w:val="32"/>
          <w:highlight w:val="none"/>
          <w:lang w:val="en-US" w:eastAsia="zh-CN" w:bidi="ar-SA"/>
        </w:rPr>
        <w:t>万元，完成预算</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较上年度减少</w:t>
      </w:r>
      <w:r>
        <w:rPr>
          <w:rFonts w:hint="eastAsia" w:eastAsia="仿宋_GB2312" w:cs="仿宋_GB2312"/>
          <w:color w:val="auto"/>
          <w:kern w:val="2"/>
          <w:sz w:val="32"/>
          <w:szCs w:val="32"/>
          <w:highlight w:val="none"/>
          <w:lang w:val="en-US" w:eastAsia="zh-CN" w:bidi="ar-SA"/>
        </w:rPr>
        <w:t>0.01</w:t>
      </w:r>
      <w:r>
        <w:rPr>
          <w:rFonts w:hint="eastAsia" w:ascii="Times New Roman" w:hAnsi="Times New Roman" w:eastAsia="仿宋_GB2312" w:cs="仿宋_GB2312"/>
          <w:color w:val="auto"/>
          <w:kern w:val="2"/>
          <w:sz w:val="32"/>
          <w:szCs w:val="32"/>
          <w:highlight w:val="none"/>
          <w:lang w:val="en-US" w:eastAsia="zh-CN" w:bidi="ar-SA"/>
        </w:rPr>
        <w:t>万元，增长/下降</w:t>
      </w:r>
      <w:r>
        <w:rPr>
          <w:rFonts w:hint="eastAsia" w:eastAsia="仿宋_GB2312" w:cs="仿宋_GB2312"/>
          <w:color w:val="auto"/>
          <w:kern w:val="2"/>
          <w:sz w:val="32"/>
          <w:szCs w:val="32"/>
          <w:highlight w:val="none"/>
          <w:lang w:val="en-US" w:eastAsia="zh-CN" w:bidi="ar-SA"/>
        </w:rPr>
        <w:t>0.5</w:t>
      </w:r>
      <w:r>
        <w:rPr>
          <w:rFonts w:hint="eastAsia" w:ascii="Times New Roman" w:hAnsi="Times New Roman" w:eastAsia="仿宋_GB2312" w:cs="仿宋_GB2312"/>
          <w:color w:val="auto"/>
          <w:kern w:val="2"/>
          <w:sz w:val="32"/>
          <w:szCs w:val="32"/>
          <w:highlight w:val="none"/>
          <w:lang w:val="en-US" w:eastAsia="zh-CN" w:bidi="ar-SA"/>
        </w:rPr>
        <w:t>%。</w:t>
      </w:r>
    </w:p>
    <w:p w14:paraId="001D7D09">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33" w:name="_Toc15377217"/>
      <w:r>
        <w:rPr>
          <w:rFonts w:hint="eastAsia" w:ascii="Times New Roman" w:hAnsi="Times New Roman" w:eastAsia="楷体_GB2312" w:cs="楷体_GB2312"/>
          <w:b/>
          <w:color w:val="auto"/>
          <w:sz w:val="32"/>
          <w:szCs w:val="32"/>
          <w:highlight w:val="none"/>
        </w:rPr>
        <w:t>（二）“三公”经费财政拨款支出决算具体情况说明</w:t>
      </w:r>
      <w:bookmarkEnd w:id="33"/>
    </w:p>
    <w:p w14:paraId="2C88B811">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2024年度“三公”经费财政拨款支出决算中，因公出国（境）费支出决算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万元，占0%；公务用车购置及运行维护费支出决算</w:t>
      </w:r>
      <w:r>
        <w:rPr>
          <w:rFonts w:hint="eastAsia" w:ascii="仿宋_GB2312" w:hAnsi="仿宋_GB2312" w:eastAsia="仿宋_GB2312" w:cs="仿宋_GB2312"/>
          <w:sz w:val="32"/>
          <w:szCs w:val="32"/>
        </w:rPr>
        <w:t>1.75</w:t>
      </w:r>
      <w:r>
        <w:rPr>
          <w:rFonts w:hint="eastAsia" w:ascii="仿宋_GB2312" w:hAnsi="仿宋_GB2312" w:eastAsia="仿宋_GB2312" w:cs="仿宋_GB2312"/>
          <w:color w:val="auto"/>
          <w:kern w:val="2"/>
          <w:sz w:val="32"/>
          <w:szCs w:val="32"/>
          <w:highlight w:val="none"/>
          <w:lang w:val="en-US" w:eastAsia="zh-CN" w:bidi="ar-SA"/>
        </w:rPr>
        <w:t>万元，占100%；公务接待费支出决算</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万元，占0%。具体情况如下：</w:t>
      </w:r>
    </w:p>
    <w:p w14:paraId="3EE3DF2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1.因公出国（境）经费支出</w:t>
      </w:r>
      <w:r>
        <w:rPr>
          <w:rFonts w:hint="eastAsia" w:eastAsia="仿宋_GB2312" w:cs="仿宋_GB2312"/>
          <w:b/>
          <w:bCs/>
          <w:color w:val="auto"/>
          <w:kern w:val="2"/>
          <w:sz w:val="32"/>
          <w:szCs w:val="32"/>
          <w:highlight w:val="none"/>
          <w:lang w:val="en-US" w:eastAsia="zh-CN" w:bidi="ar-SA"/>
        </w:rPr>
        <w:t>0</w:t>
      </w:r>
      <w:r>
        <w:rPr>
          <w:rFonts w:hint="eastAsia" w:ascii="Times New Roman" w:hAnsi="Times New Roman" w:eastAsia="仿宋_GB2312" w:cs="仿宋_GB2312"/>
          <w:b/>
          <w:bCs/>
          <w:color w:val="auto"/>
          <w:kern w:val="2"/>
          <w:sz w:val="32"/>
          <w:szCs w:val="32"/>
          <w:highlight w:val="none"/>
          <w:lang w:val="en-US" w:eastAsia="zh-CN" w:bidi="ar-SA"/>
        </w:rPr>
        <w:t>万元</w:t>
      </w:r>
      <w:r>
        <w:rPr>
          <w:rFonts w:hint="eastAsia" w:eastAsia="仿宋_GB2312" w:cs="仿宋_GB2312"/>
          <w:b/>
          <w:bCs/>
          <w:color w:val="auto"/>
          <w:kern w:val="2"/>
          <w:sz w:val="32"/>
          <w:szCs w:val="32"/>
          <w:highlight w:val="none"/>
          <w:lang w:val="en-US" w:eastAsia="zh-CN" w:bidi="ar-SA"/>
        </w:rPr>
        <w:t>。</w:t>
      </w:r>
    </w:p>
    <w:p w14:paraId="00B75F28">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2.公务用车购置及运行维护费支出</w:t>
      </w:r>
      <w:r>
        <w:rPr>
          <w:rFonts w:hint="eastAsia" w:ascii="仿宋_GB2312" w:hAnsi="仿宋_GB2312" w:eastAsia="仿宋_GB2312" w:cs="仿宋_GB2312"/>
          <w:b/>
          <w:bCs/>
          <w:color w:val="auto"/>
          <w:kern w:val="2"/>
          <w:sz w:val="32"/>
          <w:szCs w:val="32"/>
          <w:highlight w:val="none"/>
          <w:lang w:val="en-US" w:eastAsia="zh-CN" w:bidi="ar-SA"/>
        </w:rPr>
        <w:t>1.75万</w:t>
      </w:r>
      <w:r>
        <w:rPr>
          <w:rFonts w:hint="eastAsia" w:ascii="Times New Roman" w:hAnsi="Times New Roman" w:eastAsia="仿宋_GB2312" w:cs="仿宋_GB2312"/>
          <w:b/>
          <w:bCs/>
          <w:color w:val="auto"/>
          <w:kern w:val="2"/>
          <w:sz w:val="32"/>
          <w:szCs w:val="32"/>
          <w:highlight w:val="none"/>
          <w:lang w:val="en-US" w:eastAsia="zh-CN" w:bidi="ar-SA"/>
        </w:rPr>
        <w:t>元</w:t>
      </w:r>
      <w:r>
        <w:rPr>
          <w:rFonts w:hint="eastAsia"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b/>
          <w:bCs/>
          <w:color w:val="auto"/>
          <w:kern w:val="2"/>
          <w:sz w:val="32"/>
          <w:szCs w:val="32"/>
          <w:highlight w:val="none"/>
          <w:lang w:val="en-US" w:eastAsia="zh-CN" w:bidi="ar-SA"/>
        </w:rPr>
        <w:t>完成预算</w:t>
      </w:r>
      <w:r>
        <w:rPr>
          <w:rFonts w:hint="eastAsia" w:eastAsia="仿宋_GB2312" w:cs="仿宋_GB2312"/>
          <w:b/>
          <w:bCs/>
          <w:color w:val="auto"/>
          <w:kern w:val="2"/>
          <w:sz w:val="32"/>
          <w:szCs w:val="32"/>
          <w:highlight w:val="none"/>
          <w:lang w:val="en-US" w:eastAsia="zh-CN" w:bidi="ar-SA"/>
        </w:rPr>
        <w:t>100</w:t>
      </w:r>
      <w:r>
        <w:rPr>
          <w:rFonts w:hint="eastAsia" w:ascii="Times New Roman" w:hAnsi="Times New Roman" w:eastAsia="仿宋_GB2312" w:cs="仿宋_GB2312"/>
          <w:b/>
          <w:bCs/>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其中：公务用车购置支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0</w:t>
      </w:r>
      <w:r>
        <w:rPr>
          <w:rFonts w:hint="eastAsia" w:ascii="Times New Roman" w:hAnsi="Times New Roman" w:eastAsia="仿宋_GB2312" w:cs="仿宋_GB2312"/>
          <w:color w:val="auto"/>
          <w:kern w:val="2"/>
          <w:sz w:val="32"/>
          <w:szCs w:val="32"/>
          <w:highlight w:val="none"/>
          <w:lang w:val="en-US" w:eastAsia="zh-CN" w:bidi="ar-SA"/>
        </w:rPr>
        <w:t>万元。截至2024年12月31日，单位共有公务用车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辆，其中：越野车</w:t>
      </w:r>
      <w:r>
        <w:rPr>
          <w:rFonts w:hint="eastAsia" w:eastAsia="仿宋_GB2312" w:cs="仿宋_GB2312"/>
          <w:color w:val="auto"/>
          <w:kern w:val="2"/>
          <w:sz w:val="32"/>
          <w:szCs w:val="32"/>
          <w:highlight w:val="none"/>
          <w:lang w:val="en-US" w:eastAsia="zh-CN" w:bidi="ar-SA"/>
        </w:rPr>
        <w:t>1</w:t>
      </w:r>
      <w:r>
        <w:rPr>
          <w:rFonts w:hint="eastAsia" w:ascii="Times New Roman" w:hAnsi="Times New Roman" w:eastAsia="仿宋_GB2312" w:cs="仿宋_GB2312"/>
          <w:color w:val="auto"/>
          <w:kern w:val="2"/>
          <w:sz w:val="32"/>
          <w:szCs w:val="32"/>
          <w:highlight w:val="none"/>
          <w:lang w:val="en-US" w:eastAsia="zh-CN" w:bidi="ar-SA"/>
        </w:rPr>
        <w:t>辆。</w:t>
      </w:r>
    </w:p>
    <w:p w14:paraId="6C62DA9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公务用车运行维护费支</w:t>
      </w:r>
      <w:r>
        <w:rPr>
          <w:rFonts w:hint="eastAsia" w:ascii="仿宋_GB2312" w:hAnsi="仿宋_GB2312" w:eastAsia="仿宋_GB2312" w:cs="仿宋_GB2312"/>
          <w:color w:val="auto"/>
          <w:kern w:val="2"/>
          <w:sz w:val="32"/>
          <w:szCs w:val="32"/>
          <w:highlight w:val="none"/>
          <w:lang w:val="en-US" w:eastAsia="zh-CN" w:bidi="ar-SA"/>
        </w:rPr>
        <w:t>出</w:t>
      </w:r>
      <w:r>
        <w:rPr>
          <w:rFonts w:hint="eastAsia" w:ascii="仿宋_GB2312" w:hAnsi="仿宋_GB2312" w:eastAsia="仿宋_GB2312" w:cs="仿宋_GB2312"/>
          <w:sz w:val="32"/>
          <w:szCs w:val="32"/>
        </w:rPr>
        <w:t>1.75</w:t>
      </w:r>
      <w:r>
        <w:rPr>
          <w:rFonts w:hint="eastAsia" w:ascii="Times New Roman" w:hAnsi="Times New Roman" w:eastAsia="仿宋_GB2312" w:cs="仿宋_GB2312"/>
          <w:color w:val="auto"/>
          <w:kern w:val="2"/>
          <w:sz w:val="32"/>
          <w:szCs w:val="32"/>
          <w:highlight w:val="none"/>
          <w:lang w:val="en-US" w:eastAsia="zh-CN" w:bidi="ar-SA"/>
        </w:rPr>
        <w:t>万元。主要用于所需的公务用车燃料费、维修费、过路过桥费、保险费等支出。</w:t>
      </w:r>
    </w:p>
    <w:p w14:paraId="48787321">
      <w:pPr>
        <w:numPr>
          <w:ilvl w:val="0"/>
          <w:numId w:val="2"/>
        </w:numPr>
        <w:spacing w:line="600" w:lineRule="exact"/>
        <w:ind w:firstLine="640"/>
        <w:outlineLvl w:val="1"/>
        <w:rPr>
          <w:rFonts w:hint="eastAsia" w:ascii="Times New Roman" w:hAnsi="Times New Roman" w:eastAsia="仿宋_GB2312" w:cs="仿宋_GB2312"/>
          <w:b/>
          <w:bCs/>
          <w:color w:val="auto"/>
          <w:kern w:val="2"/>
          <w:sz w:val="32"/>
          <w:szCs w:val="32"/>
          <w:highlight w:val="none"/>
          <w:lang w:val="en-US" w:eastAsia="zh-CN" w:bidi="ar-SA"/>
        </w:rPr>
      </w:pPr>
      <w:r>
        <w:rPr>
          <w:rFonts w:hint="eastAsia" w:ascii="Times New Roman" w:hAnsi="Times New Roman" w:eastAsia="仿宋_GB2312" w:cs="仿宋_GB2312"/>
          <w:b/>
          <w:bCs/>
          <w:color w:val="auto"/>
          <w:kern w:val="2"/>
          <w:sz w:val="32"/>
          <w:szCs w:val="32"/>
          <w:highlight w:val="none"/>
          <w:lang w:val="en-US" w:eastAsia="zh-CN" w:bidi="ar-SA"/>
        </w:rPr>
        <w:t>公务接待费支出</w:t>
      </w:r>
      <w:r>
        <w:rPr>
          <w:rFonts w:hint="eastAsia" w:ascii="仿宋_GB2312" w:hAnsi="仿宋_GB2312" w:eastAsia="仿宋_GB2312" w:cs="仿宋_GB2312"/>
          <w:b/>
          <w:bCs/>
          <w:color w:val="auto"/>
          <w:kern w:val="2"/>
          <w:sz w:val="32"/>
          <w:szCs w:val="32"/>
          <w:highlight w:val="none"/>
          <w:lang w:val="en-US" w:eastAsia="zh-CN" w:bidi="ar-SA"/>
        </w:rPr>
        <w:t>0万</w:t>
      </w:r>
      <w:r>
        <w:rPr>
          <w:rFonts w:hint="eastAsia" w:ascii="Times New Roman" w:hAnsi="Times New Roman" w:eastAsia="仿宋_GB2312" w:cs="仿宋_GB2312"/>
          <w:b/>
          <w:bCs/>
          <w:color w:val="auto"/>
          <w:kern w:val="2"/>
          <w:sz w:val="32"/>
          <w:szCs w:val="32"/>
          <w:highlight w:val="none"/>
          <w:lang w:val="en-US" w:eastAsia="zh-CN" w:bidi="ar-SA"/>
        </w:rPr>
        <w:t>元，</w:t>
      </w:r>
      <w:bookmarkStart w:id="34" w:name="_Toc15396610"/>
      <w:bookmarkStart w:id="35" w:name="_Toc15377218"/>
    </w:p>
    <w:p w14:paraId="53F41ADE">
      <w:pPr>
        <w:numPr>
          <w:ilvl w:val="0"/>
          <w:numId w:val="2"/>
        </w:numPr>
        <w:spacing w:line="600" w:lineRule="exact"/>
        <w:ind w:firstLine="640"/>
        <w:outlineLvl w:val="1"/>
        <w:rPr>
          <w:rStyle w:val="30"/>
          <w:rFonts w:ascii="Times New Roman" w:hAnsi="Times New Roman" w:eastAsia="黑体"/>
          <w:color w:val="auto"/>
          <w:highlight w:val="none"/>
        </w:rPr>
      </w:pPr>
      <w:r>
        <w:rPr>
          <w:rFonts w:hint="eastAsia" w:ascii="Times New Roman" w:hAnsi="Times New Roman" w:eastAsia="黑体"/>
          <w:color w:val="auto"/>
          <w:sz w:val="32"/>
          <w:szCs w:val="32"/>
          <w:highlight w:val="none"/>
        </w:rPr>
        <w:t>八、</w:t>
      </w:r>
      <w:r>
        <w:rPr>
          <w:rStyle w:val="30"/>
          <w:rFonts w:hint="eastAsia" w:ascii="Times New Roman" w:hAnsi="Times New Roman" w:eastAsia="黑体"/>
          <w:b w:val="0"/>
          <w:color w:val="auto"/>
          <w:highlight w:val="none"/>
        </w:rPr>
        <w:t>政府性基金预算支出决算情况说明</w:t>
      </w:r>
      <w:bookmarkEnd w:id="34"/>
      <w:bookmarkEnd w:id="35"/>
    </w:p>
    <w:p w14:paraId="4CBE57B8">
      <w:pPr>
        <w:numPr>
          <w:ilvl w:val="0"/>
          <w:numId w:val="0"/>
        </w:numPr>
        <w:spacing w:line="600" w:lineRule="exact"/>
        <w:ind w:left="630" w:leftChars="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2024年度政府性基金预算财政拨款支出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bookmarkStart w:id="36" w:name="_Toc15377219"/>
      <w:bookmarkStart w:id="37" w:name="_Toc15396611"/>
    </w:p>
    <w:p w14:paraId="71AD7A29">
      <w:pPr>
        <w:numPr>
          <w:ilvl w:val="0"/>
          <w:numId w:val="0"/>
        </w:numPr>
        <w:spacing w:line="600" w:lineRule="exact"/>
        <w:ind w:left="630" w:leftChars="0"/>
        <w:outlineLvl w:val="1"/>
        <w:rPr>
          <w:rStyle w:val="30"/>
          <w:rFonts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九、</w:t>
      </w:r>
      <w:r>
        <w:rPr>
          <w:rStyle w:val="30"/>
          <w:rFonts w:hint="eastAsia" w:ascii="Times New Roman" w:hAnsi="Times New Roman" w:eastAsia="黑体"/>
          <w:b w:val="0"/>
          <w:color w:val="auto"/>
          <w:highlight w:val="none"/>
        </w:rPr>
        <w:t>国有资本经营预算支出决算情况说明</w:t>
      </w:r>
      <w:bookmarkEnd w:id="36"/>
      <w:bookmarkEnd w:id="37"/>
    </w:p>
    <w:p w14:paraId="024D15C9">
      <w:pPr>
        <w:numPr>
          <w:ilvl w:val="0"/>
          <w:numId w:val="0"/>
        </w:numPr>
        <w:spacing w:line="600" w:lineRule="exact"/>
        <w:ind w:left="630" w:leftChars="0"/>
        <w:outlineLvl w:val="1"/>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2024年度国有资本经营预算财政拨款支出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万元，占本年支出合计的</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w:t>
      </w:r>
      <w:r>
        <w:rPr>
          <w:rFonts w:hint="eastAsia" w:ascii="Times New Roman" w:hAnsi="Times New Roman" w:eastAsia="仿宋_GB2312" w:cs="仿宋_GB2312"/>
          <w:color w:val="auto"/>
          <w:kern w:val="2"/>
          <w:sz w:val="32"/>
          <w:szCs w:val="32"/>
          <w:highlight w:val="none"/>
          <w:lang w:val="en-US" w:eastAsia="zh-CN" w:bidi="ar-SA"/>
        </w:rPr>
        <w:t>。</w:t>
      </w:r>
      <w:bookmarkStart w:id="38" w:name="_Toc15396612"/>
      <w:bookmarkStart w:id="39" w:name="_Toc15377221"/>
    </w:p>
    <w:p w14:paraId="53C8DBD3">
      <w:pPr>
        <w:numPr>
          <w:ilvl w:val="0"/>
          <w:numId w:val="0"/>
        </w:numPr>
        <w:spacing w:line="600" w:lineRule="exact"/>
        <w:ind w:left="630" w:leftChars="0"/>
        <w:outlineLvl w:val="1"/>
        <w:rPr>
          <w:rStyle w:val="30"/>
          <w:rFonts w:hint="eastAsia" w:ascii="Times New Roman" w:hAnsi="Times New Roman" w:eastAsia="黑体"/>
          <w:b w:val="0"/>
          <w:color w:val="auto"/>
          <w:highlight w:val="none"/>
        </w:rPr>
      </w:pPr>
      <w:r>
        <w:rPr>
          <w:rStyle w:val="30"/>
          <w:rFonts w:hint="eastAsia" w:ascii="Times New Roman" w:hAnsi="Times New Roman" w:eastAsia="黑体"/>
          <w:b w:val="0"/>
          <w:color w:val="auto"/>
          <w:highlight w:val="none"/>
          <w:lang w:eastAsia="zh-CN"/>
        </w:rPr>
        <w:t>十、</w:t>
      </w:r>
      <w:r>
        <w:rPr>
          <w:rStyle w:val="30"/>
          <w:rFonts w:hint="eastAsia" w:ascii="Times New Roman" w:hAnsi="Times New Roman" w:eastAsia="黑体"/>
          <w:b w:val="0"/>
          <w:color w:val="auto"/>
          <w:highlight w:val="none"/>
        </w:rPr>
        <w:t>其他重要事项的情况说明</w:t>
      </w:r>
      <w:bookmarkEnd w:id="38"/>
      <w:bookmarkEnd w:id="39"/>
    </w:p>
    <w:p w14:paraId="78A4FB9F">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0" w:name="_Toc15377222"/>
      <w:r>
        <w:rPr>
          <w:rFonts w:hint="eastAsia" w:ascii="Times New Roman" w:hAnsi="Times New Roman" w:eastAsia="楷体_GB2312" w:cs="楷体_GB2312"/>
          <w:b/>
          <w:color w:val="auto"/>
          <w:sz w:val="32"/>
          <w:szCs w:val="32"/>
          <w:highlight w:val="none"/>
        </w:rPr>
        <w:t>（一）机关运行经费支出情况</w:t>
      </w:r>
      <w:bookmarkEnd w:id="40"/>
    </w:p>
    <w:p w14:paraId="66669FE0">
      <w:pPr>
        <w:spacing w:line="600" w:lineRule="exact"/>
        <w:ind w:firstLine="640" w:firstLineChars="200"/>
        <w:outlineLvl w:val="2"/>
        <w:rPr>
          <w:rFonts w:hint="eastAsia" w:ascii="Times New Roman" w:hAnsi="Times New Roman" w:eastAsia="仿宋_GB2312" w:cs="仿宋_GB2312"/>
          <w:color w:val="auto"/>
          <w:kern w:val="2"/>
          <w:sz w:val="32"/>
          <w:szCs w:val="32"/>
          <w:highlight w:val="none"/>
          <w:lang w:val="en-US" w:eastAsia="zh-CN" w:bidi="ar-SA"/>
        </w:rPr>
      </w:pPr>
      <w:r>
        <w:rPr>
          <w:rFonts w:hint="eastAsia" w:ascii="Times New Roman" w:hAnsi="Times New Roman"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color w:val="auto"/>
          <w:kern w:val="2"/>
          <w:sz w:val="32"/>
          <w:szCs w:val="32"/>
          <w:highlight w:val="none"/>
          <w:lang w:val="en-US" w:eastAsia="zh-CN" w:bidi="ar-SA"/>
        </w:rPr>
        <w:t>，</w:t>
      </w:r>
      <w:r>
        <w:rPr>
          <w:rFonts w:hint="eastAsia" w:ascii="仿宋_GB2312" w:hAnsi="仿宋_GB2312" w:eastAsia="仿宋_GB2312" w:cs="仿宋_GB2312"/>
          <w:sz w:val="32"/>
          <w:szCs w:val="32"/>
        </w:rPr>
        <w:t>松潘县医疗保障局（本级）</w:t>
      </w:r>
      <w:r>
        <w:rPr>
          <w:rFonts w:hint="eastAsia" w:ascii="仿宋_GB2312" w:hAnsi="仿宋_GB2312" w:eastAsia="仿宋_GB2312" w:cs="仿宋_GB2312"/>
          <w:color w:val="auto"/>
          <w:kern w:val="2"/>
          <w:sz w:val="32"/>
          <w:szCs w:val="32"/>
          <w:highlight w:val="none"/>
          <w:lang w:val="en-US" w:eastAsia="zh-CN" w:bidi="ar-SA"/>
        </w:rPr>
        <w:t>机关运行经费支出</w:t>
      </w:r>
      <w:r>
        <w:rPr>
          <w:rFonts w:hint="eastAsia" w:ascii="仿宋_GB2312" w:hAnsi="仿宋_GB2312" w:eastAsia="仿宋_GB2312" w:cs="仿宋_GB2312"/>
          <w:sz w:val="32"/>
          <w:szCs w:val="32"/>
        </w:rPr>
        <w:t>12.26</w:t>
      </w:r>
      <w:r>
        <w:rPr>
          <w:rFonts w:hint="eastAsia" w:ascii="仿宋_GB2312" w:hAnsi="仿宋_GB2312" w:eastAsia="仿宋_GB2312" w:cs="仿宋_GB2312"/>
          <w:color w:val="auto"/>
          <w:kern w:val="2"/>
          <w:sz w:val="32"/>
          <w:szCs w:val="32"/>
          <w:highlight w:val="none"/>
          <w:lang w:val="en-US" w:eastAsia="zh-CN" w:bidi="ar-SA"/>
        </w:rPr>
        <w:t>万</w:t>
      </w:r>
      <w:r>
        <w:rPr>
          <w:rFonts w:hint="eastAsia" w:ascii="Times New Roman" w:hAnsi="Times New Roman" w:eastAsia="仿宋_GB2312" w:cs="仿宋_GB2312"/>
          <w:color w:val="auto"/>
          <w:kern w:val="2"/>
          <w:sz w:val="32"/>
          <w:szCs w:val="32"/>
          <w:highlight w:val="none"/>
          <w:lang w:val="en-US" w:eastAsia="zh-CN" w:bidi="ar-SA"/>
        </w:rPr>
        <w:t>元，比2023年度增加</w:t>
      </w:r>
      <w:r>
        <w:rPr>
          <w:rFonts w:hint="eastAsia" w:eastAsia="仿宋_GB2312" w:cs="仿宋_GB2312"/>
          <w:color w:val="auto"/>
          <w:kern w:val="2"/>
          <w:sz w:val="32"/>
          <w:szCs w:val="32"/>
          <w:highlight w:val="none"/>
          <w:lang w:val="en-US" w:eastAsia="zh-CN" w:bidi="ar-SA"/>
        </w:rPr>
        <w:t>0.11</w:t>
      </w:r>
      <w:r>
        <w:rPr>
          <w:rFonts w:hint="eastAsia" w:ascii="Times New Roman" w:hAnsi="Times New Roman" w:eastAsia="仿宋_GB2312" w:cs="仿宋_GB2312"/>
          <w:color w:val="auto"/>
          <w:kern w:val="2"/>
          <w:sz w:val="32"/>
          <w:szCs w:val="32"/>
          <w:highlight w:val="none"/>
          <w:lang w:val="en-US" w:eastAsia="zh-CN" w:bidi="ar-SA"/>
        </w:rPr>
        <w:t>万元，增长</w:t>
      </w:r>
      <w:r>
        <w:rPr>
          <w:rFonts w:hint="eastAsia" w:eastAsia="仿宋_GB2312" w:cs="仿宋_GB2312"/>
          <w:color w:val="auto"/>
          <w:kern w:val="2"/>
          <w:sz w:val="32"/>
          <w:szCs w:val="32"/>
          <w:highlight w:val="none"/>
          <w:lang w:val="en-US" w:eastAsia="zh-CN" w:bidi="ar-SA"/>
        </w:rPr>
        <w:t>0.9%</w:t>
      </w:r>
      <w:r>
        <w:rPr>
          <w:rFonts w:hint="eastAsia" w:ascii="Times New Roman" w:hAnsi="Times New Roman" w:eastAsia="仿宋_GB2312" w:cs="仿宋_GB2312"/>
          <w:color w:val="auto"/>
          <w:kern w:val="2"/>
          <w:sz w:val="32"/>
          <w:szCs w:val="32"/>
          <w:highlight w:val="none"/>
          <w:lang w:val="en-US" w:eastAsia="zh-CN" w:bidi="ar-SA"/>
        </w:rPr>
        <w:t>。</w:t>
      </w:r>
      <w:bookmarkStart w:id="41" w:name="_Toc15377223"/>
    </w:p>
    <w:p w14:paraId="1DFF7646">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r>
        <w:rPr>
          <w:rFonts w:hint="eastAsia" w:ascii="Times New Roman" w:hAnsi="Times New Roman" w:eastAsia="楷体_GB2312" w:cs="楷体_GB2312"/>
          <w:b/>
          <w:color w:val="auto"/>
          <w:sz w:val="32"/>
          <w:szCs w:val="32"/>
          <w:highlight w:val="none"/>
        </w:rPr>
        <w:t>（二）政府采购支出情况</w:t>
      </w:r>
      <w:bookmarkEnd w:id="41"/>
    </w:p>
    <w:p w14:paraId="4B3204E4">
      <w:pPr>
        <w:spacing w:line="600" w:lineRule="exact"/>
        <w:ind w:firstLine="640"/>
        <w:rPr>
          <w:rFonts w:hint="eastAsia" w:ascii="仿宋_GB2312" w:hAnsi="仿宋_GB2312"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2024年度，</w:t>
      </w:r>
      <w:r>
        <w:rPr>
          <w:rFonts w:hint="eastAsia" w:ascii="仿宋_GB2312" w:hAnsi="仿宋_GB2312" w:eastAsia="仿宋_GB2312" w:cs="仿宋_GB2312"/>
          <w:sz w:val="32"/>
          <w:szCs w:val="32"/>
        </w:rPr>
        <w:t>松潘县医疗保障局（本级）</w:t>
      </w:r>
      <w:r>
        <w:rPr>
          <w:rFonts w:hint="eastAsia" w:ascii="仿宋_GB2312" w:hAnsi="仿宋_GB2312" w:eastAsia="仿宋_GB2312" w:cs="仿宋_GB2312"/>
          <w:color w:val="auto"/>
          <w:kern w:val="2"/>
          <w:sz w:val="32"/>
          <w:szCs w:val="32"/>
          <w:highlight w:val="none"/>
          <w:lang w:val="en-US" w:eastAsia="zh-CN" w:bidi="ar-SA"/>
        </w:rPr>
        <w:t>政府采购支出总额</w:t>
      </w:r>
      <w:r>
        <w:rPr>
          <w:rFonts w:hint="eastAsia" w:ascii="仿宋_GB2312" w:hAnsi="仿宋_GB2312" w:eastAsia="仿宋_GB2312" w:cs="仿宋_GB2312"/>
          <w:sz w:val="32"/>
          <w:szCs w:val="32"/>
        </w:rPr>
        <w:t>8.17</w:t>
      </w:r>
      <w:r>
        <w:rPr>
          <w:rFonts w:hint="eastAsia" w:ascii="仿宋_GB2312" w:hAnsi="仿宋_GB2312" w:eastAsia="仿宋_GB2312" w:cs="仿宋_GB2312"/>
          <w:color w:val="auto"/>
          <w:kern w:val="2"/>
          <w:sz w:val="32"/>
          <w:szCs w:val="32"/>
          <w:highlight w:val="none"/>
          <w:lang w:val="en-US" w:eastAsia="zh-CN" w:bidi="ar-SA"/>
        </w:rPr>
        <w:t>万元，其中：政府采购货物支出</w:t>
      </w:r>
      <w:r>
        <w:rPr>
          <w:rFonts w:hint="eastAsia" w:ascii="仿宋_GB2312" w:hAnsi="仿宋_GB2312" w:eastAsia="仿宋_GB2312" w:cs="仿宋_GB2312"/>
          <w:sz w:val="32"/>
          <w:szCs w:val="32"/>
        </w:rPr>
        <w:t>8.17</w:t>
      </w:r>
      <w:r>
        <w:rPr>
          <w:rFonts w:hint="eastAsia" w:ascii="仿宋_GB2312" w:hAnsi="仿宋_GB2312" w:eastAsia="仿宋_GB2312" w:cs="仿宋_GB2312"/>
          <w:color w:val="auto"/>
          <w:kern w:val="2"/>
          <w:sz w:val="32"/>
          <w:szCs w:val="32"/>
          <w:highlight w:val="none"/>
          <w:lang w:val="en-US" w:eastAsia="zh-CN" w:bidi="ar-SA"/>
        </w:rPr>
        <w:t>万元、政府采购工程支出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万元、政府采购服务支出</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万元。主要用于办公用品购置。授予中小企业合同金额</w:t>
      </w:r>
      <w:r>
        <w:rPr>
          <w:rFonts w:hint="eastAsia" w:ascii="仿宋_GB2312" w:hAnsi="仿宋_GB2312" w:eastAsia="仿宋_GB2312" w:cs="仿宋_GB2312"/>
          <w:sz w:val="32"/>
          <w:szCs w:val="32"/>
        </w:rPr>
        <w:t>8.17</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%，其中：授予小微企业合同金额</w:t>
      </w:r>
      <w:r>
        <w:rPr>
          <w:rFonts w:hint="eastAsia" w:ascii="仿宋_GB2312" w:hAnsi="仿宋_GB2312" w:eastAsia="仿宋_GB2312" w:cs="仿宋_GB2312"/>
          <w:sz w:val="32"/>
          <w:szCs w:val="32"/>
        </w:rPr>
        <w:t>8.17</w:t>
      </w:r>
      <w:r>
        <w:rPr>
          <w:rFonts w:hint="eastAsia" w:ascii="仿宋_GB2312" w:hAnsi="仿宋_GB2312" w:eastAsia="仿宋_GB2312" w:cs="仿宋_GB2312"/>
          <w:color w:val="auto"/>
          <w:kern w:val="2"/>
          <w:sz w:val="32"/>
          <w:szCs w:val="32"/>
          <w:highlight w:val="none"/>
          <w:lang w:val="en-US" w:eastAsia="zh-CN" w:bidi="ar-SA"/>
        </w:rPr>
        <w:t>万元，占政府采购支出总额的</w:t>
      </w:r>
      <w:r>
        <w:rPr>
          <w:rFonts w:hint="eastAsia" w:ascii="仿宋_GB2312" w:hAnsi="仿宋_GB2312" w:eastAsia="仿宋_GB2312" w:cs="仿宋_GB2312"/>
          <w:sz w:val="32"/>
          <w:szCs w:val="32"/>
        </w:rPr>
        <w:t>100</w:t>
      </w:r>
      <w:r>
        <w:rPr>
          <w:rFonts w:hint="eastAsia" w:ascii="仿宋_GB2312" w:hAnsi="仿宋_GB2312" w:eastAsia="仿宋_GB2312" w:cs="仿宋_GB2312"/>
          <w:color w:val="auto"/>
          <w:kern w:val="2"/>
          <w:sz w:val="32"/>
          <w:szCs w:val="32"/>
          <w:highlight w:val="none"/>
          <w:lang w:val="en-US" w:eastAsia="zh-CN" w:bidi="ar-SA"/>
        </w:rPr>
        <w:t>%。</w:t>
      </w:r>
    </w:p>
    <w:p w14:paraId="2167E47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32CDAF4">
      <w:pPr>
        <w:spacing w:line="600" w:lineRule="exact"/>
        <w:ind w:firstLine="643" w:firstLineChars="200"/>
        <w:outlineLvl w:val="2"/>
        <w:rPr>
          <w:rFonts w:hint="eastAsia" w:ascii="Times New Roman" w:hAnsi="Times New Roman" w:eastAsia="楷体_GB2312" w:cs="楷体_GB2312"/>
          <w:b/>
          <w:color w:val="auto"/>
          <w:sz w:val="32"/>
          <w:szCs w:val="32"/>
          <w:highlight w:val="none"/>
        </w:rPr>
      </w:pPr>
      <w:bookmarkStart w:id="42" w:name="_Toc15377224"/>
      <w:r>
        <w:rPr>
          <w:rFonts w:hint="eastAsia" w:ascii="Times New Roman" w:hAnsi="Times New Roman" w:eastAsia="楷体_GB2312" w:cs="楷体_GB2312"/>
          <w:b/>
          <w:color w:val="auto"/>
          <w:sz w:val="32"/>
          <w:szCs w:val="32"/>
          <w:highlight w:val="none"/>
        </w:rPr>
        <w:t>（三）国有资产占有使用情况</w:t>
      </w:r>
      <w:bookmarkEnd w:id="42"/>
    </w:p>
    <w:p w14:paraId="2D256397">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r>
        <w:rPr>
          <w:rFonts w:hint="eastAsia" w:ascii="仿宋_GB2312" w:hAnsi="仿宋_GB2312" w:eastAsia="仿宋_GB2312" w:cs="仿宋_GB2312"/>
          <w:color w:val="auto"/>
          <w:kern w:val="2"/>
          <w:sz w:val="32"/>
          <w:szCs w:val="32"/>
          <w:highlight w:val="none"/>
          <w:lang w:val="en-US" w:eastAsia="zh-CN" w:bidi="ar-SA"/>
        </w:rPr>
        <w:t>截至2024年12月31日，</w:t>
      </w:r>
      <w:r>
        <w:rPr>
          <w:rFonts w:hint="eastAsia" w:ascii="仿宋_GB2312" w:hAnsi="仿宋_GB2312" w:eastAsia="仿宋_GB2312" w:cs="仿宋_GB2312"/>
          <w:sz w:val="32"/>
          <w:szCs w:val="32"/>
        </w:rPr>
        <w:t>松潘县医疗保障局（本级）</w:t>
      </w:r>
      <w:r>
        <w:rPr>
          <w:rFonts w:hint="eastAsia" w:ascii="仿宋_GB2312" w:hAnsi="仿宋_GB2312" w:eastAsia="仿宋_GB2312" w:cs="仿宋_GB2312"/>
          <w:color w:val="auto"/>
          <w:kern w:val="2"/>
          <w:sz w:val="32"/>
          <w:szCs w:val="32"/>
          <w:highlight w:val="none"/>
          <w:lang w:val="en-US" w:eastAsia="zh-CN" w:bidi="ar-SA"/>
        </w:rPr>
        <w:t>共有车辆</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辆，其中：主要负责人用车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辆、机要通信用车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辆、应急保障用车</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辆、其他用车</w:t>
      </w:r>
      <w:r>
        <w:rPr>
          <w:rFonts w:hint="eastAsia" w:ascii="仿宋_GB2312" w:hAnsi="仿宋_GB2312" w:eastAsia="仿宋_GB2312" w:cs="仿宋_GB2312"/>
          <w:sz w:val="32"/>
          <w:szCs w:val="32"/>
        </w:rPr>
        <w:t>1</w:t>
      </w:r>
      <w:r>
        <w:rPr>
          <w:rFonts w:hint="eastAsia" w:ascii="仿宋_GB2312" w:hAnsi="仿宋_GB2312" w:eastAsia="仿宋_GB2312" w:cs="仿宋_GB2312"/>
          <w:color w:val="auto"/>
          <w:kern w:val="2"/>
          <w:sz w:val="32"/>
          <w:szCs w:val="32"/>
          <w:highlight w:val="none"/>
          <w:lang w:val="en-US" w:eastAsia="zh-CN" w:bidi="ar-SA"/>
        </w:rPr>
        <w:t>辆，其他用车主要</w:t>
      </w:r>
      <w:r>
        <w:rPr>
          <w:rFonts w:hint="eastAsia" w:ascii="仿宋_GB2312" w:hAnsi="仿宋_GB2312" w:eastAsia="仿宋_GB2312" w:cs="仿宋_GB2312"/>
          <w:color w:val="auto"/>
          <w:sz w:val="32"/>
          <w:szCs w:val="32"/>
          <w:highlight w:val="none"/>
          <w:lang w:eastAsia="zh-CN"/>
        </w:rPr>
        <w:t>用于</w:t>
      </w:r>
      <w:r>
        <w:rPr>
          <w:rFonts w:hint="eastAsia" w:ascii="仿宋_GB2312" w:hAnsi="仿宋_GB2312" w:eastAsia="仿宋_GB2312" w:cs="仿宋_GB2312"/>
          <w:color w:val="auto"/>
          <w:sz w:val="32"/>
          <w:szCs w:val="32"/>
          <w:shd w:val="clear" w:color="auto" w:fill="FFFFFF"/>
          <w:lang w:eastAsia="zh-CN"/>
        </w:rPr>
        <w:t>办公，下乡宣传政策，检查医疗机构等公务</w:t>
      </w:r>
      <w:r>
        <w:rPr>
          <w:rFonts w:hint="eastAsia" w:ascii="仿宋_GB2312" w:hAnsi="仿宋_GB2312" w:eastAsia="仿宋_GB2312" w:cs="仿宋_GB2312"/>
          <w:color w:val="auto"/>
          <w:kern w:val="2"/>
          <w:sz w:val="32"/>
          <w:szCs w:val="32"/>
          <w:highlight w:val="none"/>
          <w:lang w:val="en-US" w:eastAsia="zh-CN" w:bidi="ar-SA"/>
        </w:rPr>
        <w:t>。单价100万元（含）以上设备（不含车辆）</w:t>
      </w:r>
      <w:r>
        <w:rPr>
          <w:rFonts w:hint="eastAsia" w:ascii="仿宋_GB2312" w:hAnsi="仿宋_GB2312" w:eastAsia="仿宋_GB2312" w:cs="仿宋_GB2312"/>
          <w:sz w:val="32"/>
          <w:szCs w:val="32"/>
        </w:rPr>
        <w:t>0</w:t>
      </w:r>
      <w:r>
        <w:rPr>
          <w:rFonts w:hint="eastAsia" w:ascii="仿宋_GB2312" w:hAnsi="仿宋_GB2312" w:eastAsia="仿宋_GB2312" w:cs="仿宋_GB2312"/>
          <w:color w:val="auto"/>
          <w:kern w:val="2"/>
          <w:sz w:val="32"/>
          <w:szCs w:val="32"/>
          <w:highlight w:val="none"/>
          <w:lang w:val="en-US" w:eastAsia="zh-CN" w:bidi="ar-SA"/>
        </w:rPr>
        <w:t>台（套）</w:t>
      </w:r>
      <w:r>
        <w:rPr>
          <w:rFonts w:hint="eastAsia" w:ascii="Times New Roman" w:hAnsi="Times New Roman" w:eastAsia="仿宋_GB2312" w:cs="仿宋_GB2312"/>
          <w:color w:val="auto"/>
          <w:kern w:val="2"/>
          <w:sz w:val="32"/>
          <w:szCs w:val="32"/>
          <w:highlight w:val="none"/>
          <w:lang w:val="en-US" w:eastAsia="zh-CN" w:bidi="ar-SA"/>
        </w:rPr>
        <w:t>。</w:t>
      </w:r>
    </w:p>
    <w:p w14:paraId="79B5E6A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E96915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40C19D3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6AAE2E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5A12E2C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1EE39A5">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18CFDE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DB2EB2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3912620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721D121">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D56E684">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26C315F9">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B816F1B">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52A3BD2">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0033B13A">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D28726C">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6531BD3">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76AA00CD">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1D80259F">
      <w:pPr>
        <w:spacing w:line="600" w:lineRule="exact"/>
        <w:ind w:firstLine="640"/>
        <w:rPr>
          <w:rFonts w:hint="eastAsia" w:ascii="Times New Roman" w:hAnsi="Times New Roman" w:eastAsia="仿宋_GB2312" w:cs="仿宋_GB2312"/>
          <w:color w:val="auto"/>
          <w:kern w:val="2"/>
          <w:sz w:val="32"/>
          <w:szCs w:val="32"/>
          <w:highlight w:val="none"/>
          <w:lang w:val="en-US" w:eastAsia="zh-CN" w:bidi="ar-SA"/>
        </w:rPr>
      </w:pPr>
    </w:p>
    <w:p w14:paraId="687D9C82">
      <w:pPr>
        <w:numPr>
          <w:ilvl w:val="0"/>
          <w:numId w:val="0"/>
        </w:numPr>
        <w:spacing w:line="600" w:lineRule="exact"/>
        <w:jc w:val="center"/>
        <w:outlineLvl w:val="0"/>
        <w:rPr>
          <w:rFonts w:hint="eastAsia" w:ascii="Times New Roman" w:hAnsi="Times New Roman" w:eastAsia="黑体"/>
          <w:color w:val="auto"/>
          <w:sz w:val="44"/>
          <w:szCs w:val="44"/>
          <w:highlight w:val="none"/>
        </w:rPr>
      </w:pPr>
      <w:bookmarkStart w:id="43" w:name="_Toc15377225"/>
      <w:bookmarkStart w:id="44" w:name="_Toc15396613"/>
      <w:r>
        <w:rPr>
          <w:rFonts w:hint="eastAsia" w:ascii="Times New Roman" w:hAnsi="Times New Roman" w:eastAsia="黑体"/>
          <w:color w:val="auto"/>
          <w:sz w:val="44"/>
          <w:szCs w:val="44"/>
          <w:highlight w:val="none"/>
        </w:rPr>
        <w:t>第</w:t>
      </w:r>
      <w:r>
        <w:rPr>
          <w:rFonts w:hint="eastAsia" w:eastAsia="黑体"/>
          <w:color w:val="auto"/>
          <w:sz w:val="44"/>
          <w:szCs w:val="44"/>
          <w:highlight w:val="none"/>
          <w:lang w:eastAsia="zh-CN"/>
        </w:rPr>
        <w:t>三</w:t>
      </w:r>
      <w:r>
        <w:rPr>
          <w:rFonts w:hint="eastAsia" w:ascii="Times New Roman" w:hAnsi="Times New Roman" w:eastAsia="黑体"/>
          <w:color w:val="auto"/>
          <w:sz w:val="44"/>
          <w:szCs w:val="44"/>
          <w:highlight w:val="none"/>
        </w:rPr>
        <w:t>部分</w:t>
      </w:r>
      <w:r>
        <w:rPr>
          <w:rFonts w:hint="eastAsia" w:ascii="Times New Roman" w:hAnsi="Times New Roman" w:eastAsia="黑体"/>
          <w:color w:val="auto"/>
          <w:sz w:val="44"/>
          <w:szCs w:val="44"/>
          <w:highlight w:val="none"/>
          <w:lang w:val="en-US" w:eastAsia="zh-CN"/>
        </w:rPr>
        <w:t xml:space="preserve"> </w:t>
      </w:r>
      <w:r>
        <w:rPr>
          <w:rFonts w:hint="eastAsia" w:eastAsia="黑体"/>
          <w:color w:val="auto"/>
          <w:sz w:val="44"/>
          <w:szCs w:val="44"/>
          <w:highlight w:val="none"/>
          <w:lang w:val="en-US" w:eastAsia="zh-CN"/>
        </w:rPr>
        <w:t xml:space="preserve"> </w:t>
      </w:r>
      <w:r>
        <w:rPr>
          <w:rFonts w:hint="eastAsia" w:ascii="Times New Roman" w:hAnsi="Times New Roman" w:eastAsia="黑体"/>
          <w:color w:val="auto"/>
          <w:sz w:val="44"/>
          <w:szCs w:val="44"/>
          <w:highlight w:val="none"/>
        </w:rPr>
        <w:t>名词解释</w:t>
      </w:r>
      <w:bookmarkEnd w:id="43"/>
      <w:bookmarkEnd w:id="44"/>
    </w:p>
    <w:p w14:paraId="16C3FFB0">
      <w:pPr>
        <w:spacing w:line="600" w:lineRule="exact"/>
        <w:jc w:val="left"/>
        <w:rPr>
          <w:rFonts w:ascii="Times New Roman" w:hAnsi="Times New Roman"/>
          <w:b/>
          <w:color w:val="auto"/>
          <w:sz w:val="44"/>
          <w:szCs w:val="44"/>
          <w:highlight w:val="none"/>
        </w:rPr>
      </w:pPr>
    </w:p>
    <w:p w14:paraId="7A12454C">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1.财政拨款收入：指单位从同级财政部门取得的财政预算资金。</w:t>
      </w:r>
    </w:p>
    <w:p w14:paraId="25962FD9">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2.事业收入：指事业单位开展专业业务活动及辅助活动取得的收入。</w:t>
      </w:r>
    </w:p>
    <w:p w14:paraId="05638332">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shd w:val="clear" w:color="auto" w:fill="FFFFFF"/>
        </w:rPr>
      </w:pPr>
      <w:r>
        <w:rPr>
          <w:rFonts w:hint="eastAsia" w:ascii="仿宋_GB2312" w:hAnsi="仿宋_GB2312" w:eastAsia="仿宋_GB2312" w:cs="仿宋_GB2312"/>
          <w:color w:val="auto"/>
          <w:sz w:val="32"/>
          <w:szCs w:val="32"/>
          <w:shd w:val="clear" w:color="auto" w:fill="FFFFFF"/>
        </w:rPr>
        <w:t>3.经营收入：指事业单位在专业业务活动及其辅助活动之外开展非独立核算经营活动取得的收入。</w:t>
      </w:r>
    </w:p>
    <w:p w14:paraId="7A32A455">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4.其他收入：指单位取得的除上述收入以外的各项收入5.使用非财政拨款结余：指事业单位使用以前年度积累的非财政拨款结余弥补当年收支差额的金额。</w:t>
      </w:r>
    </w:p>
    <w:p w14:paraId="396DAB57">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6.年初结转和结余：指以前年度尚未完成、结转到本年按有关规定继续使用的资金。</w:t>
      </w:r>
    </w:p>
    <w:p w14:paraId="1BBE2C80">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shd w:val="clear" w:color="auto" w:fill="FFFFFF"/>
          <w:lang w:eastAsia="zh-CN"/>
        </w:rPr>
      </w:pPr>
      <w:r>
        <w:rPr>
          <w:rFonts w:hint="eastAsia" w:ascii="仿宋_GB2312" w:hAnsi="仿宋_GB2312" w:eastAsia="仿宋_GB2312" w:cs="仿宋_GB2312"/>
          <w:color w:val="auto"/>
          <w:sz w:val="32"/>
          <w:szCs w:val="32"/>
          <w:shd w:val="clear" w:color="auto" w:fill="FFFFFF"/>
        </w:rPr>
        <w:t>7.结余分配：指事业单位按照会计制度规定缴纳的所得税</w:t>
      </w:r>
      <w:r>
        <w:rPr>
          <w:rFonts w:hint="eastAsia" w:ascii="仿宋_GB2312" w:hAnsi="仿宋_GB2312" w:eastAsia="仿宋_GB2312" w:cs="仿宋_GB2312"/>
          <w:color w:val="auto"/>
          <w:sz w:val="32"/>
          <w:szCs w:val="32"/>
          <w:shd w:val="clear" w:color="auto" w:fill="FFFFFF"/>
          <w:lang w:eastAsia="zh-CN"/>
        </w:rPr>
        <w:t>。</w:t>
      </w:r>
    </w:p>
    <w:p w14:paraId="4FE5A180">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8</w:t>
      </w:r>
      <w:r>
        <w:rPr>
          <w:rFonts w:hint="eastAsia" w:ascii="仿宋_GB2312" w:hAnsi="仿宋_GB2312" w:eastAsia="仿宋_GB2312" w:cs="仿宋_GB2312"/>
          <w:color w:val="auto"/>
          <w:sz w:val="32"/>
          <w:szCs w:val="32"/>
          <w:shd w:val="clear" w:color="auto" w:fill="FFFFFF"/>
          <w:lang w:val="en-US" w:eastAsia="zh-CN"/>
        </w:rPr>
        <w:t>.</w:t>
      </w:r>
      <w:r>
        <w:rPr>
          <w:rFonts w:hint="eastAsia" w:ascii="仿宋_GB2312" w:hAnsi="仿宋_GB2312" w:eastAsia="仿宋_GB2312" w:cs="仿宋_GB2312"/>
          <w:color w:val="auto"/>
          <w:sz w:val="32"/>
          <w:szCs w:val="32"/>
          <w:shd w:val="clear" w:color="auto" w:fill="FFFFFF"/>
        </w:rPr>
        <w:t>年末结转和结余：指单位按有关规定结转到下年或以后年度继续使用的资金。</w:t>
      </w:r>
    </w:p>
    <w:p w14:paraId="0062CB02">
      <w:pPr>
        <w:keepNext w:val="0"/>
        <w:keepLines w:val="0"/>
        <w:pageBreakBefore w:val="0"/>
        <w:widowControl w:val="0"/>
        <w:shd w:val="clear" w:color="auto" w:fill="FBFBFB"/>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shd w:val="clear" w:color="auto" w:fill="FFFFFF"/>
        </w:rPr>
        <w:t>9.</w:t>
      </w:r>
      <w:r>
        <w:rPr>
          <w:rFonts w:hint="eastAsia" w:ascii="仿宋_GB2312" w:hAnsi="仿宋_GB2312" w:eastAsia="仿宋_GB2312" w:cs="仿宋_GB2312"/>
          <w:color w:val="auto"/>
          <w:kern w:val="0"/>
          <w:sz w:val="32"/>
          <w:szCs w:val="32"/>
        </w:rPr>
        <w:t>住房保障支出：指职工的住房公积金。</w:t>
      </w:r>
    </w:p>
    <w:p w14:paraId="4EC1D561">
      <w:pPr>
        <w:keepNext w:val="0"/>
        <w:keepLines w:val="0"/>
        <w:pageBreakBefore w:val="0"/>
        <w:widowControl w:val="0"/>
        <w:shd w:val="clear" w:color="auto" w:fill="FBFBFB"/>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10.结余分配：指事业单位按规定提取的职工福利基金、事业基金和缴纳的所得税，以及建设单位按规定应</w:t>
      </w:r>
      <w:bookmarkStart w:id="60" w:name="_GoBack"/>
      <w:r>
        <w:rPr>
          <w:rFonts w:hint="eastAsia" w:ascii="仿宋_GB2312" w:hAnsi="仿宋_GB2312" w:eastAsia="仿宋_GB2312" w:cs="仿宋_GB2312"/>
          <w:color w:val="auto"/>
          <w:kern w:val="0"/>
          <w:sz w:val="32"/>
          <w:szCs w:val="32"/>
          <w:lang w:eastAsia="zh-CN"/>
        </w:rPr>
        <w:t>缴回</w:t>
      </w:r>
      <w:bookmarkEnd w:id="60"/>
      <w:r>
        <w:rPr>
          <w:rFonts w:hint="eastAsia" w:ascii="仿宋_GB2312" w:hAnsi="仿宋_GB2312" w:eastAsia="仿宋_GB2312" w:cs="仿宋_GB2312"/>
          <w:color w:val="auto"/>
          <w:kern w:val="0"/>
          <w:sz w:val="32"/>
          <w:szCs w:val="32"/>
        </w:rPr>
        <w:t>的基本建设竣工项目结余资金。</w:t>
      </w:r>
    </w:p>
    <w:p w14:paraId="33A07BE2">
      <w:pPr>
        <w:keepNext w:val="0"/>
        <w:keepLines w:val="0"/>
        <w:pageBreakBefore w:val="0"/>
        <w:widowControl w:val="0"/>
        <w:shd w:val="clear" w:color="auto" w:fill="FBFBFB"/>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11.年末结转和结余：指本年度或以前年度预算安排、因客观条件发生变化无法按原计划实施，需延迟到以后年度按有关规定继续使用的资金。</w:t>
      </w:r>
    </w:p>
    <w:p w14:paraId="4C4B46B8">
      <w:pPr>
        <w:keepNext w:val="0"/>
        <w:keepLines w:val="0"/>
        <w:pageBreakBefore w:val="0"/>
        <w:widowControl w:val="0"/>
        <w:shd w:val="clear" w:color="auto" w:fill="FBFBFB"/>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12.基本支出：指为保障机构正常运转、完成日常工作任务而发生的人员支出和公用支出。</w:t>
      </w:r>
    </w:p>
    <w:p w14:paraId="31F793FC">
      <w:pPr>
        <w:keepNext w:val="0"/>
        <w:keepLines w:val="0"/>
        <w:pageBreakBefore w:val="0"/>
        <w:widowControl w:val="0"/>
        <w:shd w:val="clear" w:color="auto" w:fill="FBFBFB"/>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13.项目支出：指在基本支出之外为完成特定行政任务和事业发展目标所发生的支出。</w:t>
      </w:r>
    </w:p>
    <w:p w14:paraId="6DA2CA0F">
      <w:pPr>
        <w:keepNext w:val="0"/>
        <w:keepLines w:val="0"/>
        <w:pageBreakBefore w:val="0"/>
        <w:widowControl w:val="0"/>
        <w:shd w:val="clear" w:color="auto" w:fill="FBFBFB"/>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14.经营支出：指事业单位在专业业务活动及其辅助活动之外开展非独立核算经营活动发生的支出。</w:t>
      </w:r>
    </w:p>
    <w:p w14:paraId="6EDFC010">
      <w:pPr>
        <w:keepNext w:val="0"/>
        <w:keepLines w:val="0"/>
        <w:pageBreakBefore w:val="0"/>
        <w:widowControl w:val="0"/>
        <w:shd w:val="clear" w:color="auto" w:fill="FBFBFB"/>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15.“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14:paraId="0E628917">
      <w:pPr>
        <w:keepNext w:val="0"/>
        <w:keepLines w:val="0"/>
        <w:pageBreakBefore w:val="0"/>
        <w:widowControl w:val="0"/>
        <w:shd w:val="clear" w:color="auto" w:fill="FBFBFB"/>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kern w:val="0"/>
          <w:sz w:val="32"/>
          <w:szCs w:val="32"/>
        </w:rPr>
        <w:t>16.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7C10DEA6">
      <w:pPr>
        <w:keepNext w:val="0"/>
        <w:keepLines w:val="0"/>
        <w:pageBreakBefore w:val="0"/>
        <w:widowControl w:val="0"/>
        <w:shd w:val="clear" w:color="auto" w:fill="FFFFFF"/>
        <w:kinsoku/>
        <w:wordWrap/>
        <w:overflowPunct/>
        <w:topLinePunct w:val="0"/>
        <w:bidi w:val="0"/>
        <w:snapToGrid/>
        <w:spacing w:afterAutospacing="0" w:line="578" w:lineRule="exact"/>
        <w:ind w:left="0" w:right="0"/>
        <w:jc w:val="left"/>
        <w:textAlignment w:val="auto"/>
        <w:rPr>
          <w:rFonts w:hint="eastAsia" w:ascii="仿宋_GB2312" w:hAnsi="仿宋_GB2312" w:eastAsia="仿宋_GB2312" w:cs="仿宋_GB2312"/>
          <w:color w:val="auto"/>
          <w:kern w:val="0"/>
          <w:sz w:val="32"/>
          <w:szCs w:val="32"/>
        </w:rPr>
      </w:pPr>
      <w:r>
        <w:rPr>
          <w:rFonts w:hint="eastAsia" w:ascii="仿宋_GB2312" w:hAnsi="仿宋_GB2312" w:eastAsia="仿宋_GB2312" w:cs="仿宋_GB2312"/>
          <w:color w:val="auto"/>
          <w:sz w:val="32"/>
          <w:szCs w:val="32"/>
        </w:rPr>
        <w:t>17.基本支出：指为保障机构正常运转、完成日常工作任务而发生的人员支出和公用支出。</w:t>
      </w:r>
    </w:p>
    <w:p w14:paraId="512B5595">
      <w:pPr>
        <w:keepNext w:val="0"/>
        <w:keepLines w:val="0"/>
        <w:pageBreakBefore w:val="0"/>
        <w:widowControl w:val="0"/>
        <w:kinsoku/>
        <w:wordWrap/>
        <w:overflowPunct/>
        <w:topLinePunct w:val="0"/>
        <w:bidi w:val="0"/>
        <w:snapToGrid/>
        <w:spacing w:afterAutospacing="0" w:line="578" w:lineRule="exact"/>
        <w:ind w:left="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 xml:space="preserve">18.项目支出：指在基本支出之外为完成特定行政任务和事业发展目标所发生的支出。 </w:t>
      </w:r>
    </w:p>
    <w:p w14:paraId="1774E1B6">
      <w:pPr>
        <w:keepNext w:val="0"/>
        <w:keepLines w:val="0"/>
        <w:pageBreakBefore w:val="0"/>
        <w:widowControl w:val="0"/>
        <w:kinsoku/>
        <w:wordWrap/>
        <w:overflowPunct/>
        <w:topLinePunct w:val="0"/>
        <w:bidi w:val="0"/>
        <w:snapToGrid/>
        <w:spacing w:afterAutospacing="0" w:line="578" w:lineRule="exact"/>
        <w:ind w:left="0" w:right="0"/>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19.经营支出：指事业单位在专业业务活动及其辅助活动之外开展非独立核算经营活动发生的支出。</w:t>
      </w:r>
    </w:p>
    <w:p w14:paraId="0D740998">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w:t>
      </w:r>
      <w:r>
        <w:rPr>
          <w:rFonts w:hint="eastAsia" w:ascii="仿宋_GB2312" w:hAnsi="仿宋_GB2312" w:eastAsia="仿宋_GB2312" w:cs="仿宋_GB2312"/>
          <w:color w:val="auto"/>
          <w:sz w:val="32"/>
          <w:szCs w:val="32"/>
          <w:lang w:val="en-US" w:eastAsia="zh-CN"/>
        </w:rPr>
        <w:t>0</w:t>
      </w:r>
      <w:r>
        <w:rPr>
          <w:rFonts w:hint="eastAsia" w:ascii="仿宋_GB2312" w:hAnsi="仿宋_GB2312" w:eastAsia="仿宋_GB2312" w:cs="仿宋_GB2312"/>
          <w:color w:val="auto"/>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2A2575D">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1</w:t>
      </w:r>
      <w:r>
        <w:rPr>
          <w:rFonts w:hint="eastAsia" w:ascii="仿宋_GB2312" w:hAnsi="仿宋_GB2312" w:eastAsia="仿宋_GB2312" w:cs="仿宋_GB2312"/>
          <w:color w:val="auto"/>
          <w:sz w:val="32"/>
          <w:szCs w:val="32"/>
          <w:shd w:val="clear" w:color="auto" w:fill="FFFFFF"/>
        </w:rPr>
        <w:t>.基本支出：指为保障机构正常运转、完成日常工作任务而发生的人员支出和公用支出。</w:t>
      </w:r>
    </w:p>
    <w:p w14:paraId="742D2069">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2</w:t>
      </w:r>
      <w:r>
        <w:rPr>
          <w:rFonts w:hint="eastAsia" w:ascii="仿宋_GB2312" w:hAnsi="仿宋_GB2312" w:eastAsia="仿宋_GB2312" w:cs="仿宋_GB2312"/>
          <w:color w:val="auto"/>
          <w:sz w:val="32"/>
          <w:szCs w:val="32"/>
          <w:shd w:val="clear" w:color="auto" w:fill="FFFFFF"/>
        </w:rPr>
        <w:t>.项目支出：指在基本支出之外为完成特定行政任务和事业发展目标所发生的支出。</w:t>
      </w:r>
    </w:p>
    <w:p w14:paraId="6186D00C">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rPr>
        <w:t>2</w:t>
      </w:r>
      <w:r>
        <w:rPr>
          <w:rFonts w:hint="eastAsia" w:ascii="仿宋_GB2312" w:hAnsi="仿宋_GB2312" w:eastAsia="仿宋_GB2312" w:cs="仿宋_GB2312"/>
          <w:color w:val="auto"/>
          <w:sz w:val="32"/>
          <w:szCs w:val="32"/>
          <w:shd w:val="clear" w:color="auto" w:fill="FFFFFF"/>
          <w:lang w:val="en-US" w:eastAsia="zh-CN"/>
        </w:rPr>
        <w:t>3</w:t>
      </w:r>
      <w:r>
        <w:rPr>
          <w:rFonts w:hint="eastAsia" w:ascii="仿宋_GB2312" w:hAnsi="仿宋_GB2312" w:eastAsia="仿宋_GB2312" w:cs="仿宋_GB2312"/>
          <w:color w:val="auto"/>
          <w:sz w:val="32"/>
          <w:szCs w:val="32"/>
          <w:shd w:val="clear" w:color="auto" w:fill="FFFFFF"/>
        </w:rPr>
        <w:t>.经营支出：指事业单位在专业业务活动及其辅助活动之外开展非独立核算经营活动发生的支出。</w:t>
      </w:r>
    </w:p>
    <w:p w14:paraId="51F79005">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24</w:t>
      </w:r>
      <w:r>
        <w:rPr>
          <w:rFonts w:hint="eastAsia" w:ascii="仿宋_GB2312" w:hAnsi="仿宋_GB2312" w:eastAsia="仿宋_GB2312" w:cs="仿宋_GB2312"/>
          <w:color w:val="auto"/>
          <w:sz w:val="32"/>
          <w:szCs w:val="32"/>
          <w:shd w:val="clear" w:color="auto" w:fill="FFFFFF"/>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78FF7B80">
      <w:pPr>
        <w:pStyle w:val="15"/>
        <w:keepNext w:val="0"/>
        <w:keepLines w:val="0"/>
        <w:pageBreakBefore w:val="0"/>
        <w:widowControl w:val="0"/>
        <w:suppressLineNumbers w:val="0"/>
        <w:kinsoku/>
        <w:wordWrap/>
        <w:overflowPunct/>
        <w:topLinePunct w:val="0"/>
        <w:bidi w:val="0"/>
        <w:snapToGrid/>
        <w:spacing w:before="0" w:beforeAutospacing="0" w:afterAutospacing="0" w:line="578" w:lineRule="exact"/>
        <w:ind w:left="0" w:right="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shd w:val="clear" w:color="auto" w:fill="FFFFFF"/>
          <w:lang w:val="en-US" w:eastAsia="zh-CN"/>
        </w:rPr>
        <w:t>25</w:t>
      </w:r>
      <w:r>
        <w:rPr>
          <w:rFonts w:hint="eastAsia" w:ascii="仿宋_GB2312" w:hAnsi="仿宋_GB2312" w:eastAsia="仿宋_GB2312" w:cs="仿宋_GB2312"/>
          <w:color w:val="auto"/>
          <w:sz w:val="32"/>
          <w:szCs w:val="32"/>
          <w:shd w:val="clear" w:color="auto" w:fill="FFFFFF"/>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1C1BE0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bookmarkStart w:id="45" w:name="_Toc15377226"/>
      <w:bookmarkStart w:id="46" w:name="_Toc15396618"/>
    </w:p>
    <w:p w14:paraId="46CA6CD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2DE977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69041A7">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E74AC2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22829800">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0FF124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D9CF7D9">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0733991E">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70D0C1C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9C9ECBD">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517654D5">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7551CC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433D66E1">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1F9ABE2">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331A6AAB">
      <w:pPr>
        <w:keepNext w:val="0"/>
        <w:keepLines w:val="0"/>
        <w:pageBreakBefore w:val="0"/>
        <w:widowControl w:val="0"/>
        <w:kinsoku/>
        <w:wordWrap/>
        <w:overflowPunct/>
        <w:topLinePunct w:val="0"/>
        <w:autoSpaceDE/>
        <w:autoSpaceDN/>
        <w:bidi w:val="0"/>
        <w:spacing w:line="578" w:lineRule="exact"/>
        <w:ind w:firstLine="640"/>
        <w:textAlignment w:val="auto"/>
        <w:outlineLvl w:val="9"/>
        <w:rPr>
          <w:rFonts w:hint="eastAsia" w:ascii="Times New Roman" w:hAnsi="Times New Roman" w:eastAsia="仿宋_GB2312" w:cs="仿宋_GB2312"/>
          <w:b w:val="0"/>
          <w:bCs w:val="0"/>
          <w:kern w:val="0"/>
          <w:position w:val="0"/>
          <w:sz w:val="32"/>
          <w:szCs w:val="32"/>
          <w:highlight w:val="none"/>
          <w:lang w:val="en-US" w:eastAsia="zh-CN" w:bidi="ar-SA"/>
        </w:rPr>
      </w:pPr>
    </w:p>
    <w:p w14:paraId="1F2A4A78">
      <w:pPr>
        <w:widowControl/>
        <w:jc w:val="center"/>
        <w:rPr>
          <w:rFonts w:hint="eastAsia" w:ascii="Times New Roman" w:hAnsi="Times New Roman" w:eastAsia="仿宋"/>
          <w:b w:val="0"/>
          <w:color w:val="auto"/>
          <w:highlight w:val="none"/>
        </w:rPr>
      </w:pPr>
      <w:r>
        <w:rPr>
          <w:rFonts w:hint="eastAsia" w:ascii="Times New Roman" w:hAnsi="Times New Roman" w:eastAsia="黑体"/>
          <w:color w:val="auto"/>
          <w:sz w:val="44"/>
          <w:szCs w:val="44"/>
          <w:highlight w:val="none"/>
        </w:rPr>
        <w:t>第</w:t>
      </w:r>
      <w:r>
        <w:rPr>
          <w:rStyle w:val="29"/>
          <w:rFonts w:hint="eastAsia" w:eastAsia="黑体"/>
          <w:b w:val="0"/>
          <w:color w:val="auto"/>
          <w:highlight w:val="none"/>
          <w:lang w:val="en-US" w:eastAsia="zh-CN"/>
        </w:rPr>
        <w:t>四</w:t>
      </w:r>
      <w:r>
        <w:rPr>
          <w:rStyle w:val="29"/>
          <w:rFonts w:hint="eastAsia" w:ascii="Times New Roman" w:hAnsi="Times New Roman" w:eastAsia="黑体"/>
          <w:b w:val="0"/>
          <w:color w:val="auto"/>
          <w:highlight w:val="none"/>
        </w:rPr>
        <w:t>部分 附表</w:t>
      </w:r>
      <w:bookmarkEnd w:id="45"/>
      <w:bookmarkEnd w:id="46"/>
      <w:bookmarkStart w:id="47" w:name="_Toc15396619"/>
    </w:p>
    <w:p w14:paraId="7AF92C71">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p>
    <w:p w14:paraId="357A6264">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一、收入支出决算总表</w:t>
      </w:r>
      <w:bookmarkEnd w:id="47"/>
    </w:p>
    <w:p w14:paraId="5136D80B">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8" w:name="_Toc15396620"/>
      <w:r>
        <w:rPr>
          <w:rFonts w:hint="eastAsia" w:ascii="Times New Roman" w:hAnsi="Times New Roman" w:eastAsia="仿宋_GB2312" w:cs="仿宋_GB2312"/>
          <w:color w:val="auto"/>
          <w:sz w:val="32"/>
          <w:szCs w:val="32"/>
          <w:highlight w:val="none"/>
        </w:rPr>
        <w:t>二、收入决算表</w:t>
      </w:r>
      <w:bookmarkEnd w:id="48"/>
    </w:p>
    <w:p w14:paraId="6B4F468C">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49" w:name="_Toc15396621"/>
      <w:r>
        <w:rPr>
          <w:rFonts w:hint="eastAsia" w:ascii="Times New Roman" w:hAnsi="Times New Roman" w:eastAsia="仿宋_GB2312" w:cs="仿宋_GB2312"/>
          <w:color w:val="auto"/>
          <w:sz w:val="32"/>
          <w:szCs w:val="32"/>
          <w:highlight w:val="none"/>
        </w:rPr>
        <w:t>三、支出决算表</w:t>
      </w:r>
      <w:bookmarkEnd w:id="49"/>
    </w:p>
    <w:p w14:paraId="73BB9AD0">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0" w:name="_Toc15396622"/>
      <w:r>
        <w:rPr>
          <w:rFonts w:hint="eastAsia" w:ascii="Times New Roman" w:hAnsi="Times New Roman" w:eastAsia="仿宋_GB2312" w:cs="仿宋_GB2312"/>
          <w:color w:val="auto"/>
          <w:sz w:val="32"/>
          <w:szCs w:val="32"/>
          <w:highlight w:val="none"/>
        </w:rPr>
        <w:t>四、财政拨款收入支出决算总表</w:t>
      </w:r>
      <w:bookmarkEnd w:id="50"/>
    </w:p>
    <w:p w14:paraId="599B3EB3">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1" w:name="_Toc15396623"/>
      <w:r>
        <w:rPr>
          <w:rFonts w:hint="eastAsia" w:ascii="Times New Roman" w:hAnsi="Times New Roman" w:eastAsia="仿宋_GB2312" w:cs="仿宋_GB2312"/>
          <w:color w:val="auto"/>
          <w:sz w:val="32"/>
          <w:szCs w:val="32"/>
          <w:highlight w:val="none"/>
        </w:rPr>
        <w:t>五、财政拨款支出决算明细表</w:t>
      </w:r>
      <w:bookmarkEnd w:id="51"/>
      <w:bookmarkStart w:id="52" w:name="_Toc15396624"/>
    </w:p>
    <w:p w14:paraId="62B73AD8">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r>
        <w:rPr>
          <w:rFonts w:hint="eastAsia" w:ascii="Times New Roman" w:hAnsi="Times New Roman" w:eastAsia="仿宋_GB2312" w:cs="仿宋_GB2312"/>
          <w:color w:val="auto"/>
          <w:sz w:val="32"/>
          <w:szCs w:val="32"/>
          <w:highlight w:val="none"/>
        </w:rPr>
        <w:t>六、一般公共预算财政拨款支出决算表</w:t>
      </w:r>
      <w:bookmarkEnd w:id="52"/>
    </w:p>
    <w:p w14:paraId="247777B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3" w:name="_Toc15396625"/>
      <w:r>
        <w:rPr>
          <w:rFonts w:hint="eastAsia" w:ascii="Times New Roman" w:hAnsi="Times New Roman" w:eastAsia="仿宋_GB2312" w:cs="仿宋_GB2312"/>
          <w:color w:val="auto"/>
          <w:sz w:val="32"/>
          <w:szCs w:val="32"/>
          <w:highlight w:val="none"/>
        </w:rPr>
        <w:t>七、一般公共预算财政拨款支出决算明细表</w:t>
      </w:r>
      <w:bookmarkEnd w:id="53"/>
    </w:p>
    <w:p w14:paraId="2B2237CF">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4" w:name="_Toc15396626"/>
      <w:r>
        <w:rPr>
          <w:rFonts w:hint="eastAsia" w:ascii="Times New Roman" w:hAnsi="Times New Roman" w:eastAsia="仿宋_GB2312" w:cs="仿宋_GB2312"/>
          <w:color w:val="auto"/>
          <w:sz w:val="32"/>
          <w:szCs w:val="32"/>
          <w:highlight w:val="none"/>
        </w:rPr>
        <w:t>八、一般公共预算财政拨款基本支出决算表</w:t>
      </w:r>
      <w:bookmarkEnd w:id="54"/>
    </w:p>
    <w:p w14:paraId="1C5848D5">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5" w:name="_Toc15396627"/>
      <w:r>
        <w:rPr>
          <w:rFonts w:hint="eastAsia" w:ascii="Times New Roman" w:hAnsi="Times New Roman" w:eastAsia="仿宋_GB2312" w:cs="仿宋_GB2312"/>
          <w:color w:val="auto"/>
          <w:sz w:val="32"/>
          <w:szCs w:val="32"/>
          <w:highlight w:val="none"/>
        </w:rPr>
        <w:t>九、一般公共预算财政拨款项目支出决算表</w:t>
      </w:r>
      <w:bookmarkEnd w:id="55"/>
    </w:p>
    <w:p w14:paraId="1139E2B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6" w:name="_Toc15396628"/>
      <w:r>
        <w:rPr>
          <w:rFonts w:hint="eastAsia" w:ascii="Times New Roman" w:hAnsi="Times New Roman" w:eastAsia="仿宋_GB2312" w:cs="仿宋_GB2312"/>
          <w:color w:val="auto"/>
          <w:sz w:val="32"/>
          <w:szCs w:val="32"/>
          <w:highlight w:val="none"/>
        </w:rPr>
        <w:t>十、</w:t>
      </w:r>
      <w:bookmarkEnd w:id="56"/>
      <w:r>
        <w:rPr>
          <w:rFonts w:hint="eastAsia" w:ascii="Times New Roman" w:hAnsi="Times New Roman" w:eastAsia="仿宋_GB2312" w:cs="仿宋_GB2312"/>
          <w:color w:val="auto"/>
          <w:sz w:val="32"/>
          <w:szCs w:val="32"/>
          <w:highlight w:val="none"/>
        </w:rPr>
        <w:t>政府性基金预算财政拨款收入支出决算表</w:t>
      </w:r>
    </w:p>
    <w:p w14:paraId="1E3B81B7">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7" w:name="_Toc15396629"/>
      <w:r>
        <w:rPr>
          <w:rFonts w:hint="eastAsia" w:ascii="Times New Roman" w:hAnsi="Times New Roman" w:eastAsia="仿宋_GB2312" w:cs="仿宋_GB2312"/>
          <w:color w:val="auto"/>
          <w:sz w:val="32"/>
          <w:szCs w:val="32"/>
          <w:highlight w:val="none"/>
        </w:rPr>
        <w:t>十一、</w:t>
      </w:r>
      <w:bookmarkEnd w:id="57"/>
      <w:r>
        <w:rPr>
          <w:rFonts w:hint="eastAsia" w:ascii="Times New Roman" w:hAnsi="Times New Roman" w:eastAsia="仿宋_GB2312" w:cs="仿宋_GB2312"/>
          <w:color w:val="auto"/>
          <w:sz w:val="32"/>
          <w:szCs w:val="32"/>
          <w:highlight w:val="none"/>
        </w:rPr>
        <w:t>国有资本经营预算</w:t>
      </w:r>
      <w:r>
        <w:rPr>
          <w:rFonts w:hint="eastAsia" w:ascii="Times New Roman" w:hAnsi="Times New Roman" w:eastAsia="仿宋_GB2312" w:cs="仿宋_GB2312"/>
          <w:color w:val="auto"/>
          <w:sz w:val="32"/>
          <w:szCs w:val="32"/>
          <w:highlight w:val="none"/>
          <w:lang w:eastAsia="zh-CN"/>
        </w:rPr>
        <w:t>财政拨款收入</w:t>
      </w:r>
      <w:r>
        <w:rPr>
          <w:rFonts w:hint="eastAsia" w:ascii="Times New Roman" w:hAnsi="Times New Roman" w:eastAsia="仿宋_GB2312" w:cs="仿宋_GB2312"/>
          <w:color w:val="auto"/>
          <w:sz w:val="32"/>
          <w:szCs w:val="32"/>
          <w:highlight w:val="none"/>
        </w:rPr>
        <w:t>支出决算表</w:t>
      </w:r>
    </w:p>
    <w:p w14:paraId="32BEEC3D">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rPr>
      </w:pPr>
      <w:bookmarkStart w:id="58" w:name="_Toc15396630"/>
      <w:r>
        <w:rPr>
          <w:rFonts w:hint="eastAsia" w:ascii="Times New Roman" w:hAnsi="Times New Roman" w:eastAsia="仿宋_GB2312" w:cs="仿宋_GB2312"/>
          <w:color w:val="auto"/>
          <w:sz w:val="32"/>
          <w:szCs w:val="32"/>
          <w:highlight w:val="none"/>
        </w:rPr>
        <w:t>十二、</w:t>
      </w:r>
      <w:bookmarkEnd w:id="58"/>
      <w:r>
        <w:rPr>
          <w:rFonts w:hint="eastAsia" w:ascii="Times New Roman" w:hAnsi="Times New Roman" w:eastAsia="仿宋_GB2312" w:cs="仿宋_GB2312"/>
          <w:color w:val="auto"/>
          <w:sz w:val="32"/>
          <w:szCs w:val="32"/>
          <w:highlight w:val="none"/>
          <w:lang w:eastAsia="zh-CN"/>
        </w:rPr>
        <w:t>国有资本经营预算财政拨款支出决算表</w:t>
      </w:r>
    </w:p>
    <w:p w14:paraId="4ED7813A">
      <w:pPr>
        <w:pStyle w:val="14"/>
        <w:keepNext w:val="0"/>
        <w:keepLines w:val="0"/>
        <w:pageBreakBefore w:val="0"/>
        <w:kinsoku/>
        <w:wordWrap/>
        <w:overflowPunct/>
        <w:topLinePunct w:val="0"/>
        <w:autoSpaceDE/>
        <w:autoSpaceDN/>
        <w:bidi w:val="0"/>
        <w:adjustRightInd w:val="0"/>
        <w:snapToGrid w:val="0"/>
        <w:spacing w:line="560" w:lineRule="exact"/>
        <w:jc w:val="left"/>
        <w:textAlignment w:val="auto"/>
        <w:rPr>
          <w:rFonts w:hint="eastAsia" w:ascii="Times New Roman" w:hAnsi="Times New Roman" w:eastAsia="仿宋_GB2312" w:cs="仿宋_GB2312"/>
          <w:color w:val="auto"/>
          <w:sz w:val="32"/>
          <w:szCs w:val="32"/>
          <w:highlight w:val="none"/>
          <w:lang w:eastAsia="zh-CN"/>
        </w:rPr>
      </w:pPr>
      <w:bookmarkStart w:id="59" w:name="_Toc15396631"/>
      <w:r>
        <w:rPr>
          <w:rFonts w:hint="eastAsia" w:ascii="Times New Roman" w:hAnsi="Times New Roman" w:eastAsia="仿宋_GB2312" w:cs="仿宋_GB2312"/>
          <w:color w:val="auto"/>
          <w:sz w:val="32"/>
          <w:szCs w:val="32"/>
          <w:highlight w:val="none"/>
        </w:rPr>
        <w:t>十三、</w:t>
      </w:r>
      <w:bookmarkEnd w:id="59"/>
      <w:r>
        <w:rPr>
          <w:rFonts w:hint="eastAsia" w:ascii="Times New Roman" w:hAnsi="Times New Roman" w:eastAsia="仿宋_GB2312" w:cs="仿宋_GB2312"/>
          <w:color w:val="auto"/>
          <w:sz w:val="32"/>
          <w:szCs w:val="32"/>
          <w:highlight w:val="none"/>
          <w:lang w:eastAsia="zh-CN"/>
        </w:rPr>
        <w:t>财政拨款“三公”经费支出决算表</w:t>
      </w:r>
    </w:p>
    <w:p w14:paraId="31825DF5">
      <w:pPr>
        <w:rPr>
          <w:rFonts w:hint="eastAsia" w:ascii="Times New Roman" w:hAnsi="Times New Roman"/>
          <w:lang w:eastAsia="zh-CN"/>
        </w:rPr>
      </w:pPr>
    </w:p>
    <w:sectPr>
      <w:footerReference r:id="rId6" w:type="first"/>
      <w:footerReference r:id="rId5"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C1DB49C-711D-4DC3-B714-3EE1D671BE21}"/>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D871BC4F-7335-42CE-87C9-79CB8D0CBA29}"/>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3" w:fontKey="{C8FB9232-0B99-4AD9-B600-CE830E219EC0}"/>
  </w:font>
  <w:font w:name="仿宋">
    <w:panose1 w:val="02010609060101010101"/>
    <w:charset w:val="86"/>
    <w:family w:val="modern"/>
    <w:pitch w:val="default"/>
    <w:sig w:usb0="800002BF" w:usb1="38CF7CFA" w:usb2="00000016" w:usb3="00000000" w:csb0="00040001" w:csb1="00000000"/>
    <w:embedRegular r:id="rId4" w:fontKey="{3BADE705-BE92-4C91-90DC-01A824A50E8B}"/>
  </w:font>
  <w:font w:name="??">
    <w:altName w:val="Segoe Print"/>
    <w:panose1 w:val="00000000000000000000"/>
    <w:charset w:val="00"/>
    <w:family w:val="roman"/>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2010600010101010101"/>
    <w:charset w:val="86"/>
    <w:family w:val="script"/>
    <w:pitch w:val="default"/>
    <w:sig w:usb0="00000001" w:usb1="080E0000" w:usb2="00000000" w:usb3="00000000" w:csb0="00040000" w:csb1="00000000"/>
    <w:embedRegular r:id="rId5" w:fontKey="{E1A63258-8987-4E0D-961A-C3906723BEE9}"/>
  </w:font>
  <w:font w:name="楷体_GB2312">
    <w:panose1 w:val="02010609030101010101"/>
    <w:charset w:val="86"/>
    <w:family w:val="auto"/>
    <w:pitch w:val="default"/>
    <w:sig w:usb0="00000001" w:usb1="080E0000" w:usb2="00000000" w:usb3="00000000" w:csb0="00040000" w:csb1="00000000"/>
    <w:embedRegular r:id="rId6" w:fontKey="{B20EA1F5-BF71-404D-8075-02F46F84951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694ED">
    <w:pPr>
      <w:pStyle w:val="10"/>
      <w:jc w:val="center"/>
    </w:pPr>
  </w:p>
  <w:p w14:paraId="6A91DAC0">
    <w:pPr>
      <w:pStyle w:val="1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2503D">
    <w:pPr>
      <w:pStyle w:val="10"/>
      <w:jc w:val="center"/>
    </w:pPr>
  </w:p>
  <w:p w14:paraId="39AEB574">
    <w:pPr>
      <w:pStyle w:val="1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5F30C5">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61C4E">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1C47AC9"/>
    <w:multiLevelType w:val="singleLevel"/>
    <w:tmpl w:val="F1C47AC9"/>
    <w:lvl w:ilvl="0" w:tentative="0">
      <w:start w:val="3"/>
      <w:numFmt w:val="decimal"/>
      <w:lvlText w:val="%1."/>
      <w:lvlJc w:val="left"/>
      <w:pPr>
        <w:tabs>
          <w:tab w:val="left" w:pos="312"/>
        </w:tabs>
      </w:pPr>
    </w:lvl>
  </w:abstractNum>
  <w:abstractNum w:abstractNumId="1">
    <w:nsid w:val="4EB5E243"/>
    <w:multiLevelType w:val="singleLevel"/>
    <w:tmpl w:val="4EB5E243"/>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66FFA"/>
    <w:rsid w:val="0057481D"/>
    <w:rsid w:val="0058486E"/>
    <w:rsid w:val="00585B33"/>
    <w:rsid w:val="0059014D"/>
    <w:rsid w:val="005B5C64"/>
    <w:rsid w:val="005C5337"/>
    <w:rsid w:val="005C6BD0"/>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E23E5"/>
    <w:rsid w:val="007F1991"/>
    <w:rsid w:val="007F2C2F"/>
    <w:rsid w:val="007F55FC"/>
    <w:rsid w:val="007F5665"/>
    <w:rsid w:val="00800112"/>
    <w:rsid w:val="00813348"/>
    <w:rsid w:val="008253BB"/>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A4B"/>
    <w:rsid w:val="009C2E98"/>
    <w:rsid w:val="009D3447"/>
    <w:rsid w:val="009D4711"/>
    <w:rsid w:val="009F1185"/>
    <w:rsid w:val="009F18CD"/>
    <w:rsid w:val="009F2A13"/>
    <w:rsid w:val="009F7527"/>
    <w:rsid w:val="00A04EB0"/>
    <w:rsid w:val="00A13CC1"/>
    <w:rsid w:val="00A16847"/>
    <w:rsid w:val="00A237D8"/>
    <w:rsid w:val="00A268C4"/>
    <w:rsid w:val="00A307CD"/>
    <w:rsid w:val="00A331C8"/>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5620"/>
    <w:rsid w:val="00AD656B"/>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3E72"/>
    <w:rsid w:val="00C354B2"/>
    <w:rsid w:val="00C35554"/>
    <w:rsid w:val="00C42709"/>
    <w:rsid w:val="00C533CC"/>
    <w:rsid w:val="00C5751C"/>
    <w:rsid w:val="00C61BFC"/>
    <w:rsid w:val="00C62B85"/>
    <w:rsid w:val="00C65438"/>
    <w:rsid w:val="00C87FD8"/>
    <w:rsid w:val="00C91381"/>
    <w:rsid w:val="00C91CBB"/>
    <w:rsid w:val="00CB4E70"/>
    <w:rsid w:val="00CC09B6"/>
    <w:rsid w:val="00CC666F"/>
    <w:rsid w:val="00CD1E3F"/>
    <w:rsid w:val="00CE44F6"/>
    <w:rsid w:val="00CE49DA"/>
    <w:rsid w:val="00CE7B61"/>
    <w:rsid w:val="00D00095"/>
    <w:rsid w:val="00D114F0"/>
    <w:rsid w:val="00D20620"/>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E01053"/>
    <w:rsid w:val="00E07ACF"/>
    <w:rsid w:val="00E331A1"/>
    <w:rsid w:val="00E33202"/>
    <w:rsid w:val="00E336A9"/>
    <w:rsid w:val="00E472B1"/>
    <w:rsid w:val="00E50624"/>
    <w:rsid w:val="00E54633"/>
    <w:rsid w:val="00E568DF"/>
    <w:rsid w:val="00E64269"/>
    <w:rsid w:val="00E82267"/>
    <w:rsid w:val="00E853CE"/>
    <w:rsid w:val="00E867B6"/>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2A5EC2"/>
    <w:rsid w:val="015975B8"/>
    <w:rsid w:val="02FEBE30"/>
    <w:rsid w:val="04916F1E"/>
    <w:rsid w:val="061E35DE"/>
    <w:rsid w:val="066E0107"/>
    <w:rsid w:val="07996F6E"/>
    <w:rsid w:val="07DFD8BA"/>
    <w:rsid w:val="09867E8F"/>
    <w:rsid w:val="0A2032A3"/>
    <w:rsid w:val="0BC71D84"/>
    <w:rsid w:val="0CA8290A"/>
    <w:rsid w:val="0D35B1ED"/>
    <w:rsid w:val="0DC907CA"/>
    <w:rsid w:val="0E254B6B"/>
    <w:rsid w:val="0F98263C"/>
    <w:rsid w:val="101860EC"/>
    <w:rsid w:val="101F47CC"/>
    <w:rsid w:val="10C055FF"/>
    <w:rsid w:val="11694EBD"/>
    <w:rsid w:val="11772AA4"/>
    <w:rsid w:val="118107EC"/>
    <w:rsid w:val="12E24EE2"/>
    <w:rsid w:val="13D50BC4"/>
    <w:rsid w:val="14B17F78"/>
    <w:rsid w:val="165E0673"/>
    <w:rsid w:val="16B831D5"/>
    <w:rsid w:val="16BB723D"/>
    <w:rsid w:val="17E50567"/>
    <w:rsid w:val="186504BB"/>
    <w:rsid w:val="19A445FC"/>
    <w:rsid w:val="1BE8440E"/>
    <w:rsid w:val="1D155CEE"/>
    <w:rsid w:val="1D1638FE"/>
    <w:rsid w:val="1E312DEB"/>
    <w:rsid w:val="1E740ACF"/>
    <w:rsid w:val="1FF35744"/>
    <w:rsid w:val="1FF6BC77"/>
    <w:rsid w:val="20A1081A"/>
    <w:rsid w:val="2186353C"/>
    <w:rsid w:val="23860B96"/>
    <w:rsid w:val="240371BF"/>
    <w:rsid w:val="244F3473"/>
    <w:rsid w:val="24C97D99"/>
    <w:rsid w:val="25A718F0"/>
    <w:rsid w:val="25BB59F6"/>
    <w:rsid w:val="260F557C"/>
    <w:rsid w:val="26970054"/>
    <w:rsid w:val="27822F88"/>
    <w:rsid w:val="281408E2"/>
    <w:rsid w:val="28200C7B"/>
    <w:rsid w:val="29FD04D3"/>
    <w:rsid w:val="2BFF7BC6"/>
    <w:rsid w:val="2C8A61B5"/>
    <w:rsid w:val="2D954FE0"/>
    <w:rsid w:val="2DF04E50"/>
    <w:rsid w:val="2E586DFA"/>
    <w:rsid w:val="2F040D46"/>
    <w:rsid w:val="2F6B035B"/>
    <w:rsid w:val="2FAE5751"/>
    <w:rsid w:val="2FB1A395"/>
    <w:rsid w:val="2FD9A7D8"/>
    <w:rsid w:val="2FDBF714"/>
    <w:rsid w:val="30AB6865"/>
    <w:rsid w:val="319F7F4E"/>
    <w:rsid w:val="32BD1EF1"/>
    <w:rsid w:val="3304709D"/>
    <w:rsid w:val="33A773CB"/>
    <w:rsid w:val="349D6851"/>
    <w:rsid w:val="36AA5135"/>
    <w:rsid w:val="36BE0DA7"/>
    <w:rsid w:val="376B6AA6"/>
    <w:rsid w:val="376D39B2"/>
    <w:rsid w:val="37E16F03"/>
    <w:rsid w:val="37F53A3B"/>
    <w:rsid w:val="389B6C89"/>
    <w:rsid w:val="38D469F0"/>
    <w:rsid w:val="39627CCD"/>
    <w:rsid w:val="397BAF1F"/>
    <w:rsid w:val="3AB79AF3"/>
    <w:rsid w:val="3AE834C0"/>
    <w:rsid w:val="3B7EF35A"/>
    <w:rsid w:val="3B9FDB6C"/>
    <w:rsid w:val="3BF5BC2F"/>
    <w:rsid w:val="3CEBA265"/>
    <w:rsid w:val="3D98207C"/>
    <w:rsid w:val="3DEE7CF3"/>
    <w:rsid w:val="3E740A63"/>
    <w:rsid w:val="3E78745D"/>
    <w:rsid w:val="3EE17838"/>
    <w:rsid w:val="3F55381A"/>
    <w:rsid w:val="3F7F7599"/>
    <w:rsid w:val="3FF4CAE0"/>
    <w:rsid w:val="3FF7B227"/>
    <w:rsid w:val="44E268DA"/>
    <w:rsid w:val="450D13D7"/>
    <w:rsid w:val="45506656"/>
    <w:rsid w:val="486A6C7A"/>
    <w:rsid w:val="4A627F82"/>
    <w:rsid w:val="4B0E749A"/>
    <w:rsid w:val="4B2477C4"/>
    <w:rsid w:val="4B4F25DA"/>
    <w:rsid w:val="4BE068DB"/>
    <w:rsid w:val="4D577224"/>
    <w:rsid w:val="4DBF1CEB"/>
    <w:rsid w:val="4DF0007C"/>
    <w:rsid w:val="4EAB630A"/>
    <w:rsid w:val="4ECE2238"/>
    <w:rsid w:val="4F833267"/>
    <w:rsid w:val="4FE9BD67"/>
    <w:rsid w:val="4FFB052F"/>
    <w:rsid w:val="537E6D0A"/>
    <w:rsid w:val="53F74C96"/>
    <w:rsid w:val="55170BA8"/>
    <w:rsid w:val="553218C9"/>
    <w:rsid w:val="567E1AA5"/>
    <w:rsid w:val="56E47B74"/>
    <w:rsid w:val="57175D52"/>
    <w:rsid w:val="57BD3DD4"/>
    <w:rsid w:val="59912710"/>
    <w:rsid w:val="5AF92295"/>
    <w:rsid w:val="5B250254"/>
    <w:rsid w:val="5BDD79E6"/>
    <w:rsid w:val="5BF561CA"/>
    <w:rsid w:val="5BFF5DFC"/>
    <w:rsid w:val="5CD71FC4"/>
    <w:rsid w:val="5D1F11B5"/>
    <w:rsid w:val="5D695134"/>
    <w:rsid w:val="5DAE1B18"/>
    <w:rsid w:val="5DE7D9E5"/>
    <w:rsid w:val="5ECEC941"/>
    <w:rsid w:val="5FBF9FF3"/>
    <w:rsid w:val="5FCD4E2C"/>
    <w:rsid w:val="5FEF394A"/>
    <w:rsid w:val="5FF67715"/>
    <w:rsid w:val="62BF3928"/>
    <w:rsid w:val="63B3701E"/>
    <w:rsid w:val="647F5392"/>
    <w:rsid w:val="65E66580"/>
    <w:rsid w:val="664B1D71"/>
    <w:rsid w:val="664B4E8E"/>
    <w:rsid w:val="67277B67"/>
    <w:rsid w:val="67AA3209"/>
    <w:rsid w:val="698D0931"/>
    <w:rsid w:val="6A7FE5F3"/>
    <w:rsid w:val="6B053271"/>
    <w:rsid w:val="6BDD78B3"/>
    <w:rsid w:val="6C4A05C8"/>
    <w:rsid w:val="6C8742B8"/>
    <w:rsid w:val="6DBF5E93"/>
    <w:rsid w:val="6DFF077E"/>
    <w:rsid w:val="6E714EF0"/>
    <w:rsid w:val="6E7E3605"/>
    <w:rsid w:val="6E7FDCC7"/>
    <w:rsid w:val="6ED6A62E"/>
    <w:rsid w:val="6EE00B15"/>
    <w:rsid w:val="6F6FB3EB"/>
    <w:rsid w:val="6F8731EA"/>
    <w:rsid w:val="6FCE6052"/>
    <w:rsid w:val="6FD57C00"/>
    <w:rsid w:val="6FEFFFD8"/>
    <w:rsid w:val="6FF5CC65"/>
    <w:rsid w:val="6FFB47EC"/>
    <w:rsid w:val="6FFF034A"/>
    <w:rsid w:val="70484440"/>
    <w:rsid w:val="712A28F1"/>
    <w:rsid w:val="715C0E4B"/>
    <w:rsid w:val="71992E7C"/>
    <w:rsid w:val="72233669"/>
    <w:rsid w:val="72734D90"/>
    <w:rsid w:val="73160E6D"/>
    <w:rsid w:val="7332FE48"/>
    <w:rsid w:val="73AB61DA"/>
    <w:rsid w:val="73AD73D5"/>
    <w:rsid w:val="73B6EB34"/>
    <w:rsid w:val="73FA497D"/>
    <w:rsid w:val="744731E5"/>
    <w:rsid w:val="74BBD01D"/>
    <w:rsid w:val="74ED5379"/>
    <w:rsid w:val="75DEEEC2"/>
    <w:rsid w:val="75E32345"/>
    <w:rsid w:val="76E3355F"/>
    <w:rsid w:val="76FF5125"/>
    <w:rsid w:val="776F6FFA"/>
    <w:rsid w:val="778769C8"/>
    <w:rsid w:val="77A75DCA"/>
    <w:rsid w:val="77DC22F5"/>
    <w:rsid w:val="783E271A"/>
    <w:rsid w:val="78616DE9"/>
    <w:rsid w:val="78E875D7"/>
    <w:rsid w:val="79086DAD"/>
    <w:rsid w:val="79D7FD79"/>
    <w:rsid w:val="79EE5BA4"/>
    <w:rsid w:val="7A894339"/>
    <w:rsid w:val="7AD284E8"/>
    <w:rsid w:val="7AFF7572"/>
    <w:rsid w:val="7B6C7DFB"/>
    <w:rsid w:val="7BBFBED0"/>
    <w:rsid w:val="7BC3E394"/>
    <w:rsid w:val="7C1F3737"/>
    <w:rsid w:val="7CBFC87B"/>
    <w:rsid w:val="7CFE0F48"/>
    <w:rsid w:val="7D272ABC"/>
    <w:rsid w:val="7D7EC23E"/>
    <w:rsid w:val="7E8ADEBF"/>
    <w:rsid w:val="7EEF11D3"/>
    <w:rsid w:val="7EFE4840"/>
    <w:rsid w:val="7F0971A6"/>
    <w:rsid w:val="7F1D62E7"/>
    <w:rsid w:val="7F3F679B"/>
    <w:rsid w:val="7F4FC4EF"/>
    <w:rsid w:val="7F5E4D54"/>
    <w:rsid w:val="7F6E0135"/>
    <w:rsid w:val="7F79F205"/>
    <w:rsid w:val="7FA30C79"/>
    <w:rsid w:val="7FA79C44"/>
    <w:rsid w:val="7FAF8ABF"/>
    <w:rsid w:val="7FB7269E"/>
    <w:rsid w:val="7FC96657"/>
    <w:rsid w:val="7FDA9588"/>
    <w:rsid w:val="7FDF220F"/>
    <w:rsid w:val="7FEDC5F7"/>
    <w:rsid w:val="7FEDD9DE"/>
    <w:rsid w:val="7FF5890D"/>
    <w:rsid w:val="7FF93490"/>
    <w:rsid w:val="99FF2014"/>
    <w:rsid w:val="A6DD0D7F"/>
    <w:rsid w:val="ACFF4FBB"/>
    <w:rsid w:val="ADC6F725"/>
    <w:rsid w:val="B7CF06AB"/>
    <w:rsid w:val="B7CFA926"/>
    <w:rsid w:val="B7F8786B"/>
    <w:rsid w:val="BABB6AA1"/>
    <w:rsid w:val="BB2F4199"/>
    <w:rsid w:val="BCFFB442"/>
    <w:rsid w:val="BD079C78"/>
    <w:rsid w:val="BD733540"/>
    <w:rsid w:val="BF3735D5"/>
    <w:rsid w:val="BF7F09AC"/>
    <w:rsid w:val="BFD475C3"/>
    <w:rsid w:val="BFDE5EA6"/>
    <w:rsid w:val="CF6FC6F3"/>
    <w:rsid w:val="CFD3D3D7"/>
    <w:rsid w:val="CFDF1009"/>
    <w:rsid w:val="D7D7B16A"/>
    <w:rsid w:val="D8D6DB89"/>
    <w:rsid w:val="DB6F4CAB"/>
    <w:rsid w:val="DB777682"/>
    <w:rsid w:val="DD1FB521"/>
    <w:rsid w:val="DEFBFEAE"/>
    <w:rsid w:val="DF1F3B80"/>
    <w:rsid w:val="DF6F9789"/>
    <w:rsid w:val="DFE9BE81"/>
    <w:rsid w:val="DFFFA9E8"/>
    <w:rsid w:val="E5F4E9DC"/>
    <w:rsid w:val="E70FE695"/>
    <w:rsid w:val="EB2E368B"/>
    <w:rsid w:val="ECFED1BC"/>
    <w:rsid w:val="ED1D69BB"/>
    <w:rsid w:val="ED7FD312"/>
    <w:rsid w:val="EF2E1AC6"/>
    <w:rsid w:val="EF53993F"/>
    <w:rsid w:val="EF6FD633"/>
    <w:rsid w:val="EFBFB2F4"/>
    <w:rsid w:val="EFBFFA21"/>
    <w:rsid w:val="F2BEBCB8"/>
    <w:rsid w:val="F36FB518"/>
    <w:rsid w:val="F3DE1A04"/>
    <w:rsid w:val="F3F722E5"/>
    <w:rsid w:val="F4FBCD07"/>
    <w:rsid w:val="FA5F1E70"/>
    <w:rsid w:val="FA5FDB97"/>
    <w:rsid w:val="FB7F486A"/>
    <w:rsid w:val="FBFF5B2E"/>
    <w:rsid w:val="FD7FFE2B"/>
    <w:rsid w:val="FDEE196B"/>
    <w:rsid w:val="FDFE6575"/>
    <w:rsid w:val="FEDFDDC2"/>
    <w:rsid w:val="FEED32F6"/>
    <w:rsid w:val="FEF781DD"/>
    <w:rsid w:val="FF3F7E3F"/>
    <w:rsid w:val="FFBA12D7"/>
    <w:rsid w:val="FFCBD314"/>
    <w:rsid w:val="FFDFF91C"/>
    <w:rsid w:val="FFDFFAEE"/>
    <w:rsid w:val="FFEF6777"/>
    <w:rsid w:val="FFF9B57B"/>
    <w:rsid w:val="FFFD61D9"/>
    <w:rsid w:val="FFFD8F59"/>
    <w:rsid w:val="FFFF2BB1"/>
    <w:rsid w:val="FFFFB04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9"/>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3"/>
    <w:unhideWhenUsed/>
    <w:qFormat/>
    <w:uiPriority w:val="9"/>
    <w:pPr>
      <w:keepNext/>
      <w:keepLines/>
      <w:spacing w:before="260" w:after="260" w:line="416" w:lineRule="auto"/>
      <w:outlineLvl w:val="2"/>
    </w:pPr>
    <w:rPr>
      <w:b/>
      <w:bCs/>
      <w:sz w:val="32"/>
      <w:szCs w:val="32"/>
    </w:rPr>
  </w:style>
  <w:style w:type="character" w:default="1" w:styleId="17">
    <w:name w:val="Default Paragraph Font"/>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6"/>
    <w:qFormat/>
    <w:uiPriority w:val="99"/>
    <w:pPr>
      <w:spacing w:beforeLines="30"/>
    </w:pPr>
    <w:rPr>
      <w:rFonts w:ascii="仿宋_GB2312" w:eastAsia="仿宋_GB2312"/>
      <w:kern w:val="0"/>
      <w:sz w:val="30"/>
    </w:rPr>
  </w:style>
  <w:style w:type="paragraph" w:styleId="6">
    <w:name w:val="Body Text Indent"/>
    <w:basedOn w:val="1"/>
    <w:next w:val="7"/>
    <w:qFormat/>
    <w:uiPriority w:val="0"/>
    <w:pPr>
      <w:spacing w:after="120"/>
      <w:ind w:leftChars="200"/>
    </w:pPr>
    <w:rPr>
      <w:rFonts w:ascii="仿宋_GB2312"/>
      <w:szCs w:val="32"/>
    </w:rPr>
  </w:style>
  <w:style w:type="paragraph" w:styleId="7">
    <w:name w:val="Body Text First Indent 2"/>
    <w:basedOn w:val="6"/>
    <w:unhideWhenUsed/>
    <w:qFormat/>
    <w:uiPriority w:val="99"/>
    <w:pPr>
      <w:ind w:firstLine="420" w:firstLineChars="200"/>
    </w:p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2"/>
    <w:semiHidden/>
    <w:unhideWhenUsed/>
    <w:qFormat/>
    <w:uiPriority w:val="99"/>
    <w:rPr>
      <w:sz w:val="18"/>
      <w:szCs w:val="18"/>
    </w:rPr>
  </w:style>
  <w:style w:type="paragraph" w:styleId="10">
    <w:name w:val="footer"/>
    <w:basedOn w:val="1"/>
    <w:link w:val="24"/>
    <w:qFormat/>
    <w:uiPriority w:val="99"/>
    <w:pPr>
      <w:tabs>
        <w:tab w:val="center" w:pos="4153"/>
        <w:tab w:val="right" w:pos="8306"/>
      </w:tabs>
      <w:snapToGrid w:val="0"/>
      <w:jc w:val="left"/>
    </w:pPr>
    <w:rPr>
      <w:rFonts w:ascii="Calibri" w:hAnsi="Calibri"/>
      <w:kern w:val="0"/>
      <w:sz w:val="18"/>
      <w:szCs w:val="18"/>
    </w:rPr>
  </w:style>
  <w:style w:type="paragraph" w:styleId="11">
    <w:name w:val="header"/>
    <w:basedOn w:val="1"/>
    <w:link w:val="22"/>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footnote text"/>
    <w:basedOn w:val="1"/>
    <w:next w:val="7"/>
    <w:semiHidden/>
    <w:qFormat/>
    <w:uiPriority w:val="0"/>
    <w:pPr>
      <w:snapToGrid w:val="0"/>
      <w:jc w:val="left"/>
    </w:pPr>
    <w:rPr>
      <w:sz w:val="18"/>
      <w:szCs w:val="18"/>
    </w:rPr>
  </w:style>
  <w:style w:type="paragraph" w:styleId="14">
    <w:name w:val="toc 2"/>
    <w:basedOn w:val="1"/>
    <w:next w:val="1"/>
    <w:unhideWhenUsed/>
    <w:qFormat/>
    <w:uiPriority w:val="39"/>
    <w:pPr>
      <w:tabs>
        <w:tab w:val="right" w:leader="dot" w:pos="8296"/>
      </w:tabs>
      <w:ind w:left="420" w:leftChars="200"/>
    </w:pPr>
  </w:style>
  <w:style w:type="paragraph" w:styleId="15">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8">
    <w:name w:val="Strong"/>
    <w:basedOn w:val="17"/>
    <w:qFormat/>
    <w:uiPriority w:val="99"/>
    <w:rPr>
      <w:b/>
    </w:rPr>
  </w:style>
  <w:style w:type="character" w:styleId="19">
    <w:name w:val="Hyperlink"/>
    <w:basedOn w:val="17"/>
    <w:unhideWhenUsed/>
    <w:qFormat/>
    <w:uiPriority w:val="99"/>
    <w:rPr>
      <w:color w:val="0000FF" w:themeColor="hyperlink"/>
      <w:u w:val="single"/>
      <w14:textFill>
        <w14:solidFill>
          <w14:schemeClr w14:val="hlink"/>
        </w14:solidFill>
      </w14:textFill>
    </w:rPr>
  </w:style>
  <w:style w:type="paragraph" w:customStyle="1" w:styleId="20">
    <w:name w:val="标题 5（有编号）（绿盟科技）"/>
    <w:next w:val="1"/>
    <w:qFormat/>
    <w:uiPriority w:val="99"/>
    <w:pPr>
      <w:keepNext/>
      <w:keepLines/>
      <w:widowControl w:val="0"/>
      <w:spacing w:before="280" w:after="156" w:line="377" w:lineRule="auto"/>
      <w:jc w:val="left"/>
      <w:outlineLvl w:val="4"/>
    </w:pPr>
    <w:rPr>
      <w:rFonts w:ascii="Arial" w:hAnsi="Arial" w:eastAsia="黑体" w:cs="Times New Roman"/>
      <w:b/>
      <w:kern w:val="2"/>
      <w:sz w:val="24"/>
      <w:szCs w:val="28"/>
      <w:lang w:val="en-US" w:eastAsia="zh-CN" w:bidi="ar-SA"/>
    </w:rPr>
  </w:style>
  <w:style w:type="character" w:customStyle="1" w:styleId="21">
    <w:name w:val="Header Char"/>
    <w:basedOn w:val="17"/>
    <w:semiHidden/>
    <w:qFormat/>
    <w:uiPriority w:val="99"/>
    <w:rPr>
      <w:rFonts w:ascii="Times New Roman" w:hAnsi="Times New Roman"/>
      <w:sz w:val="18"/>
      <w:szCs w:val="18"/>
    </w:rPr>
  </w:style>
  <w:style w:type="character" w:customStyle="1" w:styleId="22">
    <w:name w:val="页眉 Char"/>
    <w:link w:val="11"/>
    <w:semiHidden/>
    <w:qFormat/>
    <w:locked/>
    <w:uiPriority w:val="99"/>
    <w:rPr>
      <w:sz w:val="18"/>
    </w:rPr>
  </w:style>
  <w:style w:type="character" w:customStyle="1" w:styleId="23">
    <w:name w:val="Footer Char"/>
    <w:basedOn w:val="17"/>
    <w:semiHidden/>
    <w:qFormat/>
    <w:uiPriority w:val="99"/>
    <w:rPr>
      <w:rFonts w:ascii="Times New Roman" w:hAnsi="Times New Roman"/>
      <w:sz w:val="18"/>
      <w:szCs w:val="18"/>
    </w:rPr>
  </w:style>
  <w:style w:type="character" w:customStyle="1" w:styleId="24">
    <w:name w:val="页脚 Char"/>
    <w:link w:val="10"/>
    <w:qFormat/>
    <w:locked/>
    <w:uiPriority w:val="99"/>
    <w:rPr>
      <w:sz w:val="18"/>
    </w:rPr>
  </w:style>
  <w:style w:type="character" w:customStyle="1" w:styleId="25">
    <w:name w:val="Body Text Char"/>
    <w:basedOn w:val="17"/>
    <w:semiHidden/>
    <w:qFormat/>
    <w:uiPriority w:val="99"/>
    <w:rPr>
      <w:rFonts w:ascii="Times New Roman" w:hAnsi="Times New Roman"/>
      <w:szCs w:val="24"/>
    </w:rPr>
  </w:style>
  <w:style w:type="character" w:customStyle="1" w:styleId="26">
    <w:name w:val="正文文本 Char"/>
    <w:link w:val="5"/>
    <w:qFormat/>
    <w:locked/>
    <w:uiPriority w:val="99"/>
    <w:rPr>
      <w:rFonts w:ascii="仿宋_GB2312" w:hAnsi="Times New Roman" w:eastAsia="仿宋_GB2312"/>
      <w:sz w:val="24"/>
    </w:rPr>
  </w:style>
  <w:style w:type="paragraph" w:customStyle="1" w:styleId="27">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8">
    <w:name w:val="List Paragraph"/>
    <w:basedOn w:val="1"/>
    <w:qFormat/>
    <w:uiPriority w:val="34"/>
    <w:pPr>
      <w:ind w:firstLine="420" w:firstLineChars="200"/>
    </w:pPr>
  </w:style>
  <w:style w:type="character" w:customStyle="1" w:styleId="29">
    <w:name w:val="标题 1 Char"/>
    <w:basedOn w:val="17"/>
    <w:link w:val="2"/>
    <w:qFormat/>
    <w:uiPriority w:val="9"/>
    <w:rPr>
      <w:rFonts w:ascii="Times New Roman" w:hAnsi="Times New Roman"/>
      <w:b/>
      <w:bCs/>
      <w:kern w:val="44"/>
      <w:sz w:val="44"/>
      <w:szCs w:val="44"/>
    </w:rPr>
  </w:style>
  <w:style w:type="character" w:customStyle="1" w:styleId="30">
    <w:name w:val="标题 2 Char"/>
    <w:basedOn w:val="17"/>
    <w:link w:val="3"/>
    <w:qFormat/>
    <w:uiPriority w:val="9"/>
    <w:rPr>
      <w:rFonts w:asciiTheme="majorHAnsi" w:hAnsiTheme="majorHAnsi" w:eastAsiaTheme="majorEastAsia" w:cstheme="majorBidi"/>
      <w:b/>
      <w:bCs/>
      <w:kern w:val="2"/>
      <w:sz w:val="32"/>
      <w:szCs w:val="32"/>
    </w:rPr>
  </w:style>
  <w:style w:type="paragraph" w:customStyle="1" w:styleId="31">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2">
    <w:name w:val="批注框文本 Char"/>
    <w:basedOn w:val="17"/>
    <w:link w:val="9"/>
    <w:semiHidden/>
    <w:qFormat/>
    <w:uiPriority w:val="99"/>
    <w:rPr>
      <w:rFonts w:ascii="Times New Roman" w:hAnsi="Times New Roman"/>
      <w:kern w:val="2"/>
      <w:sz w:val="18"/>
      <w:szCs w:val="18"/>
    </w:rPr>
  </w:style>
  <w:style w:type="character" w:customStyle="1" w:styleId="33">
    <w:name w:val="标题 3 Char"/>
    <w:basedOn w:val="17"/>
    <w:link w:val="4"/>
    <w:qFormat/>
    <w:uiPriority w:val="9"/>
    <w:rPr>
      <w:rFonts w:ascii="Times New Roman" w:hAnsi="Times New Roman"/>
      <w:b/>
      <w:bCs/>
      <w:kern w:val="2"/>
      <w:sz w:val="32"/>
      <w:szCs w:val="32"/>
    </w:rPr>
  </w:style>
  <w:style w:type="paragraph" w:customStyle="1" w:styleId="34">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paragraph" w:customStyle="1" w:styleId="35">
    <w:name w:val="四号正文"/>
    <w:basedOn w:val="1"/>
    <w:qFormat/>
    <w:uiPriority w:val="0"/>
    <w:pPr>
      <w:spacing w:line="360" w:lineRule="auto"/>
    </w:pPr>
    <w:rPr>
      <w:rFonts w:ascii="??" w:hAnsi="??" w:eastAsia="宋体"/>
      <w:color w:val="000000"/>
      <w:kern w:val="0"/>
      <w:sz w:val="28"/>
      <w:szCs w:val="21"/>
      <w:lang w:val="zh-CN" w:eastAsia="zh-CN"/>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6195462a-9bf1-4c45-81c0-5aa69d9b0324</errorID>
      <errorWord>城乡居民参保</errorWord>
      <group>L1_Political</group>
      <groupName>政治性问题</groupName>
      <ability>L2_Keyword</ability>
      <abilityName>固定表述</abilityName>
      <candidateList>
        <item>城乡居民医保</item>
      </candidateList>
      <explain>词汇“城乡居民医保”在特定场景下为固定表述形式，请确认此处的“城乡居民参保”是否存在不当。</explain>
      <paraID>7372ED05</paraID>
      <start>24</start>
      <end>30</end>
      <status>modified</status>
      <modifiedWord>城乡居民医保</modifiedWord>
      <trackRevisions>false</trackRevisions>
    </reviewItem>
    <reviewItem>
      <errorID>42fb7fd0-5261-4e56-b744-21341c295d21</errorID>
      <errorWord>现金管理暂行条例</errorWord>
      <group>L1_Knowledge</group>
      <groupName>知识性问题</groupName>
      <ability>L2_Knowledge</ability>
      <abilityName>其他知识</abilityName>
      <candidateList/>
      <explain>该法规已废止，请注意检查引用是否正确。</explain>
      <paraID>76286EDE</paraID>
      <start>21</start>
      <end>29</end>
      <status>ignored</status>
      <modifiedWord/>
      <trackRevisions>false</trackRevisions>
    </reviewItem>
    <reviewItem>
      <errorID>272a700b-3fe6-48ca-bd77-cf23f1b6d007</errorID>
      <errorWord>交回</errorWord>
      <group>L1_Word</group>
      <groupName>字词问题</groupName>
      <ability>L2_Typo</ability>
      <abilityName>字词错误</abilityName>
      <candidateList>
        <item>缴回</item>
      </candidateList>
      <explain>存在发音相同字词的误用。</explain>
      <paraID>4EC1D561</paraID>
      <start>48</start>
      <end>50</end>
      <status>modified</status>
      <modifiedWord>缴回</modifiedWord>
      <trackRevisions>false</trackRevisions>
    </reviewItem>
  </reviewItems>
  <config/>
</contractReview>
</file>

<file path=customXml/itemProps1.xml><?xml version="1.0" encoding="utf-8"?>
<ds:datastoreItem xmlns:ds="http://schemas.openxmlformats.org/officeDocument/2006/customXml" ds:itemID="{fd711484-f2b0-4b49-93a4-84462c0bd17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4570</Words>
  <Characters>4936</Characters>
  <Lines>61</Lines>
  <Paragraphs>17</Paragraphs>
  <TotalTime>8</TotalTime>
  <ScaleCrop>false</ScaleCrop>
  <LinksUpToDate>false</LinksUpToDate>
  <CharactersWithSpaces>5025</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2020-08-09T09:49:00Z</dcterms:created>
  <dc:creator>曹颖</dc:creator>
  <cp:lastModifiedBy>奕夕^_^</cp:lastModifiedBy>
  <cp:lastPrinted>2025-08-06T17:34:00Z</cp:lastPrinted>
  <dcterms:modified xsi:type="dcterms:W3CDTF">2026-04-23T02:11:29Z</dcterms:modified>
  <dc:title>四川省***</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04787F2533EB45DC91BCDE4AB213247F</vt:lpwstr>
  </property>
  <property fmtid="{D5CDD505-2E9C-101B-9397-08002B2CF9AE}" pid="4" name="KSOTemplateDocerSaveRecord">
    <vt:lpwstr>eyJoZGlkIjoiNTU1MWNhN2ZmY2ZhZmY3ODhlYTg0MWU5OGMyY2QwZmUiLCJ1c2VySWQiOiI0MzQ2NTM0NzEifQ==</vt:lpwstr>
  </property>
</Properties>
</file>