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24BAE">
      <w:pPr>
        <w:adjustRightInd w:val="0"/>
        <w:snapToGrid w:val="0"/>
        <w:spacing w:line="360" w:lineRule="auto"/>
        <w:jc w:val="center"/>
        <w:outlineLvl w:val="0"/>
        <w:rPr>
          <w:rFonts w:ascii="方正小标宋简体" w:hAnsi="宋体" w:eastAsia="方正小标宋简体"/>
          <w:color w:val="000000"/>
          <w:sz w:val="72"/>
          <w:szCs w:val="72"/>
        </w:rPr>
      </w:pPr>
      <w:bookmarkStart w:id="0" w:name="_Toc15378441"/>
      <w:bookmarkStart w:id="1" w:name="_Toc15396475"/>
      <w:bookmarkStart w:id="2" w:name="_Toc13710"/>
      <w:bookmarkStart w:id="3" w:name="_Toc15377193"/>
      <w:bookmarkStart w:id="4" w:name="_Toc15396597"/>
      <w:bookmarkStart w:id="5" w:name="_Toc15377425"/>
      <w:bookmarkStart w:id="6" w:name="_Toc15396599"/>
      <w:bookmarkStart w:id="7" w:name="_Toc15377196"/>
      <w:bookmarkStart w:id="8" w:name="_Toc148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p>
    <w:p w14:paraId="1B3E17E6">
      <w:pPr>
        <w:adjustRightInd w:val="0"/>
        <w:snapToGrid w:val="0"/>
        <w:spacing w:line="360" w:lineRule="auto"/>
        <w:jc w:val="center"/>
        <w:outlineLvl w:val="0"/>
        <w:rPr>
          <w:rFonts w:ascii="方正小标宋简体" w:hAnsi="宋体" w:eastAsia="方正小标宋简体"/>
          <w:color w:val="000000"/>
          <w:sz w:val="72"/>
          <w:szCs w:val="72"/>
        </w:rPr>
      </w:pPr>
      <w:bookmarkStart w:id="9" w:name="_Toc15377194"/>
      <w:bookmarkStart w:id="10" w:name="_Toc15396598"/>
      <w:bookmarkStart w:id="11" w:name="_Toc15377426"/>
      <w:bookmarkStart w:id="12" w:name="_Toc15378442"/>
      <w:bookmarkStart w:id="13" w:name="_Toc6776"/>
      <w:bookmarkStart w:id="14" w:name="_Toc15396476"/>
      <w:r>
        <w:rPr>
          <w:rFonts w:hint="eastAsia" w:ascii="方正小标宋简体" w:hAnsi="宋体" w:eastAsia="方正小标宋简体"/>
          <w:color w:val="000000"/>
          <w:sz w:val="72"/>
          <w:szCs w:val="72"/>
        </w:rPr>
        <w:t>四川省阿坝州</w:t>
      </w:r>
      <w:bookmarkStart w:id="15" w:name="_Toc15306268"/>
      <w:r>
        <w:rPr>
          <w:rFonts w:hint="eastAsia" w:ascii="方正小标宋简体" w:hAnsi="宋体" w:eastAsia="方正小标宋简体"/>
          <w:color w:val="000000"/>
          <w:sz w:val="72"/>
          <w:szCs w:val="72"/>
        </w:rPr>
        <w:t>松潘县黄龙乡部门决算</w:t>
      </w:r>
      <w:bookmarkEnd w:id="9"/>
      <w:bookmarkEnd w:id="10"/>
      <w:bookmarkEnd w:id="11"/>
      <w:bookmarkEnd w:id="12"/>
      <w:bookmarkEnd w:id="13"/>
      <w:bookmarkEnd w:id="14"/>
      <w:bookmarkEnd w:id="15"/>
    </w:p>
    <w:p w14:paraId="3827832F">
      <w:pPr>
        <w:widowControl/>
        <w:jc w:val="center"/>
        <w:rPr>
          <w:rFonts w:ascii="方正小标宋简体" w:hAnsi="宋体" w:eastAsia="方正小标宋简体"/>
          <w:color w:val="000000"/>
          <w:sz w:val="36"/>
          <w:szCs w:val="36"/>
        </w:rPr>
      </w:pPr>
    </w:p>
    <w:p w14:paraId="5EE0777E">
      <w:pPr>
        <w:rPr>
          <w:rFonts w:ascii="方正小标宋简体" w:hAnsi="宋体" w:eastAsia="方正小标宋简体"/>
          <w:sz w:val="36"/>
          <w:szCs w:val="36"/>
        </w:rPr>
      </w:pPr>
    </w:p>
    <w:p w14:paraId="6454F94F">
      <w:pPr>
        <w:rPr>
          <w:rFonts w:ascii="方正小标宋简体" w:hAnsi="宋体" w:eastAsia="方正小标宋简体"/>
          <w:sz w:val="36"/>
          <w:szCs w:val="36"/>
        </w:rPr>
      </w:pPr>
    </w:p>
    <w:p w14:paraId="2AED320E">
      <w:pPr>
        <w:rPr>
          <w:rFonts w:ascii="方正小标宋简体" w:hAnsi="宋体" w:eastAsia="方正小标宋简体"/>
          <w:sz w:val="36"/>
          <w:szCs w:val="36"/>
        </w:rPr>
      </w:pPr>
    </w:p>
    <w:p w14:paraId="68A5FB34">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42A2FBF7">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01A91929">
      <w:pPr>
        <w:widowControl/>
        <w:jc w:val="center"/>
        <w:rPr>
          <w:rFonts w:ascii="方正小标宋简体" w:hAnsi="宋体" w:eastAsia="方正小标宋简体"/>
          <w:sz w:val="36"/>
          <w:szCs w:val="36"/>
        </w:rPr>
      </w:pPr>
    </w:p>
    <w:p w14:paraId="4F36F8FC"/>
    <w:p w14:paraId="0AFAB325">
      <w:pPr>
        <w:pStyle w:val="2"/>
        <w:jc w:val="center"/>
        <w:rPr>
          <w:rFonts w:ascii="方正小标宋简体" w:hAnsi="宋体" w:eastAsia="方正小标宋简体"/>
          <w:sz w:val="36"/>
          <w:szCs w:val="36"/>
        </w:rPr>
      </w:pPr>
      <w:r>
        <w:rPr>
          <w:rFonts w:ascii="方正小标宋简体" w:hAnsi="宋体" w:eastAsia="方正小标宋简体"/>
          <w:sz w:val="36"/>
          <w:szCs w:val="36"/>
        </w:rPr>
        <w:br w:type="page"/>
      </w:r>
    </w:p>
    <w:sdt>
      <w:sdtPr>
        <w:rPr>
          <w:rFonts w:ascii="宋体" w:hAnsi="宋体"/>
          <w:b/>
          <w:bCs/>
          <w:sz w:val="48"/>
          <w:szCs w:val="48"/>
        </w:rPr>
        <w:id w:val="147465729"/>
        <w15:color w:val="DBDBDB"/>
        <w:docPartObj>
          <w:docPartGallery w:val="Table of Contents"/>
          <w:docPartUnique/>
        </w:docPartObj>
      </w:sdtPr>
      <w:sdtEndPr>
        <w:rPr>
          <w:rFonts w:ascii="宋体" w:hAnsi="宋体"/>
          <w:b/>
          <w:bCs/>
          <w:sz w:val="48"/>
          <w:szCs w:val="48"/>
        </w:rPr>
      </w:sdtEndPr>
      <w:sdtContent>
        <w:p w14:paraId="4EB737FB">
          <w:pPr>
            <w:jc w:val="center"/>
            <w:rPr>
              <w:b/>
              <w:bCs/>
              <w:sz w:val="48"/>
              <w:szCs w:val="48"/>
            </w:rPr>
          </w:pPr>
          <w:r>
            <w:rPr>
              <w:rFonts w:ascii="宋体" w:hAnsi="宋体"/>
              <w:b/>
              <w:bCs/>
              <w:sz w:val="48"/>
              <w:szCs w:val="48"/>
            </w:rPr>
            <w:t>目录</w:t>
          </w:r>
        </w:p>
        <w:p w14:paraId="65EB7218">
          <w:pPr>
            <w:pStyle w:val="32"/>
            <w:tabs>
              <w:tab w:val="right" w:leader="dot" w:pos="8306"/>
            </w:tabs>
            <w:rPr>
              <w:b/>
            </w:rPr>
          </w:pPr>
          <w:r>
            <w:fldChar w:fldCharType="begin"/>
          </w:r>
          <w:r>
            <w:instrText xml:space="preserve">TOC \o "1-2" \h \u </w:instrText>
          </w:r>
          <w:r>
            <w:fldChar w:fldCharType="separate"/>
          </w:r>
        </w:p>
        <w:p w14:paraId="148501BA">
          <w:pPr>
            <w:pStyle w:val="32"/>
            <w:tabs>
              <w:tab w:val="right" w:leader="dot" w:pos="8306"/>
            </w:tabs>
            <w:rPr>
              <w:b/>
            </w:rPr>
          </w:pPr>
          <w:r>
            <w:fldChar w:fldCharType="begin"/>
          </w:r>
          <w:r>
            <w:instrText xml:space="preserve"> HYPERLINK \l "_Toc4316" </w:instrText>
          </w:r>
          <w:r>
            <w:fldChar w:fldCharType="separate"/>
          </w:r>
          <w:r>
            <w:rPr>
              <w:rFonts w:hint="eastAsia" w:ascii="黑体" w:hAnsi="黑体" w:eastAsia="黑体"/>
              <w:b/>
            </w:rPr>
            <w:t>第一部分 部门概况</w:t>
          </w:r>
          <w:r>
            <w:rPr>
              <w:b/>
            </w:rPr>
            <w:tab/>
          </w:r>
          <w:r>
            <w:rPr>
              <w:b/>
            </w:rPr>
            <w:fldChar w:fldCharType="begin"/>
          </w:r>
          <w:r>
            <w:rPr>
              <w:b/>
            </w:rPr>
            <w:instrText xml:space="preserve"> PAGEREF _Toc4316 </w:instrText>
          </w:r>
          <w:r>
            <w:rPr>
              <w:b/>
            </w:rPr>
            <w:fldChar w:fldCharType="separate"/>
          </w:r>
          <w:r>
            <w:rPr>
              <w:b/>
            </w:rPr>
            <w:t>3</w:t>
          </w:r>
          <w:r>
            <w:rPr>
              <w:b/>
            </w:rPr>
            <w:fldChar w:fldCharType="end"/>
          </w:r>
          <w:r>
            <w:rPr>
              <w:b/>
            </w:rPr>
            <w:fldChar w:fldCharType="end"/>
          </w:r>
        </w:p>
        <w:p w14:paraId="4D9FEB7A">
          <w:pPr>
            <w:pStyle w:val="33"/>
            <w:tabs>
              <w:tab w:val="right" w:leader="dot" w:pos="8306"/>
            </w:tabs>
            <w:ind w:left="420"/>
          </w:pPr>
          <w:r>
            <w:fldChar w:fldCharType="begin"/>
          </w:r>
          <w:r>
            <w:instrText xml:space="preserve"> HYPERLINK \l "_Toc24052" </w:instrText>
          </w:r>
          <w:r>
            <w:fldChar w:fldCharType="separate"/>
          </w:r>
          <w:r>
            <w:rPr>
              <w:rFonts w:hint="eastAsia" w:ascii="黑体" w:hAnsi="黑体" w:eastAsia="黑体"/>
            </w:rPr>
            <w:t>一、基本职能及主要工作</w:t>
          </w:r>
          <w:r>
            <w:tab/>
          </w:r>
          <w:r>
            <w:fldChar w:fldCharType="begin"/>
          </w:r>
          <w:r>
            <w:instrText xml:space="preserve"> PAGEREF _Toc24052 </w:instrText>
          </w:r>
          <w:r>
            <w:fldChar w:fldCharType="separate"/>
          </w:r>
          <w:r>
            <w:t>3</w:t>
          </w:r>
          <w:r>
            <w:fldChar w:fldCharType="end"/>
          </w:r>
          <w:r>
            <w:fldChar w:fldCharType="end"/>
          </w:r>
        </w:p>
        <w:p w14:paraId="0B1975EC">
          <w:pPr>
            <w:pStyle w:val="33"/>
            <w:tabs>
              <w:tab w:val="right" w:leader="dot" w:pos="8306"/>
            </w:tabs>
            <w:ind w:left="420"/>
          </w:pPr>
          <w:r>
            <w:fldChar w:fldCharType="begin"/>
          </w:r>
          <w:r>
            <w:instrText xml:space="preserve"> HYPERLINK \l "_Toc18130"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_Toc18130 </w:instrText>
          </w:r>
          <w:r>
            <w:fldChar w:fldCharType="separate"/>
          </w:r>
          <w:r>
            <w:t>4</w:t>
          </w:r>
          <w:r>
            <w:fldChar w:fldCharType="end"/>
          </w:r>
          <w:r>
            <w:fldChar w:fldCharType="end"/>
          </w:r>
        </w:p>
        <w:p w14:paraId="6ACDA6F7">
          <w:pPr>
            <w:pStyle w:val="32"/>
            <w:tabs>
              <w:tab w:val="right" w:leader="dot" w:pos="8306"/>
            </w:tabs>
            <w:rPr>
              <w:b/>
            </w:rPr>
          </w:pPr>
          <w:r>
            <w:fldChar w:fldCharType="begin"/>
          </w:r>
          <w:r>
            <w:instrText xml:space="preserve"> HYPERLINK \l "_Toc14583" </w:instrText>
          </w:r>
          <w:r>
            <w:fldChar w:fldCharType="separate"/>
          </w:r>
          <w:r>
            <w:rPr>
              <w:rFonts w:hint="eastAsia" w:ascii="黑体" w:hAnsi="黑体" w:eastAsia="黑体"/>
              <w:b/>
            </w:rPr>
            <w:t>第二部分 2019年度部门决算情况说明</w:t>
          </w:r>
          <w:r>
            <w:rPr>
              <w:b/>
            </w:rPr>
            <w:tab/>
          </w:r>
          <w:r>
            <w:rPr>
              <w:b/>
            </w:rPr>
            <w:fldChar w:fldCharType="begin"/>
          </w:r>
          <w:r>
            <w:rPr>
              <w:b/>
            </w:rPr>
            <w:instrText xml:space="preserve"> PAGEREF _Toc14583 </w:instrText>
          </w:r>
          <w:r>
            <w:rPr>
              <w:b/>
            </w:rPr>
            <w:fldChar w:fldCharType="separate"/>
          </w:r>
          <w:r>
            <w:rPr>
              <w:b/>
            </w:rPr>
            <w:t>7</w:t>
          </w:r>
          <w:r>
            <w:rPr>
              <w:b/>
            </w:rPr>
            <w:fldChar w:fldCharType="end"/>
          </w:r>
          <w:r>
            <w:rPr>
              <w:b/>
            </w:rPr>
            <w:fldChar w:fldCharType="end"/>
          </w:r>
        </w:p>
        <w:p w14:paraId="6E8B2F77">
          <w:pPr>
            <w:pStyle w:val="33"/>
            <w:tabs>
              <w:tab w:val="right" w:leader="dot" w:pos="8306"/>
            </w:tabs>
            <w:ind w:left="420"/>
          </w:pPr>
          <w:r>
            <w:fldChar w:fldCharType="begin"/>
          </w:r>
          <w:r>
            <w:instrText xml:space="preserve"> HYPERLINK \l "_Toc397"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_Toc397 </w:instrText>
          </w:r>
          <w:r>
            <w:fldChar w:fldCharType="separate"/>
          </w:r>
          <w:r>
            <w:t>7</w:t>
          </w:r>
          <w:r>
            <w:fldChar w:fldCharType="end"/>
          </w:r>
          <w:r>
            <w:fldChar w:fldCharType="end"/>
          </w:r>
        </w:p>
        <w:p w14:paraId="6CA8CB0F">
          <w:pPr>
            <w:pStyle w:val="33"/>
            <w:tabs>
              <w:tab w:val="right" w:leader="dot" w:pos="8306"/>
            </w:tabs>
            <w:ind w:left="420"/>
          </w:pPr>
          <w:r>
            <w:fldChar w:fldCharType="begin"/>
          </w:r>
          <w:r>
            <w:instrText xml:space="preserve"> HYPERLINK \l "_Toc22197" </w:instrText>
          </w:r>
          <w:r>
            <w:fldChar w:fldCharType="separate"/>
          </w:r>
          <w:r>
            <w:rPr>
              <w:rFonts w:ascii="仿宋_GB2312" w:hAnsi="宋体" w:eastAsia="仿宋_GB2312"/>
              <w:szCs w:val="28"/>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_Toc22197 </w:instrText>
          </w:r>
          <w:r>
            <w:fldChar w:fldCharType="separate"/>
          </w:r>
          <w:r>
            <w:t>7</w:t>
          </w:r>
          <w:r>
            <w:fldChar w:fldCharType="end"/>
          </w:r>
          <w:r>
            <w:fldChar w:fldCharType="end"/>
          </w:r>
        </w:p>
        <w:p w14:paraId="2282EEC5">
          <w:pPr>
            <w:pStyle w:val="33"/>
            <w:tabs>
              <w:tab w:val="right" w:leader="dot" w:pos="8306"/>
            </w:tabs>
            <w:ind w:left="420"/>
          </w:pPr>
          <w:r>
            <w:fldChar w:fldCharType="begin"/>
          </w:r>
          <w:r>
            <w:instrText xml:space="preserve"> HYPERLINK \l "_Toc25242"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_Toc25242 </w:instrText>
          </w:r>
          <w:r>
            <w:fldChar w:fldCharType="separate"/>
          </w:r>
          <w:r>
            <w:t>7</w:t>
          </w:r>
          <w:r>
            <w:fldChar w:fldCharType="end"/>
          </w:r>
          <w:r>
            <w:fldChar w:fldCharType="end"/>
          </w:r>
        </w:p>
        <w:p w14:paraId="140EB9D6">
          <w:pPr>
            <w:pStyle w:val="33"/>
            <w:tabs>
              <w:tab w:val="right" w:leader="dot" w:pos="8306"/>
            </w:tabs>
            <w:ind w:left="420"/>
          </w:pPr>
          <w:r>
            <w:fldChar w:fldCharType="begin"/>
          </w:r>
          <w:r>
            <w:instrText xml:space="preserve"> HYPERLINK \l "_Toc6837"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_Toc6837 </w:instrText>
          </w:r>
          <w:r>
            <w:fldChar w:fldCharType="separate"/>
          </w:r>
          <w:r>
            <w:t>7</w:t>
          </w:r>
          <w:r>
            <w:fldChar w:fldCharType="end"/>
          </w:r>
          <w:r>
            <w:fldChar w:fldCharType="end"/>
          </w:r>
        </w:p>
        <w:p w14:paraId="13FBF80C">
          <w:pPr>
            <w:pStyle w:val="33"/>
            <w:tabs>
              <w:tab w:val="right" w:leader="dot" w:pos="8306"/>
            </w:tabs>
            <w:ind w:left="420"/>
          </w:pPr>
          <w:r>
            <w:fldChar w:fldCharType="begin"/>
          </w:r>
          <w:r>
            <w:instrText xml:space="preserve"> HYPERLINK \l "_Toc15037"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_Toc15037 </w:instrText>
          </w:r>
          <w:r>
            <w:fldChar w:fldCharType="separate"/>
          </w:r>
          <w:r>
            <w:t>7</w:t>
          </w:r>
          <w:r>
            <w:fldChar w:fldCharType="end"/>
          </w:r>
          <w:r>
            <w:fldChar w:fldCharType="end"/>
          </w:r>
        </w:p>
        <w:p w14:paraId="4467ABC4">
          <w:pPr>
            <w:pStyle w:val="33"/>
            <w:tabs>
              <w:tab w:val="right" w:leader="dot" w:pos="8306"/>
            </w:tabs>
            <w:ind w:left="420"/>
          </w:pPr>
          <w:r>
            <w:fldChar w:fldCharType="begin"/>
          </w:r>
          <w:r>
            <w:instrText xml:space="preserve"> HYPERLINK \l "_Toc28567"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_Toc28567 </w:instrText>
          </w:r>
          <w:r>
            <w:fldChar w:fldCharType="separate"/>
          </w:r>
          <w:r>
            <w:t>9</w:t>
          </w:r>
          <w:r>
            <w:fldChar w:fldCharType="end"/>
          </w:r>
          <w:r>
            <w:fldChar w:fldCharType="end"/>
          </w:r>
        </w:p>
        <w:p w14:paraId="58355C03">
          <w:pPr>
            <w:pStyle w:val="33"/>
            <w:tabs>
              <w:tab w:val="right" w:leader="dot" w:pos="8306"/>
            </w:tabs>
            <w:ind w:left="420"/>
          </w:pPr>
          <w:r>
            <w:fldChar w:fldCharType="begin"/>
          </w:r>
          <w:r>
            <w:instrText xml:space="preserve"> HYPERLINK \l "_Toc344"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_Toc344 </w:instrText>
          </w:r>
          <w:r>
            <w:fldChar w:fldCharType="separate"/>
          </w:r>
          <w:r>
            <w:t>9</w:t>
          </w:r>
          <w:r>
            <w:fldChar w:fldCharType="end"/>
          </w:r>
          <w:r>
            <w:fldChar w:fldCharType="end"/>
          </w:r>
        </w:p>
        <w:p w14:paraId="1217C8D1">
          <w:pPr>
            <w:pStyle w:val="33"/>
            <w:tabs>
              <w:tab w:val="right" w:leader="dot" w:pos="8306"/>
            </w:tabs>
            <w:ind w:left="420"/>
          </w:pPr>
          <w:r>
            <w:fldChar w:fldCharType="begin"/>
          </w:r>
          <w:r>
            <w:instrText xml:space="preserve"> HYPERLINK \l "_Toc2841"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_Toc2841 </w:instrText>
          </w:r>
          <w:r>
            <w:fldChar w:fldCharType="separate"/>
          </w:r>
          <w:r>
            <w:t>11</w:t>
          </w:r>
          <w:r>
            <w:fldChar w:fldCharType="end"/>
          </w:r>
          <w:r>
            <w:fldChar w:fldCharType="end"/>
          </w:r>
        </w:p>
        <w:p w14:paraId="357FB8B7">
          <w:pPr>
            <w:pStyle w:val="33"/>
            <w:tabs>
              <w:tab w:val="right" w:leader="dot" w:pos="8306"/>
            </w:tabs>
            <w:ind w:left="420"/>
          </w:pPr>
          <w:r>
            <w:fldChar w:fldCharType="begin"/>
          </w:r>
          <w:r>
            <w:instrText xml:space="preserve"> HYPERLINK \l "_Toc5113" </w:instrText>
          </w:r>
          <w:r>
            <w:fldChar w:fldCharType="separate"/>
          </w:r>
          <w:r>
            <w:rPr>
              <w:rFonts w:hint="eastAsia" w:ascii="黑体" w:hAnsi="黑体" w:eastAsia="黑体"/>
            </w:rPr>
            <w:t>九、 国有资本经营预算支出决算情况说明</w:t>
          </w:r>
          <w:r>
            <w:tab/>
          </w:r>
          <w:r>
            <w:fldChar w:fldCharType="begin"/>
          </w:r>
          <w:r>
            <w:instrText xml:space="preserve"> PAGEREF _Toc5113 </w:instrText>
          </w:r>
          <w:r>
            <w:fldChar w:fldCharType="separate"/>
          </w:r>
          <w:r>
            <w:t>11</w:t>
          </w:r>
          <w:r>
            <w:fldChar w:fldCharType="end"/>
          </w:r>
          <w:r>
            <w:fldChar w:fldCharType="end"/>
          </w:r>
        </w:p>
        <w:p w14:paraId="7FDE268F">
          <w:pPr>
            <w:pStyle w:val="33"/>
            <w:tabs>
              <w:tab w:val="right" w:leader="dot" w:pos="8306"/>
            </w:tabs>
            <w:ind w:left="420"/>
          </w:pPr>
          <w:r>
            <w:fldChar w:fldCharType="begin"/>
          </w:r>
          <w:r>
            <w:instrText xml:space="preserve"> HYPERLINK \l "_Toc25247"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_Toc25247 </w:instrText>
          </w:r>
          <w:r>
            <w:fldChar w:fldCharType="separate"/>
          </w:r>
          <w:r>
            <w:t>11</w:t>
          </w:r>
          <w:r>
            <w:fldChar w:fldCharType="end"/>
          </w:r>
          <w:r>
            <w:fldChar w:fldCharType="end"/>
          </w:r>
        </w:p>
        <w:p w14:paraId="087A333D">
          <w:pPr>
            <w:pStyle w:val="32"/>
            <w:tabs>
              <w:tab w:val="right" w:leader="dot" w:pos="8306"/>
            </w:tabs>
            <w:rPr>
              <w:b/>
            </w:rPr>
          </w:pPr>
          <w:r>
            <w:fldChar w:fldCharType="begin"/>
          </w:r>
          <w:r>
            <w:instrText xml:space="preserve"> HYPERLINK \l "_Toc26571" </w:instrText>
          </w:r>
          <w: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_Toc26571 </w:instrText>
          </w:r>
          <w:r>
            <w:rPr>
              <w:b/>
            </w:rPr>
            <w:fldChar w:fldCharType="separate"/>
          </w:r>
          <w:r>
            <w:rPr>
              <w:b/>
            </w:rPr>
            <w:t>13</w:t>
          </w:r>
          <w:r>
            <w:rPr>
              <w:b/>
            </w:rPr>
            <w:fldChar w:fldCharType="end"/>
          </w:r>
          <w:r>
            <w:rPr>
              <w:b/>
            </w:rPr>
            <w:fldChar w:fldCharType="end"/>
          </w:r>
        </w:p>
        <w:p w14:paraId="530C653B">
          <w:pPr>
            <w:pStyle w:val="32"/>
            <w:tabs>
              <w:tab w:val="right" w:leader="dot" w:pos="8306"/>
            </w:tabs>
            <w:rPr>
              <w:b/>
            </w:rPr>
          </w:pPr>
          <w:r>
            <w:fldChar w:fldCharType="begin"/>
          </w:r>
          <w:r>
            <w:instrText xml:space="preserve"> HYPERLINK \l "_Toc15906" </w:instrText>
          </w:r>
          <w: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_Toc15906 </w:instrText>
          </w:r>
          <w:r>
            <w:rPr>
              <w:b/>
            </w:rPr>
            <w:fldChar w:fldCharType="separate"/>
          </w:r>
          <w:r>
            <w:rPr>
              <w:b/>
            </w:rPr>
            <w:t>1</w:t>
          </w:r>
          <w:r>
            <w:rPr>
              <w:rFonts w:hint="eastAsia"/>
              <w:b/>
            </w:rPr>
            <w:t>5</w:t>
          </w:r>
          <w:r>
            <w:rPr>
              <w:b/>
            </w:rPr>
            <w:fldChar w:fldCharType="end"/>
          </w:r>
          <w:r>
            <w:rPr>
              <w:b/>
            </w:rPr>
            <w:fldChar w:fldCharType="end"/>
          </w:r>
        </w:p>
        <w:p w14:paraId="1D945982">
          <w:pPr>
            <w:pStyle w:val="32"/>
            <w:tabs>
              <w:tab w:val="right" w:leader="dot" w:pos="8306"/>
            </w:tabs>
            <w:rPr>
              <w:b/>
            </w:rPr>
          </w:pPr>
          <w:r>
            <w:fldChar w:fldCharType="begin"/>
          </w:r>
          <w:r>
            <w:instrText xml:space="preserve"> HYPERLINK \l "_Toc7676" </w:instrText>
          </w:r>
          <w:r>
            <w:fldChar w:fldCharType="separate"/>
          </w:r>
          <w:r>
            <w:rPr>
              <w:rFonts w:hint="eastAsia" w:ascii="黑体" w:hAnsi="黑体" w:eastAsia="黑体" w:cs="黑体"/>
              <w:b/>
              <w:szCs w:val="32"/>
            </w:rPr>
            <w:t>附件1</w:t>
          </w:r>
          <w:r>
            <w:rPr>
              <w:b/>
            </w:rPr>
            <w:tab/>
          </w:r>
          <w:r>
            <w:rPr>
              <w:b/>
            </w:rPr>
            <w:fldChar w:fldCharType="begin"/>
          </w:r>
          <w:r>
            <w:rPr>
              <w:b/>
            </w:rPr>
            <w:instrText xml:space="preserve"> PAGEREF _Toc7676 </w:instrText>
          </w:r>
          <w:r>
            <w:rPr>
              <w:b/>
            </w:rPr>
            <w:fldChar w:fldCharType="separate"/>
          </w:r>
          <w:r>
            <w:rPr>
              <w:b/>
            </w:rPr>
            <w:t>1</w:t>
          </w:r>
          <w:r>
            <w:rPr>
              <w:rFonts w:hint="eastAsia"/>
              <w:b/>
            </w:rPr>
            <w:t>5</w:t>
          </w:r>
          <w:r>
            <w:rPr>
              <w:b/>
            </w:rPr>
            <w:fldChar w:fldCharType="end"/>
          </w:r>
          <w:r>
            <w:rPr>
              <w:b/>
            </w:rPr>
            <w:fldChar w:fldCharType="end"/>
          </w:r>
        </w:p>
        <w:p w14:paraId="5F3A983B">
          <w:pPr>
            <w:pStyle w:val="32"/>
            <w:tabs>
              <w:tab w:val="right" w:leader="dot" w:pos="8306"/>
            </w:tabs>
            <w:rPr>
              <w:b/>
            </w:rPr>
          </w:pPr>
          <w:r>
            <w:fldChar w:fldCharType="begin"/>
          </w:r>
          <w:r>
            <w:instrText xml:space="preserve"> HYPERLINK \l "_Toc22651" </w:instrText>
          </w:r>
          <w: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_Toc22651 </w:instrText>
          </w:r>
          <w:r>
            <w:rPr>
              <w:b/>
            </w:rPr>
            <w:fldChar w:fldCharType="separate"/>
          </w:r>
          <w:r>
            <w:rPr>
              <w:b/>
            </w:rPr>
            <w:t>21</w:t>
          </w:r>
          <w:r>
            <w:rPr>
              <w:b/>
            </w:rPr>
            <w:fldChar w:fldCharType="end"/>
          </w:r>
          <w:r>
            <w:rPr>
              <w:b/>
            </w:rPr>
            <w:fldChar w:fldCharType="end"/>
          </w:r>
        </w:p>
        <w:p w14:paraId="65EEFEA0">
          <w:pPr>
            <w:pStyle w:val="33"/>
            <w:tabs>
              <w:tab w:val="right" w:leader="dot" w:pos="8306"/>
            </w:tabs>
            <w:ind w:left="420"/>
          </w:pPr>
          <w:r>
            <w:fldChar w:fldCharType="begin"/>
          </w:r>
          <w:r>
            <w:instrText xml:space="preserve"> HYPERLINK \l "_Toc21192" </w:instrText>
          </w:r>
          <w:r>
            <w:fldChar w:fldCharType="separate"/>
          </w:r>
          <w:r>
            <w:rPr>
              <w:rFonts w:hint="eastAsia" w:ascii="仿宋" w:hAnsi="仿宋" w:eastAsia="仿宋"/>
            </w:rPr>
            <w:t>一、收入支出决算总表</w:t>
          </w:r>
          <w:r>
            <w:tab/>
          </w:r>
          <w:r>
            <w:fldChar w:fldCharType="begin"/>
          </w:r>
          <w:r>
            <w:instrText xml:space="preserve"> PAGEREF _Toc21192 </w:instrText>
          </w:r>
          <w:r>
            <w:fldChar w:fldCharType="separate"/>
          </w:r>
          <w:r>
            <w:t>2</w:t>
          </w:r>
          <w:r>
            <w:rPr>
              <w:rFonts w:hint="eastAsia"/>
            </w:rPr>
            <w:t>1</w:t>
          </w:r>
          <w:r>
            <w:fldChar w:fldCharType="end"/>
          </w:r>
          <w:r>
            <w:fldChar w:fldCharType="end"/>
          </w:r>
        </w:p>
        <w:p w14:paraId="1CAB2F3F">
          <w:pPr>
            <w:pStyle w:val="33"/>
            <w:tabs>
              <w:tab w:val="right" w:leader="dot" w:pos="8306"/>
            </w:tabs>
            <w:ind w:left="420"/>
          </w:pPr>
          <w:r>
            <w:fldChar w:fldCharType="begin"/>
          </w:r>
          <w:r>
            <w:instrText xml:space="preserve"> HYPERLINK \l "_Toc32439" </w:instrText>
          </w:r>
          <w:r>
            <w:fldChar w:fldCharType="separate"/>
          </w:r>
          <w:r>
            <w:rPr>
              <w:rFonts w:hint="eastAsia" w:ascii="仿宋" w:hAnsi="仿宋" w:eastAsia="仿宋"/>
            </w:rPr>
            <w:t>二、收入决算表</w:t>
          </w:r>
          <w:r>
            <w:tab/>
          </w:r>
          <w:r>
            <w:fldChar w:fldCharType="begin"/>
          </w:r>
          <w:r>
            <w:instrText xml:space="preserve"> PAGEREF _Toc32439 </w:instrText>
          </w:r>
          <w:r>
            <w:fldChar w:fldCharType="separate"/>
          </w:r>
          <w:r>
            <w:t>2</w:t>
          </w:r>
          <w:r>
            <w:rPr>
              <w:rFonts w:hint="eastAsia"/>
            </w:rPr>
            <w:t>1</w:t>
          </w:r>
          <w:r>
            <w:fldChar w:fldCharType="end"/>
          </w:r>
          <w:r>
            <w:fldChar w:fldCharType="end"/>
          </w:r>
        </w:p>
        <w:p w14:paraId="6E4045AC">
          <w:pPr>
            <w:pStyle w:val="33"/>
            <w:tabs>
              <w:tab w:val="right" w:leader="dot" w:pos="8306"/>
            </w:tabs>
            <w:ind w:left="420"/>
          </w:pPr>
          <w:r>
            <w:fldChar w:fldCharType="begin"/>
          </w:r>
          <w:r>
            <w:instrText xml:space="preserve"> HYPERLINK \l "_Toc8660" </w:instrText>
          </w:r>
          <w:r>
            <w:fldChar w:fldCharType="separate"/>
          </w:r>
          <w:r>
            <w:rPr>
              <w:rFonts w:hint="eastAsia" w:ascii="仿宋" w:hAnsi="仿宋" w:eastAsia="仿宋"/>
            </w:rPr>
            <w:t>三、支出决算表</w:t>
          </w:r>
          <w:r>
            <w:tab/>
          </w:r>
          <w:r>
            <w:fldChar w:fldCharType="begin"/>
          </w:r>
          <w:r>
            <w:instrText xml:space="preserve"> PAGEREF _Toc8660 </w:instrText>
          </w:r>
          <w:r>
            <w:fldChar w:fldCharType="separate"/>
          </w:r>
          <w:r>
            <w:t>2</w:t>
          </w:r>
          <w:r>
            <w:rPr>
              <w:rFonts w:hint="eastAsia"/>
            </w:rPr>
            <w:t>1</w:t>
          </w:r>
          <w:r>
            <w:fldChar w:fldCharType="end"/>
          </w:r>
          <w:r>
            <w:fldChar w:fldCharType="end"/>
          </w:r>
        </w:p>
        <w:p w14:paraId="32BDC3C2">
          <w:pPr>
            <w:pStyle w:val="33"/>
            <w:tabs>
              <w:tab w:val="right" w:leader="dot" w:pos="8306"/>
            </w:tabs>
            <w:ind w:left="420"/>
          </w:pPr>
          <w:r>
            <w:fldChar w:fldCharType="begin"/>
          </w:r>
          <w:r>
            <w:instrText xml:space="preserve"> HYPERLINK \l "_Toc7535" </w:instrText>
          </w:r>
          <w:r>
            <w:fldChar w:fldCharType="separate"/>
          </w:r>
          <w:r>
            <w:rPr>
              <w:rFonts w:hint="eastAsia" w:ascii="仿宋" w:hAnsi="仿宋" w:eastAsia="仿宋"/>
            </w:rPr>
            <w:t>四、财政拨款收入支出决算总表</w:t>
          </w:r>
          <w:r>
            <w:tab/>
          </w:r>
          <w:r>
            <w:fldChar w:fldCharType="begin"/>
          </w:r>
          <w:r>
            <w:instrText xml:space="preserve"> PAGEREF _Toc7535 </w:instrText>
          </w:r>
          <w:r>
            <w:fldChar w:fldCharType="separate"/>
          </w:r>
          <w:r>
            <w:t>2</w:t>
          </w:r>
          <w:r>
            <w:rPr>
              <w:rFonts w:hint="eastAsia"/>
            </w:rPr>
            <w:t>1</w:t>
          </w:r>
          <w:r>
            <w:fldChar w:fldCharType="end"/>
          </w:r>
          <w:r>
            <w:fldChar w:fldCharType="end"/>
          </w:r>
        </w:p>
        <w:p w14:paraId="350BAF16">
          <w:pPr>
            <w:pStyle w:val="33"/>
            <w:tabs>
              <w:tab w:val="right" w:leader="dot" w:pos="8306"/>
            </w:tabs>
            <w:ind w:left="420"/>
          </w:pPr>
          <w:r>
            <w:fldChar w:fldCharType="begin"/>
          </w:r>
          <w:r>
            <w:instrText xml:space="preserve"> HYPERLINK \l "_Toc11964" </w:instrText>
          </w:r>
          <w:r>
            <w:fldChar w:fldCharType="separate"/>
          </w:r>
          <w:r>
            <w:rPr>
              <w:rFonts w:hint="eastAsia" w:ascii="仿宋" w:hAnsi="仿宋" w:eastAsia="仿宋"/>
            </w:rPr>
            <w:t>五、财政拨款支出决算明细表</w:t>
          </w:r>
          <w:r>
            <w:tab/>
          </w:r>
          <w:r>
            <w:fldChar w:fldCharType="begin"/>
          </w:r>
          <w:r>
            <w:instrText xml:space="preserve"> PAGEREF _Toc11964 </w:instrText>
          </w:r>
          <w:r>
            <w:fldChar w:fldCharType="separate"/>
          </w:r>
          <w:r>
            <w:t>2</w:t>
          </w:r>
          <w:r>
            <w:rPr>
              <w:rFonts w:hint="eastAsia"/>
            </w:rPr>
            <w:t>1</w:t>
          </w:r>
          <w:r>
            <w:fldChar w:fldCharType="end"/>
          </w:r>
          <w:r>
            <w:fldChar w:fldCharType="end"/>
          </w:r>
        </w:p>
        <w:p w14:paraId="1C48AF05">
          <w:pPr>
            <w:pStyle w:val="33"/>
            <w:tabs>
              <w:tab w:val="right" w:leader="dot" w:pos="8306"/>
            </w:tabs>
            <w:ind w:left="420"/>
          </w:pPr>
          <w:r>
            <w:fldChar w:fldCharType="begin"/>
          </w:r>
          <w:r>
            <w:instrText xml:space="preserve"> HYPERLINK \l "_Toc5540" </w:instrText>
          </w:r>
          <w:r>
            <w:fldChar w:fldCharType="separate"/>
          </w:r>
          <w:r>
            <w:rPr>
              <w:rFonts w:hint="eastAsia" w:ascii="仿宋" w:hAnsi="仿宋" w:eastAsia="仿宋"/>
            </w:rPr>
            <w:t>六、一般公共预算财政拨款支出决算表</w:t>
          </w:r>
          <w:r>
            <w:tab/>
          </w:r>
          <w:r>
            <w:fldChar w:fldCharType="begin"/>
          </w:r>
          <w:r>
            <w:instrText xml:space="preserve"> PAGEREF _Toc5540 </w:instrText>
          </w:r>
          <w:r>
            <w:fldChar w:fldCharType="separate"/>
          </w:r>
          <w:r>
            <w:t>2</w:t>
          </w:r>
          <w:r>
            <w:rPr>
              <w:rFonts w:hint="eastAsia"/>
            </w:rPr>
            <w:t>1</w:t>
          </w:r>
          <w:r>
            <w:fldChar w:fldCharType="end"/>
          </w:r>
          <w:r>
            <w:fldChar w:fldCharType="end"/>
          </w:r>
        </w:p>
        <w:p w14:paraId="2B6F05FE">
          <w:pPr>
            <w:pStyle w:val="33"/>
            <w:tabs>
              <w:tab w:val="right" w:leader="dot" w:pos="8306"/>
            </w:tabs>
            <w:ind w:left="420"/>
          </w:pPr>
          <w:r>
            <w:fldChar w:fldCharType="begin"/>
          </w:r>
          <w:r>
            <w:instrText xml:space="preserve"> HYPERLINK \l "_Toc23277" </w:instrText>
          </w:r>
          <w:r>
            <w:fldChar w:fldCharType="separate"/>
          </w:r>
          <w:r>
            <w:rPr>
              <w:rFonts w:hint="eastAsia" w:ascii="仿宋" w:hAnsi="仿宋" w:eastAsia="仿宋"/>
            </w:rPr>
            <w:t>七、一般公共预算财政拨款支出决算明细表</w:t>
          </w:r>
          <w:r>
            <w:tab/>
          </w:r>
          <w:r>
            <w:fldChar w:fldCharType="begin"/>
          </w:r>
          <w:r>
            <w:instrText xml:space="preserve"> PAGEREF _Toc23277 </w:instrText>
          </w:r>
          <w:r>
            <w:fldChar w:fldCharType="separate"/>
          </w:r>
          <w:r>
            <w:t>2</w:t>
          </w:r>
          <w:r>
            <w:rPr>
              <w:rFonts w:hint="eastAsia"/>
            </w:rPr>
            <w:t>1</w:t>
          </w:r>
          <w:r>
            <w:fldChar w:fldCharType="end"/>
          </w:r>
          <w:r>
            <w:fldChar w:fldCharType="end"/>
          </w:r>
        </w:p>
        <w:p w14:paraId="5D45BD6F">
          <w:pPr>
            <w:pStyle w:val="33"/>
            <w:tabs>
              <w:tab w:val="right" w:leader="dot" w:pos="8306"/>
            </w:tabs>
            <w:ind w:left="420"/>
          </w:pPr>
          <w:r>
            <w:fldChar w:fldCharType="begin"/>
          </w:r>
          <w:r>
            <w:instrText xml:space="preserve"> HYPERLINK \l "_Toc32193" </w:instrText>
          </w:r>
          <w:r>
            <w:fldChar w:fldCharType="separate"/>
          </w:r>
          <w:r>
            <w:rPr>
              <w:rFonts w:hint="eastAsia" w:ascii="仿宋" w:hAnsi="仿宋" w:eastAsia="仿宋"/>
            </w:rPr>
            <w:t>八、一般公共预算财政拨款基本支出决算表</w:t>
          </w:r>
          <w:r>
            <w:tab/>
          </w:r>
          <w:r>
            <w:fldChar w:fldCharType="begin"/>
          </w:r>
          <w:r>
            <w:instrText xml:space="preserve"> PAGEREF _Toc32193 </w:instrText>
          </w:r>
          <w:r>
            <w:fldChar w:fldCharType="separate"/>
          </w:r>
          <w:r>
            <w:t>2</w:t>
          </w:r>
          <w:r>
            <w:rPr>
              <w:rFonts w:hint="eastAsia"/>
            </w:rPr>
            <w:t>1</w:t>
          </w:r>
          <w:r>
            <w:fldChar w:fldCharType="end"/>
          </w:r>
          <w:r>
            <w:fldChar w:fldCharType="end"/>
          </w:r>
        </w:p>
        <w:p w14:paraId="57813532">
          <w:pPr>
            <w:pStyle w:val="33"/>
            <w:tabs>
              <w:tab w:val="right" w:leader="dot" w:pos="8306"/>
            </w:tabs>
            <w:ind w:left="420"/>
          </w:pPr>
          <w:r>
            <w:fldChar w:fldCharType="begin"/>
          </w:r>
          <w:r>
            <w:instrText xml:space="preserve"> HYPERLINK \l "_Toc23338" </w:instrText>
          </w:r>
          <w:r>
            <w:fldChar w:fldCharType="separate"/>
          </w:r>
          <w:r>
            <w:rPr>
              <w:rFonts w:hint="eastAsia" w:ascii="仿宋" w:hAnsi="仿宋" w:eastAsia="仿宋"/>
            </w:rPr>
            <w:t>九、一般公共预算财政拨款项目支出决算表</w:t>
          </w:r>
          <w:r>
            <w:tab/>
          </w:r>
          <w:r>
            <w:fldChar w:fldCharType="begin"/>
          </w:r>
          <w:r>
            <w:instrText xml:space="preserve"> PAGEREF _Toc23338 </w:instrText>
          </w:r>
          <w:r>
            <w:fldChar w:fldCharType="separate"/>
          </w:r>
          <w:r>
            <w:t>2</w:t>
          </w:r>
          <w:r>
            <w:rPr>
              <w:rFonts w:hint="eastAsia"/>
            </w:rPr>
            <w:t>1</w:t>
          </w:r>
          <w:r>
            <w:fldChar w:fldCharType="end"/>
          </w:r>
          <w:r>
            <w:fldChar w:fldCharType="end"/>
          </w:r>
        </w:p>
        <w:p w14:paraId="12E2B242">
          <w:pPr>
            <w:pStyle w:val="33"/>
            <w:tabs>
              <w:tab w:val="right" w:leader="dot" w:pos="8306"/>
            </w:tabs>
            <w:ind w:left="420"/>
          </w:pPr>
          <w:r>
            <w:fldChar w:fldCharType="begin"/>
          </w:r>
          <w:r>
            <w:instrText xml:space="preserve"> HYPERLINK \l "_Toc22388" </w:instrText>
          </w:r>
          <w:r>
            <w:fldChar w:fldCharType="separate"/>
          </w:r>
          <w:r>
            <w:rPr>
              <w:rFonts w:hint="eastAsia" w:ascii="仿宋" w:hAnsi="仿宋" w:eastAsia="仿宋"/>
            </w:rPr>
            <w:t>十、一般公共预算财政拨款“三公”经费支出决算表</w:t>
          </w:r>
          <w:r>
            <w:tab/>
          </w:r>
          <w:r>
            <w:fldChar w:fldCharType="begin"/>
          </w:r>
          <w:r>
            <w:instrText xml:space="preserve"> PAGEREF _Toc22388 </w:instrText>
          </w:r>
          <w:r>
            <w:fldChar w:fldCharType="separate"/>
          </w:r>
          <w:r>
            <w:t>2</w:t>
          </w:r>
          <w:r>
            <w:rPr>
              <w:rFonts w:hint="eastAsia"/>
            </w:rPr>
            <w:t>1</w:t>
          </w:r>
          <w:r>
            <w:fldChar w:fldCharType="end"/>
          </w:r>
          <w:r>
            <w:fldChar w:fldCharType="end"/>
          </w:r>
        </w:p>
        <w:p w14:paraId="1DDD4174">
          <w:pPr>
            <w:pStyle w:val="33"/>
            <w:tabs>
              <w:tab w:val="right" w:leader="dot" w:pos="8306"/>
            </w:tabs>
            <w:ind w:left="420"/>
          </w:pPr>
          <w:r>
            <w:fldChar w:fldCharType="begin"/>
          </w:r>
          <w:r>
            <w:instrText xml:space="preserve"> HYPERLINK \l "_Toc12919" </w:instrText>
          </w:r>
          <w:r>
            <w:fldChar w:fldCharType="separate"/>
          </w:r>
          <w:r>
            <w:rPr>
              <w:rFonts w:hint="eastAsia" w:ascii="仿宋" w:hAnsi="仿宋" w:eastAsia="仿宋"/>
            </w:rPr>
            <w:t>十一、政府性基金预算财政拨款收入支出决算表</w:t>
          </w:r>
          <w:r>
            <w:tab/>
          </w:r>
          <w:r>
            <w:fldChar w:fldCharType="begin"/>
          </w:r>
          <w:r>
            <w:instrText xml:space="preserve"> PAGEREF _Toc12919 </w:instrText>
          </w:r>
          <w:r>
            <w:fldChar w:fldCharType="separate"/>
          </w:r>
          <w:r>
            <w:t>2</w:t>
          </w:r>
          <w:r>
            <w:rPr>
              <w:rFonts w:hint="eastAsia"/>
            </w:rPr>
            <w:t>1</w:t>
          </w:r>
          <w:r>
            <w:fldChar w:fldCharType="end"/>
          </w:r>
          <w:r>
            <w:fldChar w:fldCharType="end"/>
          </w:r>
        </w:p>
        <w:p w14:paraId="4C24D0D0">
          <w:pPr>
            <w:pStyle w:val="33"/>
            <w:tabs>
              <w:tab w:val="right" w:leader="dot" w:pos="8306"/>
            </w:tabs>
            <w:ind w:left="420"/>
          </w:pPr>
          <w:r>
            <w:fldChar w:fldCharType="begin"/>
          </w:r>
          <w:r>
            <w:instrText xml:space="preserve"> HYPERLINK \l "_Toc18807" </w:instrText>
          </w:r>
          <w:r>
            <w:fldChar w:fldCharType="separate"/>
          </w:r>
          <w:r>
            <w:rPr>
              <w:rFonts w:hint="eastAsia" w:ascii="仿宋" w:hAnsi="仿宋" w:eastAsia="仿宋"/>
            </w:rPr>
            <w:t>十二、政府性基金预算财政拨款“三公”经费支出决算表</w:t>
          </w:r>
          <w:r>
            <w:tab/>
          </w:r>
          <w:r>
            <w:fldChar w:fldCharType="begin"/>
          </w:r>
          <w:r>
            <w:instrText xml:space="preserve"> PAGEREF _Toc18807 </w:instrText>
          </w:r>
          <w:r>
            <w:fldChar w:fldCharType="separate"/>
          </w:r>
          <w:r>
            <w:t>2</w:t>
          </w:r>
          <w:r>
            <w:rPr>
              <w:rFonts w:hint="eastAsia"/>
            </w:rPr>
            <w:t>1</w:t>
          </w:r>
          <w:r>
            <w:fldChar w:fldCharType="end"/>
          </w:r>
          <w:r>
            <w:fldChar w:fldCharType="end"/>
          </w:r>
        </w:p>
        <w:p w14:paraId="3B6B94F4">
          <w:pPr>
            <w:pStyle w:val="33"/>
            <w:tabs>
              <w:tab w:val="right" w:leader="dot" w:pos="8306"/>
            </w:tabs>
            <w:ind w:left="420"/>
          </w:pPr>
          <w:r>
            <w:fldChar w:fldCharType="begin"/>
          </w:r>
          <w:r>
            <w:instrText xml:space="preserve"> HYPERLINK \l "_Toc1354" </w:instrText>
          </w:r>
          <w:r>
            <w:fldChar w:fldCharType="separate"/>
          </w:r>
          <w:r>
            <w:rPr>
              <w:rFonts w:hint="eastAsia" w:ascii="仿宋" w:hAnsi="仿宋" w:eastAsia="仿宋"/>
            </w:rPr>
            <w:t>十三、国有资本经营预算支出决算表</w:t>
          </w:r>
          <w:r>
            <w:tab/>
          </w:r>
          <w:r>
            <w:fldChar w:fldCharType="begin"/>
          </w:r>
          <w:r>
            <w:instrText xml:space="preserve"> PAGEREF _Toc1354 </w:instrText>
          </w:r>
          <w:r>
            <w:fldChar w:fldCharType="separate"/>
          </w:r>
          <w:r>
            <w:t>2</w:t>
          </w:r>
          <w:r>
            <w:rPr>
              <w:rFonts w:hint="eastAsia"/>
            </w:rPr>
            <w:t>1</w:t>
          </w:r>
          <w:r>
            <w:fldChar w:fldCharType="end"/>
          </w:r>
          <w:r>
            <w:fldChar w:fldCharType="end"/>
          </w:r>
        </w:p>
        <w:p w14:paraId="293E22DE">
          <w:pPr>
            <w:rPr>
              <w:b/>
            </w:rPr>
          </w:pPr>
          <w:r>
            <w:rPr>
              <w:b/>
            </w:rPr>
            <w:fldChar w:fldCharType="end"/>
          </w:r>
        </w:p>
        <w:p w14:paraId="4FCC6A66"/>
      </w:sdtContent>
    </w:sdt>
    <w:p w14:paraId="701ABD65">
      <w:pPr>
        <w:pStyle w:val="2"/>
        <w:jc w:val="center"/>
        <w:rPr>
          <w:rFonts w:ascii="黑体" w:eastAsia="黑体"/>
          <w:color w:val="000000"/>
          <w:sz w:val="32"/>
          <w:szCs w:val="32"/>
        </w:rPr>
      </w:pPr>
      <w:bookmarkStart w:id="16" w:name="_Toc4316"/>
      <w:r>
        <w:rPr>
          <w:rFonts w:hint="eastAsia" w:ascii="黑体" w:hAnsi="黑体" w:eastAsia="黑体"/>
          <w:b w:val="0"/>
        </w:rPr>
        <w:t xml:space="preserve">第一部分 </w:t>
      </w:r>
      <w:r>
        <w:rPr>
          <w:rStyle w:val="26"/>
          <w:rFonts w:hint="eastAsia" w:ascii="黑体" w:hAnsi="黑体" w:eastAsia="黑体"/>
          <w:b w:val="0"/>
          <w:bCs w:val="0"/>
        </w:rPr>
        <w:t>部门概况</w:t>
      </w:r>
      <w:bookmarkEnd w:id="6"/>
      <w:bookmarkEnd w:id="7"/>
      <w:bookmarkEnd w:id="8"/>
      <w:bookmarkEnd w:id="16"/>
    </w:p>
    <w:p w14:paraId="4CE0AC93">
      <w:pPr>
        <w:pStyle w:val="3"/>
        <w:rPr>
          <w:rStyle w:val="27"/>
          <w:rFonts w:ascii="仿宋" w:hAnsi="仿宋" w:eastAsia="仿宋"/>
          <w:b w:val="0"/>
          <w:bCs w:val="0"/>
        </w:rPr>
      </w:pPr>
      <w:bookmarkStart w:id="17" w:name="_Toc24052"/>
      <w:bookmarkStart w:id="18" w:name="_Toc17594"/>
      <w:bookmarkStart w:id="19" w:name="_Toc15396600"/>
      <w:bookmarkStart w:id="20"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7"/>
      <w:bookmarkEnd w:id="18"/>
      <w:bookmarkEnd w:id="19"/>
      <w:bookmarkEnd w:id="20"/>
    </w:p>
    <w:p w14:paraId="624957FF">
      <w:pPr>
        <w:ind w:firstLine="562" w:firstLineChars="200"/>
        <w:rPr>
          <w:rFonts w:ascii="仿宋_GB2312" w:hAnsi="宋体" w:eastAsia="仿宋_GB2312"/>
          <w:b/>
          <w:sz w:val="28"/>
          <w:szCs w:val="28"/>
        </w:rPr>
      </w:pPr>
      <w:bookmarkStart w:id="21" w:name="_Toc15377200"/>
      <w:bookmarkStart w:id="22" w:name="_Toc15396601"/>
      <w:r>
        <w:rPr>
          <w:rFonts w:hint="eastAsia" w:ascii="仿宋_GB2312" w:hAnsi="宋体" w:eastAsia="仿宋_GB2312"/>
          <w:b/>
          <w:sz w:val="28"/>
          <w:szCs w:val="28"/>
        </w:rPr>
        <w:t>（一）主要职能</w:t>
      </w:r>
    </w:p>
    <w:p w14:paraId="32C1AE40">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1.</w:t>
      </w:r>
      <w:r>
        <w:rPr>
          <w:rFonts w:hint="eastAsia" w:ascii="仿宋_GB2312" w:hAnsi="仿宋_GB2312" w:eastAsia="仿宋_GB2312" w:cs="仿宋_GB2312"/>
          <w:color w:val="000000"/>
          <w:kern w:val="0"/>
          <w:sz w:val="28"/>
          <w:szCs w:val="28"/>
        </w:rPr>
        <w:t>贯彻落实党和政府各项路线方针政策、法规规章和上级机关的决定和命令，加强农村党组织建设和基层政权建设，巩固党在农村的执政基础；</w:t>
      </w:r>
    </w:p>
    <w:p w14:paraId="4B469435">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2.</w:t>
      </w:r>
      <w:r>
        <w:rPr>
          <w:rFonts w:hint="eastAsia" w:ascii="仿宋_GB2312" w:hAnsi="仿宋_GB2312" w:eastAsia="仿宋_GB2312" w:cs="仿宋_GB2312"/>
          <w:color w:val="000000"/>
          <w:kern w:val="0"/>
          <w:sz w:val="28"/>
          <w:szCs w:val="28"/>
        </w:rPr>
        <w:t>负责拟订本行政区域经济社会发展和乡村建设等规划，组织农村基础设施和各项公益事业建设，加快经济社会发展，改善群众生活环境；</w:t>
      </w:r>
    </w:p>
    <w:p w14:paraId="6DB08F9D">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3.</w:t>
      </w:r>
      <w:r>
        <w:rPr>
          <w:rFonts w:hint="eastAsia" w:ascii="仿宋_GB2312" w:hAnsi="仿宋_GB2312" w:eastAsia="仿宋_GB2312" w:cs="仿宋_GB2312"/>
          <w:color w:val="000000"/>
          <w:kern w:val="0"/>
          <w:sz w:val="28"/>
          <w:szCs w:val="28"/>
        </w:rPr>
        <w:t>指导农村经济发展，推进农业结构调整，促进经济增长方式转变，组织引导农村富余劳动力转移与就业，促进农民增收；</w:t>
      </w:r>
    </w:p>
    <w:p w14:paraId="29827C7D">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4.</w:t>
      </w:r>
      <w:r>
        <w:rPr>
          <w:rFonts w:hint="eastAsia" w:ascii="仿宋_GB2312" w:hAnsi="仿宋_GB2312" w:eastAsia="仿宋_GB2312" w:cs="仿宋_GB2312"/>
          <w:color w:val="000000"/>
          <w:kern w:val="0"/>
          <w:sz w:val="28"/>
          <w:szCs w:val="28"/>
        </w:rPr>
        <w:t>负责抓好义务教育、人口和计划生育、民政事务、救灾救助、就业培训、社会保障、劳动关系协调和新型合作医疗实施等工作，加强农村精神文明建设，促进农村社会事业发展；</w:t>
      </w:r>
    </w:p>
    <w:p w14:paraId="0DEE8408">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5.</w:t>
      </w:r>
      <w:r>
        <w:rPr>
          <w:rFonts w:hint="eastAsia" w:ascii="仿宋_GB2312" w:hAnsi="仿宋_GB2312" w:eastAsia="仿宋_GB2312" w:cs="仿宋_GB2312"/>
          <w:color w:val="000000"/>
          <w:kern w:val="0"/>
          <w:sz w:val="28"/>
          <w:szCs w:val="28"/>
        </w:rPr>
        <w:t>推进基层民主</w:t>
      </w:r>
      <w:r>
        <w:rPr>
          <w:rFonts w:hint="eastAsia" w:ascii="仿宋_GB2312" w:hAnsi="仿宋_GB2312" w:eastAsia="仿宋_GB2312" w:cs="仿宋_GB2312"/>
          <w:color w:val="000000"/>
          <w:kern w:val="0"/>
          <w:sz w:val="28"/>
          <w:szCs w:val="28"/>
          <w:lang w:eastAsia="zh-CN"/>
        </w:rPr>
        <w:t>法治</w:t>
      </w:r>
      <w:r>
        <w:rPr>
          <w:rFonts w:hint="eastAsia" w:ascii="仿宋_GB2312" w:hAnsi="仿宋_GB2312" w:eastAsia="仿宋_GB2312" w:cs="仿宋_GB2312"/>
          <w:color w:val="000000"/>
          <w:kern w:val="0"/>
          <w:sz w:val="28"/>
          <w:szCs w:val="28"/>
        </w:rPr>
        <w:t>建设，指导村（居）民委员会工作，维护群众合法权益；</w:t>
      </w:r>
    </w:p>
    <w:p w14:paraId="124BD85D">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6.</w:t>
      </w:r>
      <w:r>
        <w:rPr>
          <w:rFonts w:hint="eastAsia" w:ascii="仿宋_GB2312" w:hAnsi="仿宋_GB2312" w:eastAsia="仿宋_GB2312" w:cs="仿宋_GB2312"/>
          <w:color w:val="000000"/>
          <w:kern w:val="0"/>
          <w:sz w:val="28"/>
          <w:szCs w:val="28"/>
        </w:rPr>
        <w:t>加强社会治安综合治理，强化信访和矛盾纠纷调解工作，化解农村矛盾，维护农村社会和谐稳定，全面推进社会主义新农村建设。</w:t>
      </w:r>
    </w:p>
    <w:p w14:paraId="02B816C5">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7.</w:t>
      </w:r>
      <w:r>
        <w:rPr>
          <w:rFonts w:hint="eastAsia" w:ascii="仿宋_GB2312" w:hAnsi="仿宋_GB2312" w:eastAsia="仿宋_GB2312" w:cs="仿宋_GB2312"/>
          <w:color w:val="000000"/>
          <w:kern w:val="0"/>
          <w:sz w:val="28"/>
          <w:szCs w:val="28"/>
        </w:rPr>
        <w:t>承办</w:t>
      </w:r>
      <w:r>
        <w:rPr>
          <w:rFonts w:hint="eastAsia" w:ascii="仿宋_GB2312" w:hAnsi="仿宋_GB2312" w:eastAsia="仿宋_GB2312" w:cs="仿宋_GB2312"/>
          <w:color w:val="000000"/>
          <w:kern w:val="0"/>
          <w:sz w:val="28"/>
          <w:szCs w:val="28"/>
          <w:lang w:eastAsia="zh-CN"/>
        </w:rPr>
        <w:t>县委、县政府</w:t>
      </w:r>
      <w:r>
        <w:rPr>
          <w:rFonts w:hint="eastAsia" w:ascii="仿宋_GB2312" w:hAnsi="仿宋_GB2312" w:eastAsia="仿宋_GB2312" w:cs="仿宋_GB2312"/>
          <w:color w:val="000000"/>
          <w:kern w:val="0"/>
          <w:sz w:val="28"/>
          <w:szCs w:val="28"/>
        </w:rPr>
        <w:t>交办的其他事项。</w:t>
      </w:r>
    </w:p>
    <w:p w14:paraId="6B4E32C5">
      <w:pPr>
        <w:ind w:firstLine="422" w:firstLineChars="150"/>
        <w:rPr>
          <w:rFonts w:ascii="仿宋_GB2312" w:hAnsi="宋体" w:eastAsia="仿宋_GB2312"/>
          <w:b/>
          <w:sz w:val="28"/>
          <w:szCs w:val="28"/>
        </w:rPr>
      </w:pPr>
      <w:r>
        <w:rPr>
          <w:rFonts w:hint="eastAsia" w:ascii="仿宋_GB2312" w:hAnsi="宋体" w:eastAsia="仿宋_GB2312"/>
          <w:b/>
          <w:sz w:val="28"/>
          <w:szCs w:val="28"/>
        </w:rPr>
        <w:t>（二）2019年重点工作完成情况</w:t>
      </w:r>
    </w:p>
    <w:p w14:paraId="31FE9A0B">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（一）加快脱贫速度。以精准扶贫为契机，整合资金资源，加大田间管理力度，力争早日见效。继续以“合作社</w:t>
      </w:r>
      <w:r>
        <w:rPr>
          <w:rFonts w:ascii="仿宋_GB2312" w:hAnsi="宋体" w:eastAsia="仿宋_GB2312"/>
          <w:sz w:val="28"/>
          <w:szCs w:val="28"/>
        </w:rPr>
        <w:t>+</w:t>
      </w:r>
      <w:r>
        <w:rPr>
          <w:rFonts w:hint="eastAsia" w:ascii="仿宋_GB2312" w:hAnsi="宋体" w:eastAsia="仿宋_GB2312"/>
          <w:sz w:val="28"/>
          <w:szCs w:val="28"/>
        </w:rPr>
        <w:t>农户”的模式，拓宽就业渠道，积极引导鼓励富余劳动力外出务工，增加农牧民现金收入。</w:t>
      </w:r>
    </w:p>
    <w:p w14:paraId="0F6866C0">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（二）抓好基础设施项目建设。逐步改善农村生产生活条件，夯实基础，拟努力完成各村建设项目。大力调整产业结构，积极加大技术引导和培训，保证农作物产量和质量。</w:t>
      </w:r>
    </w:p>
    <w:p w14:paraId="333A838E">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（三）</w:t>
      </w:r>
      <w:r>
        <w:rPr>
          <w:rFonts w:hint="eastAsia" w:ascii="仿宋_GB2312" w:hAnsi="宋体" w:eastAsia="仿宋_GB2312"/>
          <w:sz w:val="28"/>
          <w:szCs w:val="28"/>
          <w:lang w:eastAsia="zh-CN"/>
        </w:rPr>
        <w:t>加大</w:t>
      </w:r>
      <w:r>
        <w:rPr>
          <w:rFonts w:hint="eastAsia" w:ascii="仿宋_GB2312" w:hAnsi="宋体" w:eastAsia="仿宋_GB2312"/>
          <w:sz w:val="28"/>
          <w:szCs w:val="28"/>
        </w:rPr>
        <w:t>民生工程投入力度。加快农村人才培养，深入开展实用技术培训，拓宽群众就业渠道。加快推进农村卫生站规范化建设，提高公共服务水平。进一步扩大农村养老保险、五保、低保覆盖面。加大推进助学工程帮扶力度，切实解决优困生实际困难，全面提升人口综合素质。</w:t>
      </w:r>
    </w:p>
    <w:p w14:paraId="66D5B414">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（四）切实强化安全生产。严格落实安全生产责任制，全面加强</w:t>
      </w:r>
      <w:r>
        <w:rPr>
          <w:rFonts w:hint="eastAsia" w:ascii="仿宋_GB2312" w:hAnsi="宋体" w:eastAsia="仿宋_GB2312"/>
          <w:sz w:val="28"/>
          <w:szCs w:val="28"/>
          <w:lang w:eastAsia="zh-CN"/>
        </w:rPr>
        <w:t>安全</w:t>
      </w:r>
      <w:r>
        <w:rPr>
          <w:rFonts w:hint="eastAsia" w:ascii="仿宋_GB2312" w:hAnsi="宋体" w:eastAsia="仿宋_GB2312"/>
          <w:sz w:val="28"/>
          <w:szCs w:val="28"/>
        </w:rPr>
        <w:t>重点领域、重点行业隐患排查，建立长效监管机制，坚决杜绝重大安全事故的发生。</w:t>
      </w:r>
    </w:p>
    <w:p w14:paraId="2F6A46C6">
      <w:pPr>
        <w:pStyle w:val="4"/>
        <w:rPr>
          <w:rStyle w:val="27"/>
          <w:b w:val="0"/>
          <w:bCs w:val="0"/>
        </w:rPr>
      </w:pPr>
      <w:bookmarkStart w:id="23" w:name="_Toc17579"/>
      <w:bookmarkStart w:id="24" w:name="_Toc1813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1"/>
      <w:bookmarkEnd w:id="22"/>
      <w:bookmarkEnd w:id="23"/>
      <w:bookmarkEnd w:id="24"/>
    </w:p>
    <w:p w14:paraId="1B29D5CD">
      <w:pPr>
        <w:ind w:firstLine="560" w:firstLineChars="200"/>
        <w:rPr>
          <w:rFonts w:ascii="仿宋_GB2312" w:hAnsi="宋体" w:eastAsia="仿宋_GB2312"/>
          <w:sz w:val="28"/>
          <w:szCs w:val="28"/>
        </w:rPr>
      </w:pPr>
      <w:bookmarkStart w:id="25" w:name="_Toc15377203"/>
      <w:bookmarkStart w:id="26" w:name="_Toc15378450"/>
      <w:bookmarkStart w:id="27" w:name="_Toc15377434"/>
      <w:bookmarkStart w:id="28" w:name="_Toc15306277"/>
      <w:r>
        <w:rPr>
          <w:rFonts w:hint="eastAsia" w:ascii="仿宋_GB2312" w:hAnsi="宋体" w:eastAsia="仿宋_GB2312"/>
          <w:sz w:val="28"/>
          <w:szCs w:val="28"/>
        </w:rPr>
        <w:t>根据上述职责，松潘县黄龙乡设</w:t>
      </w:r>
      <w:r>
        <w:rPr>
          <w:rFonts w:ascii="仿宋_GB2312" w:hAnsi="宋体" w:eastAsia="仿宋_GB2312"/>
          <w:sz w:val="28"/>
          <w:szCs w:val="28"/>
        </w:rPr>
        <w:t>5</w:t>
      </w:r>
      <w:r>
        <w:rPr>
          <w:rFonts w:hint="eastAsia" w:ascii="仿宋_GB2312" w:hAnsi="宋体" w:eastAsia="仿宋_GB2312"/>
          <w:sz w:val="28"/>
          <w:szCs w:val="28"/>
        </w:rPr>
        <w:t>个内设机构：</w:t>
      </w:r>
    </w:p>
    <w:p w14:paraId="2EFBD1F8">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（一）办公室</w:t>
      </w:r>
    </w:p>
    <w:p w14:paraId="0DB2EF4A">
      <w:pPr>
        <w:rPr>
          <w:rFonts w:ascii="仿宋_GB2312" w:hAnsi="仿宋_GB2312" w:eastAsia="仿宋_GB2312" w:cs="仿宋_GB2312"/>
          <w:sz w:val="28"/>
          <w:szCs w:val="28"/>
        </w:rPr>
      </w:pP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贯彻执行党和国家的有关方针、政策、法律和法规；执行上级政府的决定和命令；拟订适合本乡实际的政府措施，并有效</w:t>
      </w:r>
      <w:r>
        <w:rPr>
          <w:rFonts w:hint="eastAsia" w:ascii="仿宋_GB2312" w:hAnsi="仿宋_GB2312" w:eastAsia="仿宋_GB2312" w:cs="仿宋_GB2312"/>
          <w:bCs/>
          <w:sz w:val="28"/>
          <w:szCs w:val="28"/>
          <w:lang w:eastAsia="zh-CN"/>
        </w:rPr>
        <w:t>地</w:t>
      </w:r>
      <w:r>
        <w:rPr>
          <w:rFonts w:hint="eastAsia" w:ascii="仿宋_GB2312" w:hAnsi="仿宋_GB2312" w:eastAsia="仿宋_GB2312" w:cs="仿宋_GB2312"/>
          <w:bCs/>
          <w:sz w:val="28"/>
          <w:szCs w:val="28"/>
        </w:rPr>
        <w:t>组织实施。负责组织编制本乡建设的总体规划。编制本乡财政预决算计划，负责经费的划拨和核算工作。</w:t>
      </w:r>
    </w:p>
    <w:p w14:paraId="24929558">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（二）财政所</w:t>
      </w:r>
    </w:p>
    <w:p w14:paraId="267811EF">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rPr>
        <w:t>落实兑现各级惠农补助资金，对农民负担和农村政策实施监管；</w:t>
      </w:r>
    </w:p>
    <w:p w14:paraId="6754C3CE">
      <w:pPr>
        <w:pStyle w:val="6"/>
        <w:spacing w:line="240" w:lineRule="auto"/>
        <w:ind w:firstLine="0" w:firstLineChars="0"/>
        <w:jc w:val="left"/>
        <w:rPr>
          <w:rFonts w:ascii="仿宋_GB2312" w:cs="仿宋_GB2312"/>
          <w:sz w:val="28"/>
          <w:szCs w:val="28"/>
        </w:rPr>
      </w:pPr>
      <w:r>
        <w:rPr>
          <w:rFonts w:hint="eastAsia" w:ascii="仿宋_GB2312" w:hAnsi="仿宋_GB2312" w:cs="仿宋_GB2312"/>
          <w:sz w:val="28"/>
          <w:szCs w:val="28"/>
        </w:rPr>
        <w:t>围绕乡政府财源建设搞好服务；农村财务管理指导、监督和审计，依法代理村级财务，财政项目资金管理和乡政府机关财务代理；乡公有资产管理利用及村级集体资产监督管理；财政预算编制、执行及管理。</w:t>
      </w:r>
      <w:r>
        <w:rPr>
          <w:rFonts w:ascii="仿宋_GB2312" w:hAnsi="仿宋_GB2312" w:cs="仿宋_GB2312"/>
          <w:sz w:val="28"/>
          <w:szCs w:val="28"/>
        </w:rPr>
        <w:t xml:space="preserve"> </w:t>
      </w:r>
    </w:p>
    <w:p w14:paraId="39E8A8B4">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（三）综合文化服务中心</w:t>
      </w:r>
    </w:p>
    <w:p w14:paraId="2D9CC653">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rPr>
        <w:t>具体负责文化中心日常开放运行工作，做好接待群众、设备调试维护、图书登记整理、环境卫生、值班安全等日常事务；积极开展群众性文化活动，抓好活动组织工作；具体指导和督促各村委、居委的文化室、图书室、“农家书屋”、健身场所等村级文化建设和文体活动。</w:t>
      </w:r>
    </w:p>
    <w:p w14:paraId="72713C2F">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（四）经济发展服务中心</w:t>
      </w:r>
    </w:p>
    <w:p w14:paraId="7D1ED5B3">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rPr>
        <w:t>制定全乡经济发展规划和年度工作目标，负责乡属企业、个体、私营企业的规划管理、指导服务工作；做好项目筛选、储备、管理、申报等相关工作；负责做好编制年度财政资金预算，以及管理乡国有资产、集体资产等工作；协调与本乡经济发展相关的其他工作</w:t>
      </w:r>
    </w:p>
    <w:p w14:paraId="22F93355">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（五）社会事业服务中心</w:t>
      </w:r>
    </w:p>
    <w:p w14:paraId="4D330EBB">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1.</w:t>
      </w:r>
      <w:r>
        <w:rPr>
          <w:rFonts w:hint="eastAsia" w:ascii="仿宋_GB2312" w:hAnsi="仿宋_GB2312" w:cs="仿宋_GB2312"/>
          <w:sz w:val="28"/>
          <w:szCs w:val="28"/>
        </w:rPr>
        <w:t>审核上报就业、失业登记资料，开展登记失业人员日常管理工作。收集发布就业信息；提供就业指导、职业介绍、农村劳动力转移就业等服务；组织辖区相关人员参加职业培训、创业培训和职业技能鉴定。</w:t>
      </w:r>
    </w:p>
    <w:p w14:paraId="3AC90762">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2.</w:t>
      </w:r>
      <w:r>
        <w:rPr>
          <w:rFonts w:hint="eastAsia" w:ascii="仿宋_GB2312" w:hAnsi="仿宋_GB2312" w:cs="仿宋_GB2312"/>
          <w:sz w:val="28"/>
          <w:szCs w:val="28"/>
        </w:rPr>
        <w:t>开展就业促进、就业服务工作。开发社区就业岗位，开发管理社区、村公益性岗位，开展创建充分就业社区、村居活动。审核上报就业困难人员认定材料，组织开展就业困难人员就业援助和动态管理工作，协助落实就业扶持政策；开展创业服务工作，指导开展信用社区创建工作；审核上报灵活就业人员就业情况，协助落实社会保险补贴政策；承担上级部门安排的其他就业服务工作。</w:t>
      </w:r>
    </w:p>
    <w:p w14:paraId="4D2D0036">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3.</w:t>
      </w:r>
      <w:r>
        <w:rPr>
          <w:rFonts w:hint="eastAsia" w:ascii="仿宋_GB2312" w:hAnsi="仿宋_GB2312" w:cs="仿宋_GB2312"/>
          <w:sz w:val="28"/>
          <w:szCs w:val="28"/>
        </w:rPr>
        <w:t>协助开展本辖区人才引进和培训工作。协助开展本辖区各类人才开发服务工作，了解、掌握培训需求，组织推荐农村领导人才和实用人才参加培训。协助组织完成人才智力引进和留学归国专家服务工作，以项目开发形式短期聘用部分农业高科技人才下乡服务。</w:t>
      </w:r>
    </w:p>
    <w:bookmarkEnd w:id="25"/>
    <w:bookmarkEnd w:id="26"/>
    <w:bookmarkEnd w:id="27"/>
    <w:bookmarkEnd w:id="28"/>
    <w:p w14:paraId="526DE7A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5D5C581E">
      <w:pPr>
        <w:pStyle w:val="2"/>
        <w:ind w:right="440"/>
        <w:jc w:val="right"/>
        <w:rPr>
          <w:rStyle w:val="26"/>
          <w:rFonts w:ascii="黑体" w:hAnsi="黑体" w:eastAsia="黑体"/>
          <w:b w:val="0"/>
          <w:bCs w:val="0"/>
        </w:rPr>
      </w:pPr>
      <w:bookmarkStart w:id="29" w:name="_Toc8043"/>
      <w:bookmarkStart w:id="30" w:name="_Toc15396602"/>
      <w:bookmarkStart w:id="31" w:name="_Toc14583"/>
      <w:bookmarkStart w:id="32"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9"/>
      <w:bookmarkEnd w:id="30"/>
      <w:bookmarkEnd w:id="31"/>
      <w:bookmarkEnd w:id="32"/>
    </w:p>
    <w:p w14:paraId="3AAD5310"/>
    <w:p w14:paraId="26585053">
      <w:pPr>
        <w:pStyle w:val="25"/>
        <w:numPr>
          <w:ilvl w:val="0"/>
          <w:numId w:val="1"/>
        </w:numPr>
        <w:spacing w:line="600" w:lineRule="exact"/>
        <w:ind w:firstLineChars="0"/>
        <w:outlineLvl w:val="1"/>
        <w:rPr>
          <w:rStyle w:val="27"/>
          <w:rFonts w:ascii="黑体" w:hAnsi="黑体" w:eastAsia="黑体"/>
          <w:b w:val="0"/>
        </w:rPr>
      </w:pPr>
      <w:bookmarkStart w:id="33" w:name="_Toc397"/>
      <w:bookmarkStart w:id="34" w:name="_Toc3560"/>
      <w:bookmarkStart w:id="35" w:name="_Toc15396603"/>
      <w:bookmarkStart w:id="36"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3"/>
      <w:bookmarkEnd w:id="34"/>
      <w:bookmarkEnd w:id="35"/>
      <w:bookmarkEnd w:id="36"/>
    </w:p>
    <w:p w14:paraId="250E4CE2">
      <w:pPr>
        <w:ind w:firstLine="560" w:firstLineChars="200"/>
        <w:rPr>
          <w:rFonts w:ascii="仿宋_GB2312" w:hAnsi="宋体" w:eastAsia="仿宋_GB2312"/>
          <w:sz w:val="28"/>
          <w:szCs w:val="28"/>
        </w:rPr>
      </w:pPr>
      <w:r>
        <w:rPr>
          <w:rFonts w:hint="eastAsia" w:ascii="仿宋_GB2312" w:hAnsi="宋体" w:eastAsia="仿宋_GB2312"/>
          <w:sz w:val="28"/>
          <w:szCs w:val="28"/>
        </w:rPr>
        <w:t>2019年松潘县黄龙乡本年收入合计430.71万元，其中：财政拨款收入430.71万元，占</w:t>
      </w:r>
      <w:r>
        <w:rPr>
          <w:rFonts w:ascii="仿宋_GB2312" w:hAnsi="宋体" w:eastAsia="仿宋_GB2312"/>
          <w:sz w:val="28"/>
          <w:szCs w:val="28"/>
        </w:rPr>
        <w:t>100%</w:t>
      </w:r>
      <w:r>
        <w:rPr>
          <w:rFonts w:hint="eastAsia" w:ascii="仿宋_GB2312" w:hAnsi="宋体" w:eastAsia="仿宋_GB2312"/>
          <w:sz w:val="28"/>
          <w:szCs w:val="28"/>
        </w:rPr>
        <w:t>。</w:t>
      </w:r>
    </w:p>
    <w:p w14:paraId="30A82D94">
      <w:pPr>
        <w:ind w:firstLine="560" w:firstLineChars="200"/>
        <w:rPr>
          <w:rFonts w:ascii="仿宋_GB2312" w:eastAsia="仿宋_GB2312"/>
          <w:color w:val="000000"/>
          <w:sz w:val="32"/>
          <w:szCs w:val="32"/>
        </w:rPr>
      </w:pPr>
      <w:r>
        <w:rPr>
          <w:rFonts w:hint="eastAsia" w:ascii="仿宋_GB2312" w:hAnsi="宋体" w:eastAsia="仿宋_GB2312"/>
          <w:sz w:val="28"/>
          <w:szCs w:val="28"/>
        </w:rPr>
        <w:t>2019年松潘县黄龙乡本年支出合计698.12万元，其中：基本支出368.02万元，占53.00</w:t>
      </w:r>
      <w:r>
        <w:rPr>
          <w:rFonts w:ascii="仿宋_GB2312" w:hAnsi="宋体" w:eastAsia="仿宋_GB2312"/>
          <w:sz w:val="28"/>
          <w:szCs w:val="28"/>
        </w:rPr>
        <w:t>%</w:t>
      </w:r>
      <w:r>
        <w:rPr>
          <w:rFonts w:hint="eastAsia" w:ascii="仿宋_GB2312" w:hAnsi="宋体" w:eastAsia="仿宋_GB2312"/>
          <w:sz w:val="28"/>
          <w:szCs w:val="28"/>
        </w:rPr>
        <w:t>；项目支出330.11万元，占47</w:t>
      </w:r>
      <w:r>
        <w:rPr>
          <w:rFonts w:ascii="仿宋_GB2312" w:hAnsi="宋体" w:eastAsia="仿宋_GB2312"/>
          <w:sz w:val="28"/>
          <w:szCs w:val="28"/>
        </w:rPr>
        <w:t>%</w:t>
      </w:r>
      <w:r>
        <w:rPr>
          <w:rFonts w:hint="eastAsia" w:ascii="仿宋_GB2312" w:hAnsi="宋体" w:eastAsia="仿宋_GB2312"/>
          <w:sz w:val="28"/>
          <w:szCs w:val="28"/>
        </w:rPr>
        <w:t>。</w:t>
      </w:r>
    </w:p>
    <w:p w14:paraId="3EE95870">
      <w:pPr>
        <w:pStyle w:val="25"/>
        <w:numPr>
          <w:ilvl w:val="0"/>
          <w:numId w:val="1"/>
        </w:numPr>
        <w:spacing w:line="600" w:lineRule="exact"/>
        <w:ind w:firstLineChars="0"/>
        <w:outlineLvl w:val="1"/>
        <w:rPr>
          <w:rFonts w:ascii="仿宋_GB2312" w:hAnsi="宋体" w:eastAsia="仿宋_GB2312"/>
          <w:color w:val="000000"/>
          <w:sz w:val="28"/>
          <w:szCs w:val="28"/>
        </w:rPr>
      </w:pPr>
      <w:bookmarkStart w:id="37" w:name="_Toc15396604"/>
      <w:bookmarkStart w:id="38" w:name="_Toc23270"/>
      <w:bookmarkStart w:id="39" w:name="_Toc15377206"/>
      <w:bookmarkStart w:id="40" w:name="_Toc22197"/>
      <w:r>
        <w:rPr>
          <w:rFonts w:hint="eastAsia" w:ascii="黑体" w:hAnsi="黑体" w:eastAsia="黑体"/>
          <w:color w:val="000000"/>
          <w:sz w:val="32"/>
          <w:szCs w:val="32"/>
        </w:rPr>
        <w:t>收</w:t>
      </w:r>
      <w:r>
        <w:rPr>
          <w:rStyle w:val="27"/>
          <w:rFonts w:hint="eastAsia" w:ascii="黑体" w:hAnsi="黑体" w:eastAsia="黑体"/>
          <w:b w:val="0"/>
        </w:rPr>
        <w:t>入决算情况说明</w:t>
      </w:r>
      <w:bookmarkEnd w:id="37"/>
      <w:bookmarkEnd w:id="38"/>
      <w:bookmarkEnd w:id="39"/>
      <w:bookmarkEnd w:id="40"/>
    </w:p>
    <w:p w14:paraId="18F29A14">
      <w:pPr>
        <w:pStyle w:val="25"/>
        <w:spacing w:line="600" w:lineRule="exact"/>
        <w:ind w:firstLine="560"/>
        <w:outlineLvl w:val="1"/>
        <w:rPr>
          <w:rFonts w:ascii="仿宋_GB2312" w:eastAsia="仿宋_GB2312"/>
          <w:color w:val="FF0000"/>
          <w:sz w:val="32"/>
          <w:szCs w:val="32"/>
        </w:rPr>
      </w:pPr>
      <w:bookmarkStart w:id="41" w:name="_Toc28808"/>
      <w:bookmarkStart w:id="42" w:name="_Toc11381"/>
      <w:r>
        <w:rPr>
          <w:rFonts w:hint="eastAsia" w:ascii="仿宋_GB2312" w:hAnsi="宋体" w:eastAsia="仿宋_GB2312"/>
          <w:color w:val="000000"/>
          <w:sz w:val="28"/>
          <w:szCs w:val="28"/>
        </w:rPr>
        <w:t>2019年松潘县黄龙乡本年财政拨款收入合计430.71万元，</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松潘县黄龙乡2019年度财政拨款收支总决算与2018年相比，财政拨款收入减少了621.17万元，同比减少了145</w:t>
      </w:r>
      <w:r>
        <w:rPr>
          <w:rFonts w:ascii="仿宋_GB2312" w:hAnsi="宋体" w:eastAsia="仿宋_GB2312"/>
          <w:color w:val="000000"/>
          <w:sz w:val="28"/>
          <w:szCs w:val="28"/>
        </w:rPr>
        <w:t>%</w:t>
      </w:r>
      <w:r>
        <w:rPr>
          <w:rFonts w:hint="eastAsia" w:ascii="仿宋_GB2312" w:hAnsi="宋体" w:eastAsia="仿宋_GB2312"/>
          <w:color w:val="000000"/>
          <w:sz w:val="28"/>
          <w:szCs w:val="28"/>
        </w:rPr>
        <w:t>。</w:t>
      </w:r>
      <w:bookmarkEnd w:id="41"/>
      <w:bookmarkEnd w:id="42"/>
    </w:p>
    <w:p w14:paraId="2E0DBF7E">
      <w:pPr>
        <w:pStyle w:val="25"/>
        <w:numPr>
          <w:ilvl w:val="0"/>
          <w:numId w:val="1"/>
        </w:numPr>
        <w:spacing w:line="600" w:lineRule="exact"/>
        <w:ind w:firstLineChars="0"/>
        <w:outlineLvl w:val="1"/>
        <w:rPr>
          <w:rStyle w:val="27"/>
          <w:rFonts w:ascii="黑体" w:hAnsi="黑体" w:eastAsia="黑体"/>
          <w:b w:val="0"/>
        </w:rPr>
      </w:pPr>
      <w:bookmarkStart w:id="43" w:name="_Toc15377207"/>
      <w:bookmarkStart w:id="44" w:name="_Toc15396605"/>
      <w:bookmarkStart w:id="45" w:name="_Toc18527"/>
      <w:bookmarkStart w:id="46" w:name="_Toc25242"/>
      <w:r>
        <w:rPr>
          <w:rFonts w:hint="eastAsia" w:ascii="黑体" w:hAnsi="黑体" w:eastAsia="黑体"/>
          <w:color w:val="000000"/>
          <w:sz w:val="32"/>
          <w:szCs w:val="32"/>
        </w:rPr>
        <w:t>支</w:t>
      </w:r>
      <w:r>
        <w:rPr>
          <w:rStyle w:val="27"/>
          <w:rFonts w:hint="eastAsia" w:ascii="黑体" w:hAnsi="黑体" w:eastAsia="黑体"/>
          <w:b w:val="0"/>
        </w:rPr>
        <w:t>出决算情况说明</w:t>
      </w:r>
      <w:bookmarkEnd w:id="43"/>
      <w:bookmarkEnd w:id="44"/>
      <w:bookmarkEnd w:id="45"/>
      <w:bookmarkEnd w:id="46"/>
    </w:p>
    <w:p w14:paraId="60781086">
      <w:pPr>
        <w:pStyle w:val="25"/>
        <w:spacing w:line="600" w:lineRule="exact"/>
        <w:ind w:firstLine="560"/>
        <w:outlineLvl w:val="1"/>
        <w:rPr>
          <w:rFonts w:ascii="仿宋_GB2312" w:eastAsia="仿宋_GB2312"/>
          <w:color w:val="FF0000"/>
          <w:sz w:val="32"/>
          <w:szCs w:val="32"/>
        </w:rPr>
      </w:pPr>
      <w:bookmarkStart w:id="47" w:name="_Toc27505"/>
      <w:bookmarkStart w:id="48" w:name="_Toc21584"/>
      <w:r>
        <w:rPr>
          <w:rFonts w:hint="eastAsia" w:ascii="仿宋_GB2312" w:hAnsi="宋体" w:eastAsia="仿宋_GB2312"/>
          <w:color w:val="000000"/>
          <w:sz w:val="28"/>
          <w:szCs w:val="28"/>
        </w:rPr>
        <w:t>2019年松潘县黄龙乡财政拨款本年支出合计</w:t>
      </w:r>
      <w:r>
        <w:rPr>
          <w:rFonts w:hint="eastAsia" w:ascii="仿宋_GB2312" w:hAnsi="宋体" w:eastAsia="仿宋_GB2312"/>
          <w:sz w:val="28"/>
          <w:szCs w:val="28"/>
        </w:rPr>
        <w:t>698.12</w:t>
      </w:r>
      <w:r>
        <w:rPr>
          <w:rFonts w:hint="eastAsia" w:ascii="仿宋_GB2312" w:hAnsi="宋体" w:eastAsia="仿宋_GB2312"/>
          <w:color w:val="000000"/>
          <w:sz w:val="28"/>
          <w:szCs w:val="28"/>
        </w:rPr>
        <w:t>万元，松潘县黄龙乡2019年度财政拨款收支总决算与2018年相比，支出增加了29.00万元，同比增长5.00</w:t>
      </w:r>
      <w:r>
        <w:rPr>
          <w:rFonts w:ascii="仿宋_GB2312" w:hAnsi="宋体" w:eastAsia="仿宋_GB2312"/>
          <w:color w:val="000000"/>
          <w:sz w:val="28"/>
          <w:szCs w:val="28"/>
        </w:rPr>
        <w:t>%</w:t>
      </w:r>
      <w:r>
        <w:rPr>
          <w:rFonts w:hint="eastAsia" w:ascii="仿宋_GB2312" w:hAnsi="宋体" w:eastAsia="仿宋_GB2312"/>
          <w:color w:val="000000"/>
          <w:sz w:val="28"/>
          <w:szCs w:val="28"/>
        </w:rPr>
        <w:t>。</w:t>
      </w:r>
      <w:bookmarkEnd w:id="47"/>
      <w:bookmarkEnd w:id="48"/>
    </w:p>
    <w:p w14:paraId="791ED704">
      <w:pPr>
        <w:spacing w:line="600" w:lineRule="exact"/>
        <w:ind w:firstLine="640" w:firstLineChars="200"/>
        <w:outlineLvl w:val="1"/>
        <w:rPr>
          <w:rStyle w:val="27"/>
          <w:rFonts w:ascii="黑体" w:hAnsi="黑体" w:eastAsia="黑体"/>
          <w:b w:val="0"/>
        </w:rPr>
      </w:pPr>
      <w:bookmarkStart w:id="49" w:name="_Toc15377208"/>
      <w:bookmarkStart w:id="50" w:name="_Toc7455"/>
      <w:bookmarkStart w:id="51" w:name="_Toc15396606"/>
      <w:bookmarkStart w:id="52" w:name="_Toc6837"/>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9"/>
      <w:bookmarkEnd w:id="50"/>
      <w:bookmarkEnd w:id="51"/>
      <w:bookmarkEnd w:id="52"/>
    </w:p>
    <w:p w14:paraId="2F2BBBB3">
      <w:pPr>
        <w:ind w:firstLine="560" w:firstLineChars="200"/>
        <w:rPr>
          <w:rFonts w:ascii="仿宋_GB2312" w:hAnsi="宋体" w:eastAsia="仿宋_GB2312"/>
          <w:color w:val="000000"/>
          <w:sz w:val="28"/>
          <w:szCs w:val="28"/>
        </w:rPr>
      </w:pPr>
      <w:bookmarkStart w:id="53" w:name="_Toc15377209"/>
      <w:bookmarkStart w:id="54" w:name="_Toc15396607"/>
      <w:r>
        <w:rPr>
          <w:rFonts w:hint="eastAsia" w:ascii="仿宋_GB2312" w:hAnsi="宋体" w:eastAsia="仿宋_GB2312"/>
          <w:color w:val="000000"/>
          <w:sz w:val="28"/>
          <w:szCs w:val="28"/>
        </w:rPr>
        <w:t>松潘县黄龙乡2019年度一般公共预算财政拨款支出</w:t>
      </w:r>
      <w:r>
        <w:rPr>
          <w:rFonts w:hint="eastAsia" w:ascii="仿宋_GB2312" w:hAnsi="宋体" w:eastAsia="仿宋_GB2312"/>
          <w:sz w:val="28"/>
          <w:szCs w:val="28"/>
        </w:rPr>
        <w:t>698.12</w:t>
      </w:r>
      <w:r>
        <w:rPr>
          <w:rFonts w:hint="eastAsia" w:ascii="仿宋_GB2312" w:hAnsi="宋体" w:eastAsia="仿宋_GB2312"/>
          <w:color w:val="000000"/>
          <w:sz w:val="28"/>
          <w:szCs w:val="28"/>
        </w:rPr>
        <w:t>万元，与2018年相比，增加了5.00</w:t>
      </w:r>
      <w:r>
        <w:rPr>
          <w:rFonts w:ascii="仿宋_GB2312" w:hAnsi="宋体" w:eastAsia="仿宋_GB2312"/>
          <w:color w:val="000000"/>
          <w:sz w:val="28"/>
          <w:szCs w:val="28"/>
        </w:rPr>
        <w:t>%</w:t>
      </w:r>
      <w:r>
        <w:rPr>
          <w:rFonts w:hint="eastAsia" w:ascii="仿宋_GB2312" w:hAnsi="宋体" w:eastAsia="仿宋_GB2312"/>
          <w:color w:val="000000"/>
          <w:sz w:val="28"/>
          <w:szCs w:val="28"/>
        </w:rPr>
        <w:t>，一般公共预算财政拨款收入为</w:t>
      </w:r>
      <w:r>
        <w:rPr>
          <w:rFonts w:hint="eastAsia" w:ascii="仿宋_GB2312" w:hAnsi="宋体" w:eastAsia="仿宋_GB2312"/>
          <w:sz w:val="28"/>
          <w:szCs w:val="28"/>
        </w:rPr>
        <w:t>430.71</w:t>
      </w:r>
      <w:r>
        <w:rPr>
          <w:rFonts w:hint="eastAsia" w:ascii="仿宋_GB2312" w:hAnsi="宋体" w:eastAsia="仿宋_GB2312"/>
          <w:color w:val="000000"/>
          <w:sz w:val="28"/>
          <w:szCs w:val="28"/>
        </w:rPr>
        <w:t>万元，同比2018年，减少了145.00</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3BCC969F">
      <w:pPr>
        <w:spacing w:line="600" w:lineRule="exact"/>
        <w:ind w:firstLine="640" w:firstLineChars="200"/>
        <w:outlineLvl w:val="1"/>
        <w:rPr>
          <w:rStyle w:val="27"/>
          <w:rFonts w:ascii="黑体" w:hAnsi="黑体" w:eastAsia="黑体"/>
          <w:b w:val="0"/>
        </w:rPr>
      </w:pPr>
      <w:bookmarkStart w:id="55" w:name="_Toc15037"/>
      <w:bookmarkStart w:id="56" w:name="_Toc658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3"/>
      <w:bookmarkEnd w:id="54"/>
      <w:bookmarkEnd w:id="55"/>
      <w:bookmarkEnd w:id="56"/>
    </w:p>
    <w:p w14:paraId="32BB2E60">
      <w:pPr>
        <w:spacing w:line="600" w:lineRule="exact"/>
        <w:ind w:firstLine="643" w:firstLineChars="200"/>
        <w:outlineLvl w:val="2"/>
        <w:rPr>
          <w:rFonts w:ascii="仿宋" w:hAnsi="仿宋" w:eastAsia="仿宋"/>
          <w:b/>
          <w:color w:val="000000"/>
          <w:sz w:val="32"/>
          <w:szCs w:val="32"/>
        </w:rPr>
      </w:pPr>
      <w:bookmarkStart w:id="57" w:name="_Toc15377210"/>
      <w:r>
        <w:rPr>
          <w:rFonts w:hint="eastAsia" w:ascii="仿宋" w:hAnsi="仿宋" w:eastAsia="仿宋"/>
          <w:b/>
          <w:color w:val="000000"/>
          <w:sz w:val="32"/>
          <w:szCs w:val="32"/>
        </w:rPr>
        <w:t>（一）一般公共预算财政拨款支出决算总体情况</w:t>
      </w:r>
      <w:bookmarkEnd w:id="57"/>
    </w:p>
    <w:p w14:paraId="51EEDFD5">
      <w:pPr>
        <w:rPr>
          <w:rFonts w:ascii="仿宋" w:hAnsi="仿宋" w:eastAsia="仿宋"/>
          <w:color w:val="000000" w:themeColor="text1"/>
          <w:sz w:val="32"/>
          <w:szCs w:val="32"/>
          <w14:textFill>
            <w14:solidFill>
              <w14:schemeClr w14:val="tx1"/>
            </w14:solidFill>
          </w14:textFill>
        </w:rPr>
      </w:pPr>
      <w:r>
        <w:rPr>
          <w:rFonts w:hint="eastAsia" w:ascii="仿宋_GB2312" w:hAnsi="宋体" w:eastAsia="仿宋_GB2312"/>
          <w:color w:val="000000"/>
          <w:sz w:val="28"/>
          <w:szCs w:val="28"/>
        </w:rPr>
        <w:t xml:space="preserve">   松潘县黄龙乡2019年度一般公共预算财政拨款支出</w:t>
      </w:r>
      <w:r>
        <w:rPr>
          <w:rFonts w:hint="eastAsia" w:ascii="仿宋_GB2312" w:hAnsi="宋体" w:eastAsia="仿宋_GB2312"/>
          <w:sz w:val="28"/>
          <w:szCs w:val="28"/>
        </w:rPr>
        <w:t>698.12</w:t>
      </w:r>
      <w:r>
        <w:rPr>
          <w:rFonts w:hint="eastAsia" w:ascii="仿宋_GB2312" w:hAnsi="宋体" w:eastAsia="仿宋_GB2312"/>
          <w:color w:val="000000"/>
          <w:sz w:val="28"/>
          <w:szCs w:val="28"/>
        </w:rPr>
        <w:t>万元，与2018年相比，增加了5.00</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540DC8BE">
      <w:pPr>
        <w:spacing w:line="600" w:lineRule="exact"/>
        <w:ind w:firstLine="643" w:firstLineChars="200"/>
        <w:outlineLvl w:val="2"/>
        <w:rPr>
          <w:rFonts w:ascii="仿宋" w:hAnsi="仿宋" w:eastAsia="仿宋"/>
          <w:b/>
          <w:color w:val="000000"/>
          <w:sz w:val="32"/>
          <w:szCs w:val="32"/>
        </w:rPr>
      </w:pPr>
      <w:bookmarkStart w:id="58" w:name="_Toc15377211"/>
      <w:r>
        <w:rPr>
          <w:rFonts w:hint="eastAsia" w:ascii="仿宋" w:hAnsi="仿宋" w:eastAsia="仿宋"/>
          <w:b/>
          <w:color w:val="000000"/>
          <w:sz w:val="32"/>
          <w:szCs w:val="32"/>
        </w:rPr>
        <w:t>（二）一般公共预算财政拨款支出决算结构情况</w:t>
      </w:r>
      <w:bookmarkEnd w:id="58"/>
    </w:p>
    <w:p w14:paraId="2FDAFD1D">
      <w:pPr>
        <w:ind w:firstLine="560" w:firstLineChars="200"/>
        <w:rPr>
          <w:rFonts w:ascii="仿宋" w:hAnsi="仿宋" w:eastAsia="仿宋"/>
          <w:color w:val="000000"/>
          <w:sz w:val="32"/>
          <w:szCs w:val="32"/>
        </w:rPr>
      </w:pPr>
      <w:r>
        <w:rPr>
          <w:rFonts w:hint="eastAsia" w:ascii="仿宋_GB2312" w:hAnsi="宋体" w:eastAsia="仿宋_GB2312"/>
          <w:color w:val="000000"/>
          <w:sz w:val="28"/>
          <w:szCs w:val="28"/>
        </w:rPr>
        <w:t>松潘县黄龙乡2019年一般公共预算财政拨款支出</w:t>
      </w:r>
      <w:r>
        <w:rPr>
          <w:rFonts w:hint="eastAsia" w:ascii="仿宋_GB2312" w:hAnsi="宋体" w:eastAsia="仿宋_GB2312"/>
          <w:sz w:val="28"/>
          <w:szCs w:val="28"/>
        </w:rPr>
        <w:t>698.12</w:t>
      </w:r>
      <w:r>
        <w:rPr>
          <w:rFonts w:hint="eastAsia" w:ascii="仿宋_GB2312" w:hAnsi="宋体" w:eastAsia="仿宋_GB2312"/>
          <w:color w:val="000000"/>
          <w:sz w:val="28"/>
          <w:szCs w:val="28"/>
        </w:rPr>
        <w:t>万元，主要用于以下方面：一般公共服务支出220.31万元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占32.00</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社会保障和就业支出28.13万元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占4.00</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医疗卫生支出15.74万元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占3.00</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住房保障支出28.50万元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占4.00</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农林水支出405.45万元，占57.00</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7F2CFE13">
      <w:pPr>
        <w:spacing w:line="600" w:lineRule="exact"/>
        <w:ind w:firstLine="643" w:firstLineChars="200"/>
        <w:outlineLvl w:val="2"/>
        <w:rPr>
          <w:rFonts w:ascii="仿宋" w:hAnsi="仿宋" w:eastAsia="仿宋"/>
          <w:b/>
          <w:color w:val="000000"/>
          <w:sz w:val="32"/>
          <w:szCs w:val="32"/>
        </w:rPr>
      </w:pPr>
      <w:bookmarkStart w:id="59" w:name="_Toc15377212"/>
      <w:r>
        <w:rPr>
          <w:rFonts w:hint="eastAsia" w:ascii="仿宋" w:hAnsi="仿宋" w:eastAsia="仿宋"/>
          <w:b/>
          <w:color w:val="000000"/>
          <w:sz w:val="32"/>
          <w:szCs w:val="32"/>
        </w:rPr>
        <w:t>（三）一般公共预算财政拨款支出决算具体情况</w:t>
      </w:r>
      <w:bookmarkEnd w:id="59"/>
    </w:p>
    <w:p w14:paraId="7C1C161C">
      <w:pPr>
        <w:spacing w:line="600" w:lineRule="exact"/>
        <w:ind w:firstLine="560" w:firstLineChars="200"/>
        <w:outlineLvl w:val="2"/>
        <w:rPr>
          <w:rFonts w:ascii="仿宋" w:hAnsi="仿宋" w:eastAsia="仿宋"/>
          <w:color w:val="FF0000"/>
          <w:sz w:val="32"/>
          <w:szCs w:val="32"/>
        </w:rPr>
      </w:pPr>
      <w:bookmarkStart w:id="60" w:name="_Toc15377213"/>
      <w:bookmarkStart w:id="61" w:name="_Toc15378460"/>
      <w:bookmarkStart w:id="62" w:name="_Toc15377444"/>
      <w:r>
        <w:rPr>
          <w:rFonts w:hint="eastAsia" w:ascii="仿宋_GB2312" w:hAnsi="宋体" w:eastAsia="仿宋_GB2312"/>
          <w:color w:val="000000"/>
          <w:sz w:val="28"/>
          <w:szCs w:val="28"/>
        </w:rPr>
        <w:t>2019</w:t>
      </w:r>
      <w:r>
        <w:rPr>
          <w:rFonts w:hint="eastAsia" w:ascii="仿宋_GB2312" w:hAnsi="宋体" w:eastAsia="仿宋_GB2312"/>
          <w:color w:val="000000"/>
          <w:sz w:val="28"/>
          <w:szCs w:val="28"/>
          <w:lang w:eastAsia="zh-CN"/>
        </w:rPr>
        <w:t>年一</w:t>
      </w:r>
      <w:r>
        <w:rPr>
          <w:rFonts w:hint="eastAsia" w:ascii="仿宋_GB2312" w:hAnsi="宋体" w:eastAsia="仿宋_GB2312"/>
          <w:color w:val="000000"/>
          <w:sz w:val="28"/>
          <w:szCs w:val="28"/>
        </w:rPr>
        <w:t>般公共预算支出决算数为698.12，完成预算100%。其中：</w:t>
      </w:r>
      <w:bookmarkEnd w:id="60"/>
      <w:bookmarkEnd w:id="61"/>
      <w:bookmarkEnd w:id="62"/>
    </w:p>
    <w:p w14:paraId="5C893013">
      <w:pPr>
        <w:rPr>
          <w:rFonts w:ascii="仿宋_GB2312" w:hAnsi="宋体" w:eastAsia="仿宋_GB2312"/>
          <w:color w:val="000000"/>
          <w:sz w:val="28"/>
          <w:szCs w:val="28"/>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lang w:eastAsia="zh-CN"/>
        </w:rPr>
        <w:t>1.</w:t>
      </w:r>
      <w:r>
        <w:rPr>
          <w:rFonts w:hint="eastAsia" w:ascii="仿宋_GB2312" w:hAnsi="宋体" w:eastAsia="仿宋_GB2312"/>
          <w:color w:val="000000"/>
          <w:sz w:val="28"/>
          <w:szCs w:val="28"/>
        </w:rPr>
        <w:t>一般公共服务</w:t>
      </w:r>
    </w:p>
    <w:p w14:paraId="16062524">
      <w:pPr>
        <w:ind w:firstLine="420" w:firstLineChars="150"/>
        <w:rPr>
          <w:rFonts w:ascii="仿宋_GB2312" w:hAnsi="宋体" w:eastAsia="仿宋_GB2312"/>
          <w:color w:val="000000"/>
          <w:sz w:val="28"/>
          <w:szCs w:val="28"/>
        </w:rPr>
      </w:pPr>
      <w:r>
        <w:rPr>
          <w:rFonts w:hint="eastAsia" w:ascii="仿宋_GB2312" w:hAnsi="宋体" w:eastAsia="仿宋_GB2312"/>
          <w:color w:val="000000"/>
          <w:sz w:val="28"/>
          <w:szCs w:val="28"/>
        </w:rPr>
        <w:t>一般公共服务支出2019年决算数为220.30万元，完成预算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；人大事务支出2019年决算数为1.15万元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行政运行决算数218.55万元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，一般行政管理事务支出0.6万元，完成预算100%。</w:t>
      </w:r>
    </w:p>
    <w:p w14:paraId="04CBA090">
      <w:pPr>
        <w:rPr>
          <w:rFonts w:ascii="仿宋_GB2312" w:hAnsi="宋体" w:eastAsia="仿宋_GB2312"/>
          <w:color w:val="000000"/>
          <w:sz w:val="28"/>
          <w:szCs w:val="28"/>
        </w:rPr>
      </w:pPr>
      <w:r>
        <w:rPr>
          <w:rFonts w:hint="eastAsia" w:ascii="仿宋_GB2312" w:hAnsi="宋体" w:eastAsia="仿宋_GB2312"/>
          <w:color w:val="000000"/>
          <w:sz w:val="28"/>
          <w:szCs w:val="28"/>
          <w:lang w:eastAsia="zh-CN"/>
        </w:rPr>
        <w:t>2.</w:t>
      </w:r>
      <w:r>
        <w:rPr>
          <w:rFonts w:hint="eastAsia" w:ascii="仿宋_GB2312" w:hAnsi="宋体" w:eastAsia="仿宋_GB2312"/>
          <w:color w:val="000000"/>
          <w:sz w:val="28"/>
          <w:szCs w:val="28"/>
        </w:rPr>
        <w:t>社会保障和就业</w:t>
      </w:r>
    </w:p>
    <w:p w14:paraId="12DB568F">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机关事业单位基本养老保险缴费支出决算数为28.13万元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03945FCE">
      <w:pPr>
        <w:rPr>
          <w:rFonts w:ascii="仿宋_GB2312" w:hAnsi="宋体" w:eastAsia="仿宋_GB2312"/>
          <w:color w:val="000000"/>
          <w:sz w:val="28"/>
          <w:szCs w:val="28"/>
        </w:rPr>
      </w:pPr>
      <w:r>
        <w:rPr>
          <w:rFonts w:ascii="仿宋_GB2312" w:hAnsi="宋体" w:eastAsia="仿宋_GB2312"/>
          <w:color w:val="FF0000"/>
          <w:sz w:val="28"/>
          <w:szCs w:val="28"/>
        </w:rPr>
        <w:t xml:space="preserve"> </w:t>
      </w:r>
      <w:r>
        <w:rPr>
          <w:rFonts w:ascii="仿宋_GB2312" w:hAnsi="宋体" w:eastAsia="仿宋_GB2312"/>
          <w:color w:val="000000"/>
          <w:sz w:val="28"/>
          <w:szCs w:val="28"/>
        </w:rPr>
        <w:t>3.</w:t>
      </w:r>
      <w:r>
        <w:rPr>
          <w:rFonts w:hint="eastAsia" w:ascii="仿宋_GB2312" w:hAnsi="宋体" w:eastAsia="仿宋_GB2312"/>
          <w:color w:val="000000"/>
          <w:sz w:val="28"/>
          <w:szCs w:val="28"/>
        </w:rPr>
        <w:t>医疗卫生与计划生育</w:t>
      </w:r>
      <w:r>
        <w:rPr>
          <w:rFonts w:ascii="仿宋_GB2312" w:hAnsi="宋体" w:eastAsia="仿宋_GB2312"/>
          <w:color w:val="000000"/>
          <w:sz w:val="28"/>
          <w:szCs w:val="28"/>
        </w:rPr>
        <w:t xml:space="preserve"> </w:t>
      </w:r>
    </w:p>
    <w:p w14:paraId="6E2C099F">
      <w:pPr>
        <w:rPr>
          <w:rFonts w:ascii="仿宋_GB2312" w:hAnsi="宋体" w:eastAsia="仿宋_GB2312"/>
          <w:color w:val="000000"/>
          <w:sz w:val="28"/>
          <w:szCs w:val="28"/>
        </w:rPr>
      </w:pPr>
      <w:r>
        <w:rPr>
          <w:rFonts w:hint="eastAsia" w:ascii="仿宋_GB2312" w:hAnsi="宋体" w:eastAsia="仿宋_GB2312"/>
          <w:color w:val="000000"/>
          <w:sz w:val="28"/>
          <w:szCs w:val="28"/>
        </w:rPr>
        <w:t xml:space="preserve">　  </w:t>
      </w:r>
      <w:r>
        <w:rPr>
          <w:rFonts w:ascii="仿宋_GB2312" w:hAnsi="宋体" w:eastAsia="仿宋_GB2312"/>
          <w:color w:val="000000"/>
          <w:sz w:val="28"/>
          <w:szCs w:val="28"/>
        </w:rPr>
        <w:t>2</w:t>
      </w:r>
      <w:r>
        <w:rPr>
          <w:rFonts w:hint="eastAsia" w:ascii="仿宋_GB2312" w:hAnsi="宋体" w:eastAsia="仿宋_GB2312"/>
          <w:color w:val="000000"/>
          <w:sz w:val="28"/>
          <w:szCs w:val="28"/>
        </w:rPr>
        <w:t>101101行政单位医疗2019年决算数为7.88万元，完成预算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2A7A03E9">
      <w:pPr>
        <w:rPr>
          <w:rFonts w:ascii="仿宋_GB2312" w:hAnsi="宋体" w:eastAsia="仿宋_GB2312"/>
          <w:color w:val="000000"/>
          <w:sz w:val="28"/>
          <w:szCs w:val="28"/>
        </w:rPr>
      </w:pPr>
      <w:r>
        <w:rPr>
          <w:rFonts w:hint="eastAsia" w:ascii="仿宋_GB2312" w:hAnsi="宋体" w:eastAsia="仿宋_GB2312"/>
          <w:color w:val="000000"/>
          <w:sz w:val="28"/>
          <w:szCs w:val="28"/>
        </w:rPr>
        <w:t xml:space="preserve">    2101102事业单位医疗2019年决算数为4.42万元，完成预算100%。</w:t>
      </w:r>
    </w:p>
    <w:p w14:paraId="25F4D1E5">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2</w:t>
      </w:r>
      <w:r>
        <w:rPr>
          <w:rFonts w:hint="eastAsia" w:ascii="仿宋_GB2312" w:hAnsi="宋体" w:eastAsia="仿宋_GB2312"/>
          <w:color w:val="000000"/>
          <w:sz w:val="28"/>
          <w:szCs w:val="28"/>
        </w:rPr>
        <w:t>101103行政单位医疗2019年决算数为3.44万元，完成预算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3C250646">
      <w:pPr>
        <w:rPr>
          <w:rFonts w:ascii="仿宋_GB2312" w:hAnsi="宋体" w:eastAsia="仿宋_GB2312"/>
          <w:color w:val="000000"/>
          <w:sz w:val="28"/>
          <w:szCs w:val="28"/>
        </w:rPr>
      </w:pPr>
      <w:r>
        <w:rPr>
          <w:rFonts w:ascii="仿宋_GB2312" w:hAnsi="宋体" w:eastAsia="仿宋_GB2312"/>
          <w:color w:val="FF0000"/>
          <w:sz w:val="28"/>
          <w:szCs w:val="28"/>
        </w:rPr>
        <w:t xml:space="preserve"> </w:t>
      </w:r>
      <w:r>
        <w:rPr>
          <w:rFonts w:hint="eastAsia" w:ascii="仿宋_GB2312" w:hAnsi="宋体" w:eastAsia="仿宋_GB2312"/>
          <w:color w:val="FF0000"/>
          <w:sz w:val="28"/>
          <w:szCs w:val="28"/>
          <w:lang w:eastAsia="zh-CN"/>
        </w:rPr>
        <w:t>4.</w:t>
      </w:r>
      <w:r>
        <w:rPr>
          <w:rFonts w:hint="eastAsia" w:ascii="仿宋_GB2312" w:hAnsi="宋体" w:eastAsia="仿宋_GB2312"/>
          <w:color w:val="000000"/>
          <w:sz w:val="28"/>
          <w:szCs w:val="28"/>
        </w:rPr>
        <w:t>住房保障支出</w:t>
      </w:r>
    </w:p>
    <w:p w14:paraId="736E7B3A">
      <w:pPr>
        <w:rPr>
          <w:rFonts w:ascii="仿宋" w:hAnsi="仿宋" w:eastAsia="仿宋"/>
          <w:b/>
          <w:color w:val="000000"/>
          <w:sz w:val="32"/>
          <w:szCs w:val="32"/>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 xml:space="preserve">  </w:t>
      </w:r>
      <w:r>
        <w:rPr>
          <w:rFonts w:ascii="仿宋_GB2312" w:hAnsi="宋体" w:eastAsia="仿宋_GB2312"/>
          <w:color w:val="000000"/>
          <w:sz w:val="28"/>
          <w:szCs w:val="28"/>
        </w:rPr>
        <w:t>2210201</w:t>
      </w:r>
      <w:r>
        <w:rPr>
          <w:rFonts w:hint="eastAsia" w:ascii="仿宋_GB2312" w:hAnsi="宋体" w:eastAsia="仿宋_GB2312"/>
          <w:color w:val="000000"/>
          <w:sz w:val="28"/>
          <w:szCs w:val="28"/>
        </w:rPr>
        <w:t>住房公积金2019年决算数为28.50万元，完成预算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707A4B11">
      <w:pPr>
        <w:tabs>
          <w:tab w:val="right" w:pos="8306"/>
        </w:tabs>
        <w:spacing w:line="600" w:lineRule="exact"/>
        <w:ind w:firstLine="640"/>
        <w:outlineLvl w:val="1"/>
        <w:rPr>
          <w:rStyle w:val="27"/>
        </w:rPr>
      </w:pPr>
      <w:bookmarkStart w:id="63" w:name="_Toc15396608"/>
      <w:bookmarkStart w:id="64" w:name="_Toc2041"/>
      <w:bookmarkStart w:id="65" w:name="_Toc15377214"/>
      <w:bookmarkStart w:id="66" w:name="_Toc28567"/>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3"/>
      <w:bookmarkEnd w:id="64"/>
      <w:bookmarkEnd w:id="65"/>
      <w:bookmarkEnd w:id="66"/>
      <w:r>
        <w:rPr>
          <w:rStyle w:val="27"/>
          <w:rFonts w:ascii="黑体" w:hAnsi="黑体" w:eastAsia="黑体"/>
          <w:b w:val="0"/>
        </w:rPr>
        <w:tab/>
      </w:r>
    </w:p>
    <w:p w14:paraId="1E9EB3B4">
      <w:pPr>
        <w:ind w:left="1"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松潘县黄龙乡2019年：一般公共预算财政拨款基本支出</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368.02万元，其中：</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人员经费329.12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p>
    <w:p w14:paraId="4960C2DA">
      <w:pPr>
        <w:spacing w:line="600" w:lineRule="exact"/>
        <w:ind w:firstLine="645"/>
        <w:rPr>
          <w:rFonts w:ascii="仿宋" w:hAnsi="仿宋" w:eastAsia="仿宋"/>
          <w:color w:val="000000"/>
          <w:sz w:val="32"/>
          <w:szCs w:val="32"/>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公用经费</w:t>
      </w:r>
      <w:r>
        <w:rPr>
          <w:rFonts w:hint="eastAsia" w:ascii="仿宋_GB2312" w:hAnsi="仿宋_GB2312" w:eastAsia="仿宋_GB2312" w:cs="仿宋_GB2312"/>
          <w:color w:val="000000"/>
          <w:sz w:val="28"/>
          <w:szCs w:val="28"/>
        </w:rPr>
        <w:t>38.90</w:t>
      </w:r>
      <w:r>
        <w:rPr>
          <w:rFonts w:hint="eastAsia" w:ascii="仿宋_GB2312" w:hAnsi="宋体" w:eastAsia="仿宋_GB2312"/>
          <w:color w:val="000000"/>
          <w:sz w:val="28"/>
          <w:szCs w:val="28"/>
        </w:rPr>
        <w:t>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hAnsi="宋体" w:eastAsia="仿宋_GB2312"/>
          <w:color w:val="000000"/>
          <w:sz w:val="28"/>
          <w:szCs w:val="28"/>
        </w:rPr>
        <w:t xml:space="preserve"> </w:t>
      </w:r>
    </w:p>
    <w:p w14:paraId="20200375">
      <w:pPr>
        <w:spacing w:line="600" w:lineRule="exact"/>
        <w:ind w:firstLine="640"/>
        <w:outlineLvl w:val="1"/>
        <w:rPr>
          <w:rStyle w:val="27"/>
          <w:rFonts w:ascii="黑体" w:hAnsi="黑体" w:eastAsia="黑体"/>
          <w:b w:val="0"/>
        </w:rPr>
      </w:pPr>
      <w:bookmarkStart w:id="67" w:name="_Toc5489"/>
      <w:bookmarkStart w:id="68" w:name="_Toc15396609"/>
      <w:bookmarkStart w:id="69" w:name="_Toc15377215"/>
      <w:bookmarkStart w:id="70" w:name="_Toc344"/>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67"/>
      <w:bookmarkEnd w:id="68"/>
      <w:bookmarkEnd w:id="69"/>
      <w:bookmarkEnd w:id="70"/>
    </w:p>
    <w:p w14:paraId="07316651">
      <w:pPr>
        <w:spacing w:line="600" w:lineRule="exact"/>
        <w:ind w:firstLine="640"/>
        <w:outlineLvl w:val="2"/>
        <w:rPr>
          <w:rFonts w:ascii="仿宋" w:hAnsi="仿宋" w:eastAsia="仿宋"/>
          <w:b/>
          <w:color w:val="000000"/>
          <w:sz w:val="32"/>
          <w:szCs w:val="32"/>
        </w:rPr>
      </w:pPr>
      <w:bookmarkStart w:id="71" w:name="_Toc15377216"/>
      <w:r>
        <w:rPr>
          <w:rFonts w:hint="eastAsia" w:ascii="仿宋" w:hAnsi="仿宋" w:eastAsia="仿宋"/>
          <w:b/>
          <w:color w:val="000000"/>
          <w:sz w:val="32"/>
          <w:szCs w:val="32"/>
        </w:rPr>
        <w:t>（一）“三公”经费财政拨款支出决算总体情况说明</w:t>
      </w:r>
      <w:bookmarkEnd w:id="71"/>
    </w:p>
    <w:p w14:paraId="0D2ED77E">
      <w:pPr>
        <w:ind w:firstLine="560" w:firstLineChars="200"/>
        <w:rPr>
          <w:rFonts w:ascii="仿宋_GB2312" w:hAnsi="仿宋" w:eastAsia="仿宋_GB2312"/>
          <w:color w:val="000000"/>
          <w:sz w:val="32"/>
          <w:szCs w:val="32"/>
        </w:rPr>
      </w:pPr>
      <w:bookmarkStart w:id="72" w:name="_Toc15377217"/>
      <w:r>
        <w:rPr>
          <w:rFonts w:hint="eastAsia" w:ascii="仿宋_GB2312" w:hAnsi="宋体" w:eastAsia="仿宋_GB2312"/>
          <w:color w:val="000000"/>
          <w:sz w:val="28"/>
          <w:szCs w:val="28"/>
        </w:rPr>
        <w:t>松潘县黄龙乡2019年度“三公”经费财政拨款支出决算为</w:t>
      </w:r>
    </w:p>
    <w:p w14:paraId="590DBABD">
      <w:pPr>
        <w:rPr>
          <w:rFonts w:ascii="仿宋_GB2312" w:hAnsi="宋体" w:eastAsia="仿宋_GB2312"/>
          <w:color w:val="000000"/>
          <w:sz w:val="28"/>
          <w:szCs w:val="28"/>
        </w:rPr>
      </w:pPr>
      <w:r>
        <w:rPr>
          <w:rFonts w:hint="eastAsia" w:ascii="仿宋_GB2312" w:hAnsi="仿宋" w:eastAsia="仿宋_GB2312"/>
          <w:color w:val="000000"/>
          <w:sz w:val="32"/>
          <w:szCs w:val="32"/>
        </w:rPr>
        <w:t>10.89</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，其中：因公出国（境）费支出决算为</w:t>
      </w:r>
      <w:r>
        <w:rPr>
          <w:rFonts w:ascii="仿宋_GB2312" w:hAnsi="宋体" w:eastAsia="仿宋_GB2312"/>
          <w:color w:val="000000"/>
          <w:sz w:val="28"/>
          <w:szCs w:val="28"/>
        </w:rPr>
        <w:t>0</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0%</w:t>
      </w:r>
      <w:r>
        <w:rPr>
          <w:rFonts w:hint="eastAsia" w:ascii="仿宋_GB2312" w:hAnsi="宋体" w:eastAsia="仿宋_GB2312"/>
          <w:color w:val="000000"/>
          <w:sz w:val="28"/>
          <w:szCs w:val="28"/>
        </w:rPr>
        <w:t>；公务用车购置费0万元，公务用车运行维护费支出决算为10.89万元，完成预算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。2019年度“三公”经费支出决算数与预算数持平的主要原因是严格按照中央八项规定和行政单位会计制度执行。</w:t>
      </w:r>
      <w:r>
        <w:rPr>
          <w:rFonts w:ascii="仿宋_GB2312" w:hAnsi="宋体" w:eastAsia="仿宋_GB2312"/>
          <w:color w:val="000000"/>
          <w:sz w:val="28"/>
          <w:szCs w:val="28"/>
        </w:rPr>
        <w:t xml:space="preserve"> </w:t>
      </w:r>
    </w:p>
    <w:p w14:paraId="7EC1C6D0">
      <w:pPr>
        <w:ind w:firstLine="560" w:firstLineChars="200"/>
        <w:rPr>
          <w:rFonts w:ascii="仿宋" w:hAnsi="仿宋" w:eastAsia="仿宋"/>
          <w:b/>
          <w:color w:val="000000"/>
          <w:sz w:val="32"/>
          <w:szCs w:val="32"/>
        </w:rPr>
      </w:pPr>
      <w:r>
        <w:rPr>
          <w:rFonts w:hint="eastAsia" w:ascii="仿宋_GB2312" w:hAnsi="宋体" w:eastAsia="仿宋_GB2312"/>
          <w:color w:val="000000"/>
          <w:sz w:val="28"/>
          <w:szCs w:val="28"/>
        </w:rPr>
        <w:t>同2018年相比</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2019年公务用车运行维护费是</w:t>
      </w:r>
      <w:r>
        <w:rPr>
          <w:rFonts w:hint="eastAsia" w:ascii="仿宋_GB2312" w:hAnsi="仿宋" w:eastAsia="仿宋_GB2312"/>
          <w:color w:val="000000"/>
          <w:sz w:val="32"/>
          <w:szCs w:val="32"/>
        </w:rPr>
        <w:t>10.89万</w:t>
      </w:r>
      <w:r>
        <w:rPr>
          <w:rFonts w:hint="eastAsia" w:ascii="仿宋_GB2312" w:hAnsi="宋体" w:eastAsia="仿宋_GB2312"/>
          <w:color w:val="000000"/>
          <w:sz w:val="28"/>
          <w:szCs w:val="28"/>
        </w:rPr>
        <w:t>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减少支出0.41</w:t>
      </w:r>
      <w:r>
        <w:rPr>
          <w:rFonts w:hint="eastAsia" w:ascii="仿宋_GB2312" w:hAnsi="仿宋" w:eastAsia="仿宋_GB2312"/>
          <w:color w:val="000000"/>
          <w:sz w:val="32"/>
          <w:szCs w:val="32"/>
        </w:rPr>
        <w:t>万</w:t>
      </w:r>
      <w:r>
        <w:rPr>
          <w:rFonts w:hint="eastAsia" w:ascii="仿宋_GB2312" w:hAnsi="宋体" w:eastAsia="仿宋_GB2312"/>
          <w:color w:val="000000"/>
          <w:sz w:val="28"/>
          <w:szCs w:val="28"/>
        </w:rPr>
        <w:t>元，2019年“三公”经费，增加</w:t>
      </w:r>
      <w:r>
        <w:rPr>
          <w:rFonts w:hint="eastAsia" w:ascii="仿宋_GB2312" w:hAnsi="宋体" w:eastAsia="仿宋_GB2312"/>
          <w:color w:val="000000"/>
          <w:sz w:val="28"/>
          <w:szCs w:val="28"/>
          <w:lang w:eastAsia="zh-CN"/>
        </w:rPr>
        <w:t>数额</w:t>
      </w:r>
      <w:r>
        <w:rPr>
          <w:rFonts w:hint="eastAsia" w:ascii="仿宋_GB2312" w:hAnsi="宋体" w:eastAsia="仿宋_GB2312"/>
          <w:color w:val="000000"/>
          <w:sz w:val="28"/>
          <w:szCs w:val="28"/>
        </w:rPr>
        <w:t>都未超出预算范围</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于正常开支。增减变动的主要原</w:t>
      </w:r>
      <w:r>
        <w:rPr>
          <w:rFonts w:hint="eastAsia" w:ascii="仿宋_GB2312" w:hAnsi="宋体" w:eastAsia="仿宋_GB2312"/>
          <w:color w:val="000000"/>
          <w:sz w:val="28"/>
          <w:szCs w:val="28"/>
          <w:lang w:eastAsia="zh-CN"/>
        </w:rPr>
        <w:t>因是</w:t>
      </w:r>
      <w:r>
        <w:rPr>
          <w:rFonts w:hint="eastAsia" w:ascii="仿宋_GB2312" w:hAnsi="宋体" w:eastAsia="仿宋_GB2312"/>
          <w:color w:val="000000"/>
          <w:sz w:val="28"/>
          <w:szCs w:val="28"/>
        </w:rPr>
        <w:t>进一步执行中央八项规定。</w:t>
      </w:r>
      <w:r>
        <w:rPr>
          <w:rFonts w:hint="eastAsia" w:ascii="仿宋" w:hAnsi="仿宋" w:eastAsia="仿宋"/>
          <w:b/>
          <w:color w:val="000000"/>
          <w:sz w:val="32"/>
          <w:szCs w:val="32"/>
        </w:rPr>
        <w:t>（二）“三公”经费财政拨款支出决算具体情况说明</w:t>
      </w:r>
      <w:bookmarkEnd w:id="72"/>
    </w:p>
    <w:p w14:paraId="6AF517D0">
      <w:pPr>
        <w:ind w:firstLine="560" w:firstLineChars="200"/>
        <w:rPr>
          <w:rFonts w:ascii="仿宋_GB2312" w:hAnsi="宋体" w:eastAsia="仿宋_GB2312"/>
          <w:color w:val="000000"/>
          <w:sz w:val="28"/>
          <w:szCs w:val="28"/>
        </w:rPr>
      </w:pPr>
      <w:bookmarkStart w:id="73" w:name="_Toc15396610"/>
      <w:bookmarkStart w:id="74" w:name="_Toc15377218"/>
      <w:r>
        <w:rPr>
          <w:rFonts w:hint="eastAsia" w:ascii="仿宋_GB2312" w:hAnsi="宋体" w:eastAsia="仿宋_GB2312"/>
          <w:color w:val="000000"/>
          <w:sz w:val="28"/>
          <w:szCs w:val="28"/>
        </w:rPr>
        <w:t>2019年度“三公”经费财政拨款支出决算中，因公出国（境）费支出决算</w:t>
      </w:r>
      <w:r>
        <w:rPr>
          <w:rFonts w:ascii="仿宋_GB2312" w:hAnsi="宋体" w:eastAsia="仿宋_GB2312"/>
          <w:color w:val="000000"/>
          <w:sz w:val="28"/>
          <w:szCs w:val="28"/>
        </w:rPr>
        <w:t>0</w:t>
      </w:r>
      <w:r>
        <w:rPr>
          <w:rFonts w:hint="eastAsia" w:ascii="仿宋_GB2312" w:hAnsi="宋体" w:eastAsia="仿宋_GB2312"/>
          <w:color w:val="000000"/>
          <w:sz w:val="28"/>
          <w:szCs w:val="28"/>
        </w:rPr>
        <w:t>万元，占</w:t>
      </w:r>
      <w:r>
        <w:rPr>
          <w:rFonts w:ascii="仿宋_GB2312" w:hAnsi="宋体" w:eastAsia="仿宋_GB2312"/>
          <w:color w:val="000000"/>
          <w:sz w:val="28"/>
          <w:szCs w:val="28"/>
        </w:rPr>
        <w:t>0%</w:t>
      </w:r>
      <w:r>
        <w:rPr>
          <w:rFonts w:hint="eastAsia" w:ascii="仿宋_GB2312" w:hAnsi="宋体" w:eastAsia="仿宋_GB2312"/>
          <w:color w:val="000000"/>
          <w:sz w:val="28"/>
          <w:szCs w:val="28"/>
        </w:rPr>
        <w:t>；公务用车购置及运行维护费支出决算10.89万元，占100</w:t>
      </w:r>
      <w:r>
        <w:rPr>
          <w:rFonts w:ascii="仿宋_GB2312" w:hAnsi="宋体" w:eastAsia="仿宋_GB2312"/>
          <w:color w:val="000000"/>
          <w:sz w:val="28"/>
          <w:szCs w:val="28"/>
        </w:rPr>
        <w:t>%</w:t>
      </w:r>
      <w:r>
        <w:rPr>
          <w:rFonts w:hint="eastAsia" w:ascii="仿宋_GB2312" w:hAnsi="宋体" w:eastAsia="仿宋_GB2312"/>
          <w:color w:val="000000"/>
          <w:sz w:val="28"/>
          <w:szCs w:val="28"/>
        </w:rPr>
        <w:t>。具体情况如下：</w:t>
      </w:r>
      <w:r>
        <w:rPr>
          <w:rFonts w:ascii="仿宋_GB2312" w:hAnsi="宋体" w:eastAsia="仿宋_GB2312"/>
          <w:color w:val="000000"/>
          <w:sz w:val="28"/>
          <w:szCs w:val="28"/>
        </w:rPr>
        <w:t xml:space="preserve"> </w:t>
      </w:r>
    </w:p>
    <w:p w14:paraId="579F8950">
      <w:pPr>
        <w:rPr>
          <w:rFonts w:ascii="仿宋_GB2312" w:hAnsi="宋体" w:eastAsia="仿宋_GB2312"/>
          <w:b/>
          <w:bCs/>
          <w:color w:val="000000"/>
          <w:sz w:val="28"/>
          <w:szCs w:val="28"/>
        </w:rPr>
      </w:pPr>
      <w:r>
        <w:rPr>
          <w:rFonts w:ascii="仿宋_GB2312" w:hAnsi="宋体" w:eastAsia="仿宋_GB2312"/>
          <w:b/>
          <w:bCs/>
          <w:color w:val="000000"/>
          <w:sz w:val="28"/>
          <w:szCs w:val="28"/>
        </w:rPr>
        <w:t>1.</w:t>
      </w:r>
      <w:r>
        <w:rPr>
          <w:rFonts w:hint="eastAsia" w:ascii="仿宋_GB2312" w:hAnsi="宋体" w:eastAsia="仿宋_GB2312"/>
          <w:b/>
          <w:bCs/>
          <w:color w:val="000000"/>
          <w:sz w:val="28"/>
          <w:szCs w:val="28"/>
        </w:rPr>
        <w:t>因公出国（境）经费</w:t>
      </w:r>
      <w:r>
        <w:rPr>
          <w:rFonts w:ascii="仿宋_GB2312" w:hAnsi="宋体" w:eastAsia="仿宋_GB2312"/>
          <w:b/>
          <w:bCs/>
          <w:color w:val="000000"/>
          <w:sz w:val="28"/>
          <w:szCs w:val="28"/>
        </w:rPr>
        <w:t xml:space="preserve"> </w:t>
      </w:r>
    </w:p>
    <w:p w14:paraId="1E639A8E">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无开支内容。</w:t>
      </w:r>
      <w:r>
        <w:rPr>
          <w:rFonts w:ascii="仿宋_GB2312" w:hAnsi="宋体" w:eastAsia="仿宋_GB2312"/>
          <w:color w:val="000000"/>
          <w:sz w:val="28"/>
          <w:szCs w:val="28"/>
        </w:rPr>
        <w:t xml:space="preserve"> </w:t>
      </w:r>
    </w:p>
    <w:p w14:paraId="6E2D00EA">
      <w:pPr>
        <w:rPr>
          <w:rFonts w:ascii="仿宋_GB2312" w:hAnsi="宋体" w:eastAsia="仿宋_GB2312"/>
          <w:b/>
          <w:bCs/>
          <w:color w:val="FF0000"/>
          <w:sz w:val="28"/>
          <w:szCs w:val="28"/>
        </w:rPr>
      </w:pPr>
      <w:r>
        <w:rPr>
          <w:rFonts w:ascii="仿宋_GB2312" w:hAnsi="宋体" w:eastAsia="仿宋_GB2312"/>
          <w:b/>
          <w:bCs/>
          <w:color w:val="000000"/>
          <w:sz w:val="28"/>
          <w:szCs w:val="28"/>
        </w:rPr>
        <w:t>2.</w:t>
      </w:r>
      <w:r>
        <w:rPr>
          <w:rFonts w:hint="eastAsia" w:ascii="仿宋_GB2312" w:hAnsi="宋体" w:eastAsia="仿宋_GB2312"/>
          <w:b/>
          <w:bCs/>
          <w:color w:val="000000"/>
          <w:sz w:val="28"/>
          <w:szCs w:val="28"/>
        </w:rPr>
        <w:t>公务用车购置及运行维护费</w:t>
      </w:r>
      <w:r>
        <w:rPr>
          <w:rFonts w:ascii="仿宋_GB2312" w:hAnsi="宋体" w:eastAsia="仿宋_GB2312"/>
          <w:b/>
          <w:bCs/>
          <w:color w:val="FF0000"/>
          <w:sz w:val="28"/>
          <w:szCs w:val="28"/>
        </w:rPr>
        <w:t xml:space="preserve"> </w:t>
      </w:r>
    </w:p>
    <w:p w14:paraId="4F890E36">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2019年公务用车购置及运行维护费10.89万元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其中：</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公务用车购置支出0万元。截至2019年</w:t>
      </w:r>
      <w:r>
        <w:rPr>
          <w:rFonts w:ascii="仿宋_GB2312" w:hAnsi="宋体" w:eastAsia="仿宋_GB2312"/>
          <w:color w:val="000000"/>
          <w:sz w:val="28"/>
          <w:szCs w:val="28"/>
        </w:rPr>
        <w:t>12</w:t>
      </w:r>
      <w:r>
        <w:rPr>
          <w:rFonts w:hint="eastAsia" w:ascii="仿宋_GB2312" w:hAnsi="宋体" w:eastAsia="仿宋_GB2312"/>
          <w:color w:val="000000"/>
          <w:sz w:val="28"/>
          <w:szCs w:val="28"/>
        </w:rPr>
        <w:t>月底，单位共有公务用车1辆，其中：越野车1辆。</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公务用车运行维护费支出10.89万元。主要用于下村、上县等所需的公务用车燃料费、维修费、过路过桥费、保险费等支出。</w:t>
      </w:r>
      <w:r>
        <w:rPr>
          <w:rFonts w:ascii="仿宋_GB2312" w:hAnsi="宋体" w:eastAsia="仿宋_GB2312"/>
          <w:color w:val="000000"/>
          <w:sz w:val="28"/>
          <w:szCs w:val="28"/>
        </w:rPr>
        <w:t xml:space="preserve"> </w:t>
      </w:r>
    </w:p>
    <w:p w14:paraId="57F31B89">
      <w:pPr>
        <w:ind w:firstLine="562" w:firstLineChars="200"/>
        <w:rPr>
          <w:rFonts w:ascii="仿宋_GB2312" w:hAnsi="宋体" w:eastAsia="仿宋_GB2312"/>
          <w:b/>
          <w:bCs/>
          <w:color w:val="000000"/>
          <w:sz w:val="28"/>
          <w:szCs w:val="28"/>
        </w:rPr>
      </w:pPr>
      <w:r>
        <w:rPr>
          <w:rFonts w:hint="eastAsia" w:ascii="仿宋_GB2312" w:hAnsi="宋体" w:eastAsia="仿宋_GB2312"/>
          <w:b/>
          <w:bCs/>
          <w:color w:val="000000"/>
          <w:sz w:val="28"/>
          <w:szCs w:val="28"/>
        </w:rPr>
        <w:t>3.公务接待费</w:t>
      </w:r>
      <w:r>
        <w:rPr>
          <w:rFonts w:ascii="仿宋_GB2312" w:hAnsi="宋体" w:eastAsia="仿宋_GB2312"/>
          <w:b/>
          <w:bCs/>
          <w:color w:val="000000"/>
          <w:sz w:val="28"/>
          <w:szCs w:val="28"/>
        </w:rPr>
        <w:t xml:space="preserve"> </w:t>
      </w:r>
    </w:p>
    <w:p w14:paraId="24744285">
      <w:pPr>
        <w:ind w:firstLine="1120" w:firstLineChars="400"/>
        <w:rPr>
          <w:rFonts w:ascii="黑体" w:eastAsia="黑体"/>
          <w:color w:val="000000"/>
          <w:sz w:val="32"/>
          <w:szCs w:val="32"/>
        </w:rPr>
      </w:pPr>
      <w:r>
        <w:rPr>
          <w:rFonts w:hint="eastAsia" w:ascii="仿宋_GB2312" w:hAnsi="宋体" w:eastAsia="仿宋_GB2312"/>
          <w:color w:val="000000"/>
          <w:sz w:val="28"/>
          <w:szCs w:val="28"/>
        </w:rPr>
        <w:t>无开支内容</w:t>
      </w:r>
    </w:p>
    <w:p w14:paraId="1B28A370">
      <w:pPr>
        <w:spacing w:line="600" w:lineRule="exact"/>
        <w:ind w:firstLine="640"/>
        <w:outlineLvl w:val="1"/>
        <w:rPr>
          <w:rStyle w:val="27"/>
          <w:rFonts w:ascii="黑体" w:hAnsi="黑体" w:eastAsia="黑体"/>
        </w:rPr>
      </w:pPr>
      <w:bookmarkStart w:id="75" w:name="_Toc2841"/>
      <w:bookmarkStart w:id="76" w:name="_Toc5939"/>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73"/>
      <w:bookmarkEnd w:id="74"/>
      <w:bookmarkEnd w:id="75"/>
      <w:bookmarkEnd w:id="76"/>
    </w:p>
    <w:p w14:paraId="0112BF3B">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473EEF1C">
      <w:pPr>
        <w:numPr>
          <w:ilvl w:val="0"/>
          <w:numId w:val="2"/>
        </w:numPr>
        <w:spacing w:line="600" w:lineRule="exact"/>
        <w:ind w:firstLine="640"/>
        <w:outlineLvl w:val="1"/>
        <w:rPr>
          <w:rStyle w:val="27"/>
          <w:rFonts w:ascii="黑体" w:hAnsi="黑体" w:eastAsia="黑体"/>
          <w:b w:val="0"/>
        </w:rPr>
      </w:pPr>
      <w:bookmarkStart w:id="77" w:name="_Toc15377219"/>
      <w:bookmarkStart w:id="78" w:name="_Toc5113"/>
      <w:bookmarkStart w:id="79" w:name="_Toc15396611"/>
      <w:bookmarkStart w:id="80" w:name="_Toc15200"/>
      <w:r>
        <w:rPr>
          <w:rStyle w:val="27"/>
          <w:rFonts w:hint="eastAsia" w:ascii="黑体" w:hAnsi="黑体" w:eastAsia="黑体"/>
          <w:b w:val="0"/>
        </w:rPr>
        <w:t>国有资本经营预算支出决算情况说明</w:t>
      </w:r>
      <w:bookmarkEnd w:id="77"/>
      <w:bookmarkEnd w:id="78"/>
      <w:bookmarkEnd w:id="79"/>
      <w:bookmarkEnd w:id="80"/>
    </w:p>
    <w:p w14:paraId="5467D33F">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2E200788">
      <w:pPr>
        <w:spacing w:line="600" w:lineRule="exact"/>
        <w:ind w:firstLine="800" w:firstLineChars="250"/>
        <w:outlineLvl w:val="1"/>
        <w:rPr>
          <w:rStyle w:val="27"/>
          <w:rFonts w:ascii="黑体" w:hAnsi="黑体" w:eastAsia="黑体"/>
        </w:rPr>
      </w:pPr>
      <w:bookmarkStart w:id="81" w:name="_Toc15396612"/>
      <w:bookmarkStart w:id="82" w:name="_Toc6828"/>
      <w:bookmarkStart w:id="83" w:name="_Toc15377221"/>
      <w:bookmarkStart w:id="84" w:name="_Toc25247"/>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81"/>
      <w:bookmarkEnd w:id="82"/>
      <w:bookmarkEnd w:id="83"/>
      <w:bookmarkEnd w:id="84"/>
    </w:p>
    <w:p w14:paraId="1DCDB89C">
      <w:pPr>
        <w:spacing w:line="600" w:lineRule="exact"/>
        <w:ind w:firstLine="643" w:firstLineChars="200"/>
        <w:outlineLvl w:val="2"/>
        <w:rPr>
          <w:rFonts w:ascii="仿宋" w:hAnsi="仿宋" w:eastAsia="仿宋"/>
          <w:color w:val="000000"/>
          <w:sz w:val="32"/>
          <w:szCs w:val="32"/>
        </w:rPr>
      </w:pPr>
      <w:bookmarkStart w:id="85" w:name="_Toc15377222"/>
      <w:r>
        <w:rPr>
          <w:rFonts w:hint="eastAsia" w:ascii="仿宋" w:hAnsi="仿宋" w:eastAsia="仿宋"/>
          <w:b/>
          <w:color w:val="000000"/>
          <w:sz w:val="32"/>
          <w:szCs w:val="32"/>
        </w:rPr>
        <w:t>（一）机关运行经费支出情况</w:t>
      </w:r>
      <w:bookmarkEnd w:id="85"/>
    </w:p>
    <w:p w14:paraId="78300818">
      <w:pPr>
        <w:ind w:firstLine="551" w:firstLineChars="197"/>
        <w:rPr>
          <w:rFonts w:ascii="仿宋_GB2312" w:hAnsi="宋体" w:eastAsia="仿宋_GB2312"/>
          <w:bCs/>
          <w:color w:val="000000"/>
          <w:sz w:val="28"/>
          <w:szCs w:val="28"/>
        </w:rPr>
      </w:pPr>
      <w:r>
        <w:rPr>
          <w:rFonts w:hint="eastAsia" w:ascii="仿宋_GB2312" w:hAnsi="宋体" w:eastAsia="仿宋_GB2312"/>
          <w:bCs/>
          <w:color w:val="000000"/>
          <w:sz w:val="28"/>
          <w:szCs w:val="28"/>
        </w:rPr>
        <w:t>（一）机关运行经费支出情况</w:t>
      </w:r>
      <w:r>
        <w:rPr>
          <w:rFonts w:ascii="仿宋_GB2312" w:hAnsi="宋体" w:eastAsia="仿宋_GB2312"/>
          <w:bCs/>
          <w:color w:val="000000"/>
          <w:sz w:val="28"/>
          <w:szCs w:val="28"/>
        </w:rPr>
        <w:t xml:space="preserve"> </w:t>
      </w:r>
    </w:p>
    <w:p w14:paraId="65B36F3C">
      <w:pPr>
        <w:ind w:firstLine="840" w:firstLineChars="300"/>
        <w:rPr>
          <w:rFonts w:ascii="宋体" w:eastAsia="仿宋_GB2312" w:cs="Arial"/>
          <w:color w:val="000000"/>
          <w:sz w:val="22"/>
        </w:rPr>
      </w:pPr>
      <w:r>
        <w:rPr>
          <w:rFonts w:hint="eastAsia" w:ascii="仿宋_GB2312" w:hAnsi="宋体" w:eastAsia="仿宋_GB2312"/>
          <w:color w:val="000000"/>
          <w:sz w:val="28"/>
          <w:szCs w:val="28"/>
        </w:rPr>
        <w:t>2019年度，松潘县黄龙乡机关运行经费支出</w:t>
      </w:r>
      <w:r>
        <w:rPr>
          <w:rFonts w:hint="eastAsia" w:eastAsia="仿宋_GB2312" w:cs="Arial"/>
          <w:color w:val="000000"/>
          <w:sz w:val="28"/>
          <w:szCs w:val="28"/>
        </w:rPr>
        <w:t>38.90</w:t>
      </w:r>
      <w:r>
        <w:rPr>
          <w:rFonts w:hint="eastAsia" w:ascii="仿宋_GB2312" w:hAnsi="宋体" w:eastAsia="仿宋_GB2312"/>
          <w:color w:val="000000"/>
          <w:sz w:val="28"/>
          <w:szCs w:val="28"/>
        </w:rPr>
        <w:t>万元，比2018年29.19万元增加9.71万元，增加了25.00</w:t>
      </w:r>
      <w:r>
        <w:rPr>
          <w:rFonts w:ascii="仿宋_GB2312" w:hAnsi="宋体" w:eastAsia="仿宋_GB2312"/>
          <w:color w:val="000000"/>
          <w:sz w:val="28"/>
          <w:szCs w:val="28"/>
        </w:rPr>
        <w:t>%</w:t>
      </w:r>
      <w:r>
        <w:rPr>
          <w:rFonts w:hint="eastAsia" w:ascii="仿宋_GB2312" w:hAnsi="宋体" w:eastAsia="仿宋_GB2312"/>
          <w:color w:val="000000"/>
          <w:sz w:val="28"/>
          <w:szCs w:val="28"/>
        </w:rPr>
        <w:t>。增加原因在于2019年人员调整，年初指标增加。</w:t>
      </w:r>
    </w:p>
    <w:p w14:paraId="2FBF4E0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15377223"/>
      <w:r>
        <w:rPr>
          <w:rFonts w:hint="eastAsia" w:ascii="仿宋" w:hAnsi="仿宋" w:eastAsia="仿宋"/>
          <w:b/>
          <w:color w:val="000000"/>
          <w:sz w:val="32"/>
          <w:szCs w:val="32"/>
        </w:rPr>
        <w:t>（二）政府采购支出情况</w:t>
      </w:r>
      <w:bookmarkEnd w:id="86"/>
    </w:p>
    <w:p w14:paraId="592043D8">
      <w:pPr>
        <w:ind w:firstLine="700" w:firstLineChars="250"/>
        <w:rPr>
          <w:rFonts w:ascii="仿宋_GB2312" w:eastAsia="仿宋_GB2312"/>
          <w:color w:val="000000"/>
          <w:sz w:val="32"/>
          <w:szCs w:val="32"/>
        </w:rPr>
      </w:pPr>
      <w:r>
        <w:rPr>
          <w:rFonts w:hint="eastAsia" w:ascii="仿宋_GB2312" w:hAnsi="宋体" w:eastAsia="仿宋_GB2312"/>
          <w:color w:val="000000"/>
          <w:sz w:val="28"/>
          <w:szCs w:val="28"/>
        </w:rPr>
        <w:t>2019年度，松潘县黄龙乡政府采购支出总额0万元。</w:t>
      </w:r>
      <w:r>
        <w:rPr>
          <w:rFonts w:ascii="仿宋_GB2312" w:hAnsi="宋体" w:eastAsia="仿宋_GB2312"/>
          <w:color w:val="000000"/>
          <w:sz w:val="28"/>
          <w:szCs w:val="28"/>
        </w:rPr>
        <w:t xml:space="preserve"> </w:t>
      </w:r>
    </w:p>
    <w:p w14:paraId="45D79A3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7" w:name="_Toc15377224"/>
      <w:r>
        <w:rPr>
          <w:rFonts w:hint="eastAsia" w:ascii="仿宋" w:hAnsi="仿宋" w:eastAsia="仿宋"/>
          <w:b/>
          <w:color w:val="000000"/>
          <w:sz w:val="32"/>
          <w:szCs w:val="32"/>
        </w:rPr>
        <w:t>（三）国有资产占有使用情况</w:t>
      </w:r>
      <w:bookmarkEnd w:id="87"/>
    </w:p>
    <w:p w14:paraId="7B45487C">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lang w:eastAsia="zh-CN"/>
        </w:rPr>
        <w:t>截至</w:t>
      </w:r>
      <w:r>
        <w:rPr>
          <w:rFonts w:hint="eastAsia" w:ascii="仿宋_GB2312" w:hAnsi="宋体" w:eastAsia="仿宋_GB2312"/>
          <w:color w:val="000000"/>
          <w:sz w:val="28"/>
          <w:szCs w:val="28"/>
        </w:rPr>
        <w:t>2019年</w:t>
      </w:r>
      <w:r>
        <w:rPr>
          <w:rFonts w:ascii="仿宋_GB2312" w:hAnsi="宋体" w:eastAsia="仿宋_GB2312"/>
          <w:color w:val="000000"/>
          <w:sz w:val="28"/>
          <w:szCs w:val="28"/>
        </w:rPr>
        <w:t>12</w:t>
      </w:r>
      <w:r>
        <w:rPr>
          <w:rFonts w:hint="eastAsia" w:ascii="仿宋_GB2312" w:hAnsi="宋体" w:eastAsia="仿宋_GB2312"/>
          <w:color w:val="000000"/>
          <w:sz w:val="28"/>
          <w:szCs w:val="28"/>
        </w:rPr>
        <w:t>月</w:t>
      </w:r>
      <w:r>
        <w:rPr>
          <w:rFonts w:ascii="仿宋_GB2312" w:hAnsi="宋体" w:eastAsia="仿宋_GB2312"/>
          <w:color w:val="000000"/>
          <w:sz w:val="28"/>
          <w:szCs w:val="28"/>
        </w:rPr>
        <w:t>31</w:t>
      </w:r>
      <w:r>
        <w:rPr>
          <w:rFonts w:hint="eastAsia" w:ascii="仿宋_GB2312" w:hAnsi="宋体" w:eastAsia="仿宋_GB2312"/>
          <w:color w:val="000000"/>
          <w:sz w:val="28"/>
          <w:szCs w:val="28"/>
        </w:rPr>
        <w:t>日止黄龙乡固定资产为320.61万元，车辆1辆，其中：一般公务用车1辆，单价</w:t>
      </w:r>
      <w:r>
        <w:rPr>
          <w:rFonts w:ascii="仿宋_GB2312" w:hAnsi="宋体" w:eastAsia="仿宋_GB2312"/>
          <w:color w:val="000000"/>
          <w:sz w:val="28"/>
          <w:szCs w:val="28"/>
        </w:rPr>
        <w:t>50</w:t>
      </w:r>
      <w:r>
        <w:rPr>
          <w:rFonts w:hint="eastAsia" w:ascii="仿宋_GB2312" w:hAnsi="宋体" w:eastAsia="仿宋_GB2312"/>
          <w:color w:val="000000"/>
          <w:sz w:val="28"/>
          <w:szCs w:val="28"/>
        </w:rPr>
        <w:t>万元以上通用设备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台（套），单价</w:t>
      </w:r>
      <w:r>
        <w:rPr>
          <w:rFonts w:ascii="仿宋_GB2312" w:hAnsi="宋体" w:eastAsia="仿宋_GB2312"/>
          <w:color w:val="000000"/>
          <w:sz w:val="28"/>
          <w:szCs w:val="28"/>
        </w:rPr>
        <w:t>100</w:t>
      </w:r>
      <w:r>
        <w:rPr>
          <w:rFonts w:hint="eastAsia" w:ascii="仿宋_GB2312" w:hAnsi="宋体" w:eastAsia="仿宋_GB2312"/>
          <w:color w:val="000000"/>
          <w:sz w:val="28"/>
          <w:szCs w:val="28"/>
        </w:rPr>
        <w:t>万元以上专用设备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w:t>
      </w:r>
      <w:r>
        <w:rPr>
          <w:rFonts w:ascii="仿宋_GB2312" w:hAnsi="宋体" w:eastAsia="仿宋_GB2312"/>
          <w:color w:val="000000"/>
          <w:sz w:val="28"/>
          <w:szCs w:val="28"/>
        </w:rPr>
        <w:t xml:space="preserve"> </w:t>
      </w:r>
    </w:p>
    <w:p w14:paraId="2BFAC8F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4EFB7DD2">
      <w:pPr>
        <w:spacing w:line="580" w:lineRule="exact"/>
        <w:ind w:left="630"/>
        <w:rPr>
          <w:rFonts w:ascii="仿宋_GB2312" w:hAnsi="宋体" w:eastAsia="仿宋_GB2312"/>
          <w:color w:val="000000"/>
          <w:sz w:val="28"/>
          <w:szCs w:val="28"/>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宋体" w:eastAsia="仿宋_GB2312"/>
          <w:color w:val="000000"/>
          <w:sz w:val="28"/>
          <w:szCs w:val="28"/>
        </w:rPr>
        <w:t xml:space="preserve">按照预算绩效管理要求，本部门对2019年一般公共预算项目支出开展了绩效目标管理，共编制绩效目标0个，涉及财政资金0万元。   </w:t>
      </w:r>
    </w:p>
    <w:p w14:paraId="2116CAF1">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0274376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本部门按要求对2019年黄龙乡整体支出绩效评价情况开展自评，《黄龙乡2019年部门整体支出绩效评价报告》见附件（附件1）。</w:t>
      </w:r>
    </w:p>
    <w:p w14:paraId="3F7D1DB7">
      <w:pPr>
        <w:spacing w:line="580" w:lineRule="exact"/>
        <w:ind w:firstLine="640" w:firstLineChars="200"/>
        <w:rPr>
          <w:rFonts w:ascii="仿宋_GB2312" w:hAnsi="仿宋_GB2312" w:eastAsia="仿宋_GB2312" w:cs="仿宋_GB2312"/>
          <w:sz w:val="32"/>
          <w:szCs w:val="32"/>
        </w:rPr>
      </w:pPr>
    </w:p>
    <w:p w14:paraId="3DE9C608">
      <w:pPr>
        <w:spacing w:line="580" w:lineRule="exact"/>
        <w:ind w:firstLine="640" w:firstLineChars="200"/>
        <w:rPr>
          <w:rFonts w:ascii="仿宋_GB2312" w:hAnsi="仿宋_GB2312" w:eastAsia="仿宋_GB2312" w:cs="仿宋_GB2312"/>
          <w:sz w:val="32"/>
          <w:szCs w:val="32"/>
        </w:rPr>
      </w:pPr>
    </w:p>
    <w:p w14:paraId="4C5EF580">
      <w:pPr>
        <w:spacing w:line="580" w:lineRule="exact"/>
        <w:ind w:firstLine="640" w:firstLineChars="200"/>
        <w:rPr>
          <w:rFonts w:ascii="仿宋_GB2312" w:hAnsi="仿宋_GB2312" w:eastAsia="仿宋_GB2312" w:cs="仿宋_GB2312"/>
          <w:sz w:val="32"/>
          <w:szCs w:val="32"/>
        </w:rPr>
      </w:pPr>
    </w:p>
    <w:p w14:paraId="71FD0C1C">
      <w:pPr>
        <w:spacing w:line="580" w:lineRule="exact"/>
        <w:ind w:firstLine="640" w:firstLineChars="200"/>
        <w:rPr>
          <w:rFonts w:ascii="仿宋_GB2312" w:hAnsi="仿宋_GB2312" w:eastAsia="仿宋_GB2312" w:cs="仿宋_GB2312"/>
          <w:sz w:val="32"/>
          <w:szCs w:val="32"/>
        </w:rPr>
      </w:pPr>
    </w:p>
    <w:p w14:paraId="13C67B7F">
      <w:pPr>
        <w:spacing w:line="580" w:lineRule="exact"/>
        <w:ind w:firstLine="640" w:firstLineChars="200"/>
        <w:rPr>
          <w:rFonts w:ascii="仿宋_GB2312" w:hAnsi="仿宋_GB2312" w:eastAsia="仿宋_GB2312" w:cs="仿宋_GB2312"/>
          <w:sz w:val="32"/>
          <w:szCs w:val="32"/>
        </w:rPr>
      </w:pPr>
    </w:p>
    <w:p w14:paraId="407C6B36">
      <w:pPr>
        <w:spacing w:line="580" w:lineRule="exact"/>
        <w:ind w:firstLine="640" w:firstLineChars="200"/>
        <w:rPr>
          <w:rFonts w:ascii="仿宋_GB2312" w:hAnsi="仿宋_GB2312" w:eastAsia="仿宋_GB2312" w:cs="仿宋_GB2312"/>
          <w:sz w:val="32"/>
          <w:szCs w:val="32"/>
        </w:rPr>
      </w:pPr>
    </w:p>
    <w:p w14:paraId="0029D9AD">
      <w:pPr>
        <w:spacing w:line="580" w:lineRule="exact"/>
        <w:ind w:firstLine="640" w:firstLineChars="200"/>
        <w:rPr>
          <w:rFonts w:ascii="仿宋_GB2312" w:hAnsi="仿宋_GB2312" w:eastAsia="仿宋_GB2312" w:cs="仿宋_GB2312"/>
          <w:sz w:val="32"/>
          <w:szCs w:val="32"/>
        </w:rPr>
      </w:pPr>
    </w:p>
    <w:p w14:paraId="60907A44">
      <w:pPr>
        <w:spacing w:line="580" w:lineRule="exact"/>
        <w:ind w:firstLine="640" w:firstLineChars="200"/>
        <w:rPr>
          <w:rFonts w:ascii="仿宋_GB2312" w:hAnsi="仿宋_GB2312" w:eastAsia="仿宋_GB2312" w:cs="仿宋_GB2312"/>
          <w:sz w:val="32"/>
          <w:szCs w:val="32"/>
        </w:rPr>
      </w:pPr>
    </w:p>
    <w:p w14:paraId="21AF7A4B">
      <w:pPr>
        <w:spacing w:line="580" w:lineRule="exact"/>
        <w:ind w:firstLine="640" w:firstLineChars="200"/>
        <w:rPr>
          <w:rFonts w:ascii="仿宋_GB2312" w:hAnsi="仿宋_GB2312" w:eastAsia="仿宋_GB2312" w:cs="仿宋_GB2312"/>
          <w:sz w:val="32"/>
          <w:szCs w:val="32"/>
        </w:rPr>
      </w:pPr>
    </w:p>
    <w:p w14:paraId="63F34D36">
      <w:pPr>
        <w:spacing w:line="580" w:lineRule="exact"/>
        <w:ind w:firstLine="640" w:firstLineChars="200"/>
        <w:rPr>
          <w:rFonts w:ascii="仿宋_GB2312" w:hAnsi="仿宋_GB2312" w:eastAsia="仿宋_GB2312" w:cs="仿宋_GB2312"/>
          <w:sz w:val="32"/>
          <w:szCs w:val="32"/>
        </w:rPr>
      </w:pPr>
    </w:p>
    <w:p w14:paraId="07E5F2C7">
      <w:pPr>
        <w:spacing w:line="580" w:lineRule="exact"/>
        <w:ind w:firstLine="640" w:firstLineChars="200"/>
        <w:rPr>
          <w:rFonts w:ascii="仿宋_GB2312" w:hAnsi="仿宋_GB2312" w:eastAsia="仿宋_GB2312" w:cs="仿宋_GB2312"/>
          <w:sz w:val="32"/>
          <w:szCs w:val="32"/>
        </w:rPr>
      </w:pPr>
    </w:p>
    <w:p w14:paraId="1B9F6DD3">
      <w:pPr>
        <w:spacing w:line="580" w:lineRule="exact"/>
        <w:ind w:firstLine="640" w:firstLineChars="200"/>
        <w:rPr>
          <w:rFonts w:ascii="仿宋_GB2312" w:hAnsi="仿宋_GB2312" w:eastAsia="仿宋_GB2312" w:cs="仿宋_GB2312"/>
          <w:sz w:val="32"/>
          <w:szCs w:val="32"/>
        </w:rPr>
      </w:pPr>
    </w:p>
    <w:p w14:paraId="4E44ED9A">
      <w:pPr>
        <w:spacing w:line="580" w:lineRule="exact"/>
        <w:ind w:firstLine="640" w:firstLineChars="200"/>
        <w:rPr>
          <w:rFonts w:ascii="仿宋_GB2312" w:hAnsi="仿宋_GB2312" w:eastAsia="仿宋_GB2312" w:cs="仿宋_GB2312"/>
          <w:sz w:val="32"/>
          <w:szCs w:val="32"/>
        </w:rPr>
      </w:pPr>
    </w:p>
    <w:p w14:paraId="455BFE64">
      <w:pPr>
        <w:spacing w:line="580" w:lineRule="exact"/>
        <w:ind w:firstLine="640" w:firstLineChars="200"/>
        <w:rPr>
          <w:rFonts w:ascii="仿宋_GB2312" w:hAnsi="仿宋_GB2312" w:eastAsia="仿宋_GB2312" w:cs="仿宋_GB2312"/>
          <w:sz w:val="32"/>
          <w:szCs w:val="32"/>
        </w:rPr>
      </w:pPr>
    </w:p>
    <w:p w14:paraId="753B2D2C">
      <w:pPr>
        <w:spacing w:line="580" w:lineRule="exact"/>
        <w:ind w:firstLine="640" w:firstLineChars="200"/>
        <w:rPr>
          <w:rFonts w:ascii="仿宋_GB2312" w:hAnsi="仿宋_GB2312" w:eastAsia="仿宋_GB2312" w:cs="仿宋_GB2312"/>
          <w:sz w:val="32"/>
          <w:szCs w:val="32"/>
        </w:rPr>
      </w:pPr>
    </w:p>
    <w:p w14:paraId="7A40F1EF">
      <w:pPr>
        <w:spacing w:line="580" w:lineRule="exact"/>
        <w:ind w:firstLine="640" w:firstLineChars="200"/>
        <w:rPr>
          <w:rFonts w:ascii="仿宋_GB2312" w:hAnsi="仿宋_GB2312" w:eastAsia="仿宋_GB2312" w:cs="仿宋_GB2312"/>
          <w:sz w:val="32"/>
          <w:szCs w:val="32"/>
        </w:rPr>
      </w:pPr>
    </w:p>
    <w:p w14:paraId="288E4EE5">
      <w:pPr>
        <w:spacing w:line="580" w:lineRule="exact"/>
        <w:ind w:firstLine="640" w:firstLineChars="200"/>
        <w:rPr>
          <w:rFonts w:ascii="仿宋_GB2312" w:hAnsi="仿宋_GB2312" w:eastAsia="仿宋_GB2312" w:cs="仿宋_GB2312"/>
          <w:sz w:val="32"/>
          <w:szCs w:val="32"/>
        </w:rPr>
      </w:pPr>
    </w:p>
    <w:p w14:paraId="76755E69">
      <w:pPr>
        <w:spacing w:line="580" w:lineRule="exact"/>
        <w:ind w:firstLine="640" w:firstLineChars="200"/>
        <w:rPr>
          <w:rFonts w:ascii="仿宋_GB2312" w:hAnsi="仿宋_GB2312" w:eastAsia="仿宋_GB2312" w:cs="仿宋_GB2312"/>
          <w:sz w:val="32"/>
          <w:szCs w:val="32"/>
        </w:rPr>
      </w:pPr>
    </w:p>
    <w:p w14:paraId="0FB3DD54">
      <w:pPr>
        <w:spacing w:line="580" w:lineRule="exact"/>
        <w:ind w:firstLine="640" w:firstLineChars="200"/>
        <w:rPr>
          <w:rFonts w:ascii="仿宋_GB2312" w:hAnsi="仿宋_GB2312" w:eastAsia="仿宋_GB2312" w:cs="仿宋_GB2312"/>
          <w:sz w:val="32"/>
          <w:szCs w:val="32"/>
        </w:rPr>
      </w:pPr>
    </w:p>
    <w:p w14:paraId="023EAAAC">
      <w:pPr>
        <w:spacing w:line="580" w:lineRule="exact"/>
        <w:ind w:firstLine="640" w:firstLineChars="200"/>
        <w:rPr>
          <w:rFonts w:ascii="仿宋_GB2312" w:hAnsi="仿宋_GB2312" w:eastAsia="仿宋_GB2312" w:cs="仿宋_GB2312"/>
          <w:sz w:val="32"/>
          <w:szCs w:val="32"/>
        </w:rPr>
      </w:pPr>
    </w:p>
    <w:p w14:paraId="39264314">
      <w:pPr>
        <w:spacing w:line="580" w:lineRule="exact"/>
        <w:ind w:firstLine="640" w:firstLineChars="200"/>
        <w:rPr>
          <w:rFonts w:ascii="仿宋_GB2312" w:hAnsi="仿宋_GB2312" w:eastAsia="仿宋_GB2312" w:cs="仿宋_GB2312"/>
          <w:sz w:val="32"/>
          <w:szCs w:val="32"/>
        </w:rPr>
      </w:pPr>
    </w:p>
    <w:p w14:paraId="0BE831C2">
      <w:pPr>
        <w:spacing w:line="580" w:lineRule="exact"/>
        <w:ind w:firstLine="640" w:firstLineChars="200"/>
        <w:rPr>
          <w:rFonts w:ascii="仿宋_GB2312" w:hAnsi="仿宋_GB2312" w:eastAsia="仿宋_GB2312" w:cs="仿宋_GB2312"/>
          <w:sz w:val="32"/>
          <w:szCs w:val="32"/>
        </w:rPr>
      </w:pPr>
    </w:p>
    <w:p w14:paraId="65C9A1A3">
      <w:pPr>
        <w:spacing w:line="580" w:lineRule="exact"/>
        <w:ind w:firstLine="640" w:firstLineChars="200"/>
        <w:rPr>
          <w:rFonts w:ascii="仿宋_GB2312" w:hAnsi="仿宋_GB2312" w:eastAsia="仿宋_GB2312" w:cs="仿宋_GB2312"/>
          <w:sz w:val="32"/>
          <w:szCs w:val="32"/>
        </w:rPr>
      </w:pPr>
    </w:p>
    <w:p w14:paraId="034AD2F8">
      <w:pPr>
        <w:spacing w:line="580" w:lineRule="exact"/>
        <w:ind w:firstLine="640" w:firstLineChars="200"/>
        <w:rPr>
          <w:rFonts w:ascii="仿宋_GB2312" w:hAnsi="仿宋_GB2312" w:eastAsia="仿宋_GB2312" w:cs="仿宋_GB2312"/>
          <w:sz w:val="32"/>
          <w:szCs w:val="32"/>
        </w:rPr>
      </w:pPr>
    </w:p>
    <w:p w14:paraId="688C2505">
      <w:pPr>
        <w:spacing w:line="580" w:lineRule="exact"/>
        <w:ind w:firstLine="640" w:firstLineChars="200"/>
        <w:rPr>
          <w:rFonts w:ascii="仿宋_GB2312" w:hAnsi="仿宋_GB2312" w:eastAsia="仿宋_GB2312" w:cs="仿宋_GB2312"/>
          <w:sz w:val="32"/>
          <w:szCs w:val="32"/>
        </w:rPr>
      </w:pPr>
    </w:p>
    <w:p w14:paraId="6375221C">
      <w:pPr>
        <w:numPr>
          <w:ilvl w:val="0"/>
          <w:numId w:val="3"/>
        </w:numPr>
        <w:spacing w:line="600" w:lineRule="exact"/>
        <w:ind w:firstLine="660" w:firstLineChars="150"/>
        <w:jc w:val="center"/>
        <w:outlineLvl w:val="0"/>
        <w:rPr>
          <w:rStyle w:val="26"/>
          <w:rFonts w:ascii="黑体" w:hAnsi="黑体" w:eastAsia="黑体"/>
          <w:b w:val="0"/>
        </w:rPr>
      </w:pPr>
      <w:bookmarkStart w:id="88" w:name="_Toc26571"/>
      <w:bookmarkStart w:id="89" w:name="_Toc15396613"/>
      <w:bookmarkStart w:id="90" w:name="_Toc192"/>
      <w:bookmarkStart w:id="91"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88"/>
      <w:bookmarkEnd w:id="89"/>
      <w:bookmarkEnd w:id="90"/>
      <w:bookmarkEnd w:id="91"/>
    </w:p>
    <w:p w14:paraId="1FAA6F3B">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w:t>
      </w:r>
      <w:r>
        <w:rPr>
          <w:rFonts w:hint="eastAsia" w:ascii="仿宋_GB2312" w:hAnsi="宋体" w:eastAsia="仿宋_GB2312"/>
          <w:color w:val="000000"/>
          <w:sz w:val="28"/>
          <w:szCs w:val="28"/>
        </w:rPr>
        <w:t>财政拨款收入：指县级财政当年拨付的资金。</w:t>
      </w:r>
      <w:r>
        <w:rPr>
          <w:rFonts w:ascii="仿宋_GB2312" w:hAnsi="宋体" w:eastAsia="仿宋_GB2312"/>
          <w:color w:val="000000"/>
          <w:sz w:val="28"/>
          <w:szCs w:val="28"/>
        </w:rPr>
        <w:t xml:space="preserve"> </w:t>
      </w:r>
    </w:p>
    <w:p w14:paraId="6879E2DA">
      <w:pPr>
        <w:rPr>
          <w:rFonts w:ascii="仿宋_GB2312" w:hAnsi="宋体" w:eastAsia="仿宋_GB2312"/>
          <w:color w:val="000000"/>
          <w:sz w:val="28"/>
          <w:szCs w:val="28"/>
        </w:rPr>
      </w:pPr>
      <w:r>
        <w:rPr>
          <w:rFonts w:ascii="仿宋_GB2312" w:hAnsi="宋体" w:eastAsia="仿宋_GB2312"/>
          <w:color w:val="000000"/>
          <w:sz w:val="28"/>
          <w:szCs w:val="28"/>
        </w:rPr>
        <w:t xml:space="preserve">    2.</w:t>
      </w:r>
      <w:r>
        <w:rPr>
          <w:rFonts w:hint="eastAsia" w:ascii="仿宋_GB2312" w:hAnsi="宋体" w:eastAsia="仿宋_GB2312"/>
          <w:color w:val="000000"/>
          <w:sz w:val="28"/>
          <w:szCs w:val="28"/>
        </w:rPr>
        <w:t>年初结转和结余：指以前年度尚未完成、结转到本年按有关规定继续使用的资金。</w:t>
      </w:r>
      <w:r>
        <w:rPr>
          <w:rFonts w:ascii="仿宋_GB2312" w:hAnsi="宋体" w:eastAsia="仿宋_GB2312"/>
          <w:color w:val="000000"/>
          <w:sz w:val="28"/>
          <w:szCs w:val="28"/>
        </w:rPr>
        <w:t xml:space="preserve"> </w:t>
      </w:r>
    </w:p>
    <w:p w14:paraId="2700BCC8">
      <w:pPr>
        <w:ind w:firstLine="560"/>
        <w:rPr>
          <w:rFonts w:ascii="仿宋_GB2312" w:hAnsi="宋体" w:eastAsia="仿宋_GB2312"/>
          <w:color w:val="000000"/>
          <w:sz w:val="28"/>
          <w:szCs w:val="28"/>
        </w:rPr>
      </w:pPr>
      <w:r>
        <w:rPr>
          <w:rFonts w:ascii="仿宋_GB2312" w:hAnsi="宋体" w:eastAsia="仿宋_GB2312"/>
          <w:color w:val="000000"/>
          <w:sz w:val="28"/>
          <w:szCs w:val="28"/>
        </w:rPr>
        <w:t>3.</w:t>
      </w:r>
      <w:r>
        <w:rPr>
          <w:rFonts w:hint="eastAsia" w:ascii="仿宋_GB2312" w:hAnsi="宋体" w:eastAsia="仿宋_GB2312"/>
          <w:color w:val="000000"/>
          <w:sz w:val="28"/>
          <w:szCs w:val="28"/>
        </w:rPr>
        <w:t>一般公共服务（类）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：指行政运行。（类）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02</w:t>
      </w:r>
      <w:r>
        <w:rPr>
          <w:rFonts w:hint="eastAsia" w:ascii="仿宋_GB2312" w:hAnsi="宋体" w:eastAsia="仿宋_GB2312"/>
          <w:color w:val="000000"/>
          <w:sz w:val="28"/>
          <w:szCs w:val="28"/>
        </w:rPr>
        <w:t>：指一般行政管理</w:t>
      </w:r>
      <w:r>
        <w:rPr>
          <w:rFonts w:hint="eastAsia" w:ascii="仿宋_GB2312" w:hAnsi="宋体" w:eastAsia="仿宋_GB2312"/>
          <w:color w:val="000000"/>
          <w:sz w:val="28"/>
          <w:szCs w:val="28"/>
          <w:lang w:eastAsia="zh-CN"/>
        </w:rPr>
        <w:t>事务</w:t>
      </w:r>
      <w:r>
        <w:rPr>
          <w:rFonts w:hint="eastAsia" w:ascii="仿宋_GB2312" w:hAnsi="宋体" w:eastAsia="仿宋_GB2312"/>
          <w:color w:val="000000"/>
          <w:sz w:val="28"/>
          <w:szCs w:val="28"/>
        </w:rPr>
        <w:t>。</w:t>
      </w:r>
    </w:p>
    <w:p w14:paraId="62571A99">
      <w:pPr>
        <w:rPr>
          <w:rFonts w:ascii="仿宋_GB2312" w:hAnsi="宋体" w:eastAsia="仿宋_GB2312"/>
          <w:color w:val="000000"/>
          <w:sz w:val="28"/>
          <w:szCs w:val="28"/>
        </w:rPr>
      </w:pPr>
      <w:r>
        <w:rPr>
          <w:rFonts w:ascii="仿宋_GB2312" w:hAnsi="宋体" w:eastAsia="仿宋_GB2312"/>
          <w:color w:val="000000"/>
          <w:sz w:val="28"/>
          <w:szCs w:val="28"/>
        </w:rPr>
        <w:t xml:space="preserve">    4.</w:t>
      </w:r>
      <w:r>
        <w:rPr>
          <w:rFonts w:hint="eastAsia" w:ascii="仿宋_GB2312" w:hAnsi="宋体" w:eastAsia="仿宋_GB2312"/>
          <w:color w:val="000000"/>
          <w:sz w:val="28"/>
          <w:szCs w:val="28"/>
        </w:rPr>
        <w:t>社会保障和就业（类）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05</w:t>
      </w:r>
      <w:r>
        <w:rPr>
          <w:rFonts w:hint="eastAsia" w:ascii="仿宋_GB2312" w:hAnsi="宋体" w:eastAsia="仿宋_GB2312"/>
          <w:color w:val="000000"/>
          <w:sz w:val="28"/>
          <w:szCs w:val="28"/>
        </w:rPr>
        <w:t>：指机关事业单位基本养老保险。（类）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08</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：指死亡抚恤。</w:t>
      </w:r>
      <w:r>
        <w:rPr>
          <w:rFonts w:ascii="仿宋_GB2312" w:hAnsi="宋体" w:eastAsia="仿宋_GB2312"/>
          <w:color w:val="000000"/>
          <w:sz w:val="28"/>
          <w:szCs w:val="28"/>
        </w:rPr>
        <w:t xml:space="preserve"> </w:t>
      </w:r>
    </w:p>
    <w:p w14:paraId="42A44689">
      <w:pPr>
        <w:rPr>
          <w:rFonts w:ascii="仿宋_GB2312" w:hAnsi="宋体" w:eastAsia="仿宋_GB2312"/>
          <w:color w:val="000000"/>
          <w:sz w:val="28"/>
          <w:szCs w:val="28"/>
        </w:rPr>
      </w:pPr>
      <w:r>
        <w:rPr>
          <w:rFonts w:ascii="仿宋_GB2312" w:hAnsi="宋体" w:eastAsia="仿宋_GB2312"/>
          <w:color w:val="000000"/>
          <w:sz w:val="28"/>
          <w:szCs w:val="28"/>
        </w:rPr>
        <w:t xml:space="preserve">    5.</w:t>
      </w:r>
      <w:r>
        <w:rPr>
          <w:rFonts w:hint="eastAsia" w:ascii="仿宋_GB2312" w:hAnsi="宋体" w:eastAsia="仿宋_GB2312"/>
          <w:color w:val="000000"/>
          <w:sz w:val="28"/>
          <w:szCs w:val="28"/>
        </w:rPr>
        <w:t>医疗卫生与计划生育（类）</w:t>
      </w:r>
      <w:r>
        <w:rPr>
          <w:rFonts w:ascii="仿宋_GB2312" w:hAnsi="宋体" w:eastAsia="仿宋_GB2312"/>
          <w:color w:val="000000"/>
          <w:sz w:val="28"/>
          <w:szCs w:val="28"/>
        </w:rPr>
        <w:t>210</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：指行政单位医疗。</w:t>
      </w:r>
      <w:r>
        <w:rPr>
          <w:rFonts w:ascii="仿宋_GB2312" w:hAnsi="宋体" w:eastAsia="仿宋_GB2312"/>
          <w:color w:val="000000"/>
          <w:sz w:val="28"/>
          <w:szCs w:val="28"/>
        </w:rPr>
        <w:t xml:space="preserve"> </w:t>
      </w:r>
    </w:p>
    <w:p w14:paraId="3332BF46">
      <w:pPr>
        <w:rPr>
          <w:rFonts w:ascii="仿宋_GB2312" w:hAnsi="宋体" w:eastAsia="仿宋_GB2312"/>
          <w:color w:val="000000"/>
          <w:sz w:val="28"/>
          <w:szCs w:val="28"/>
        </w:rPr>
      </w:pPr>
      <w:r>
        <w:rPr>
          <w:rFonts w:ascii="仿宋_GB2312" w:hAnsi="宋体" w:eastAsia="仿宋_GB2312"/>
          <w:color w:val="000000"/>
          <w:sz w:val="28"/>
          <w:szCs w:val="28"/>
        </w:rPr>
        <w:t xml:space="preserve">    6.</w:t>
      </w:r>
      <w:r>
        <w:rPr>
          <w:rFonts w:hint="eastAsia" w:ascii="仿宋_GB2312" w:hAnsi="宋体" w:eastAsia="仿宋_GB2312"/>
          <w:color w:val="000000"/>
          <w:sz w:val="28"/>
          <w:szCs w:val="28"/>
        </w:rPr>
        <w:t>商业服务（类）</w:t>
      </w:r>
      <w:r>
        <w:rPr>
          <w:rFonts w:ascii="仿宋_GB2312" w:hAnsi="宋体" w:eastAsia="仿宋_GB2312"/>
          <w:color w:val="000000"/>
          <w:sz w:val="28"/>
          <w:szCs w:val="28"/>
        </w:rPr>
        <w:t>216</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99</w:t>
      </w:r>
      <w:r>
        <w:rPr>
          <w:rFonts w:hint="eastAsia" w:ascii="仿宋_GB2312" w:hAnsi="宋体" w:eastAsia="仿宋_GB2312"/>
          <w:color w:val="000000"/>
          <w:sz w:val="28"/>
          <w:szCs w:val="28"/>
        </w:rPr>
        <w:t>：指其他旅游业管理与服务支出。</w:t>
      </w:r>
      <w:r>
        <w:rPr>
          <w:rFonts w:ascii="仿宋_GB2312" w:hAnsi="宋体" w:eastAsia="仿宋_GB2312"/>
          <w:color w:val="000000"/>
          <w:sz w:val="28"/>
          <w:szCs w:val="28"/>
        </w:rPr>
        <w:t xml:space="preserve"> </w:t>
      </w:r>
    </w:p>
    <w:p w14:paraId="3CE0C18A">
      <w:pPr>
        <w:rPr>
          <w:rFonts w:ascii="仿宋_GB2312" w:hAnsi="宋体" w:eastAsia="仿宋_GB2312"/>
          <w:color w:val="000000"/>
          <w:sz w:val="28"/>
          <w:szCs w:val="28"/>
        </w:rPr>
      </w:pPr>
      <w:r>
        <w:rPr>
          <w:rFonts w:hint="eastAsia" w:ascii="仿宋_GB2312" w:hAnsi="宋体" w:eastAsia="仿宋_GB2312"/>
          <w:color w:val="000000"/>
          <w:sz w:val="28"/>
          <w:szCs w:val="28"/>
        </w:rPr>
        <w:t>　</w:t>
      </w:r>
      <w:r>
        <w:rPr>
          <w:rFonts w:ascii="仿宋_GB2312" w:hAnsi="宋体" w:eastAsia="仿宋_GB2312"/>
          <w:color w:val="000000"/>
          <w:sz w:val="28"/>
          <w:szCs w:val="28"/>
        </w:rPr>
        <w:t xml:space="preserve">  7.</w:t>
      </w:r>
      <w:r>
        <w:rPr>
          <w:rFonts w:hint="eastAsia" w:ascii="仿宋_GB2312" w:hAnsi="宋体" w:eastAsia="仿宋_GB2312"/>
          <w:color w:val="000000"/>
          <w:sz w:val="28"/>
          <w:szCs w:val="28"/>
        </w:rPr>
        <w:t>住房保障（类）</w:t>
      </w:r>
      <w:r>
        <w:rPr>
          <w:rFonts w:ascii="仿宋_GB2312" w:hAnsi="宋体" w:eastAsia="仿宋_GB2312"/>
          <w:color w:val="000000"/>
          <w:sz w:val="28"/>
          <w:szCs w:val="28"/>
        </w:rPr>
        <w:t>221</w:t>
      </w:r>
      <w:r>
        <w:rPr>
          <w:rFonts w:hint="eastAsia" w:ascii="仿宋_GB2312" w:hAnsi="宋体" w:eastAsia="仿宋_GB2312"/>
          <w:color w:val="000000"/>
          <w:sz w:val="28"/>
          <w:szCs w:val="28"/>
        </w:rPr>
        <w:t>（款）</w:t>
      </w:r>
      <w:r>
        <w:rPr>
          <w:rFonts w:ascii="仿宋_GB2312" w:hAnsi="宋体" w:eastAsia="仿宋_GB2312"/>
          <w:color w:val="000000"/>
          <w:sz w:val="28"/>
          <w:szCs w:val="28"/>
        </w:rPr>
        <w:t>02</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：指住房公积金。</w:t>
      </w:r>
      <w:r>
        <w:rPr>
          <w:rFonts w:ascii="仿宋_GB2312" w:hAnsi="宋体" w:eastAsia="仿宋_GB2312"/>
          <w:color w:val="000000"/>
          <w:sz w:val="28"/>
          <w:szCs w:val="28"/>
        </w:rPr>
        <w:t xml:space="preserve"> </w:t>
      </w:r>
    </w:p>
    <w:p w14:paraId="156D8E32">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8.</w:t>
      </w:r>
      <w:r>
        <w:rPr>
          <w:rFonts w:hint="eastAsia" w:ascii="仿宋_GB2312" w:hAnsi="宋体" w:eastAsia="仿宋_GB2312"/>
          <w:color w:val="000000"/>
          <w:sz w:val="28"/>
          <w:szCs w:val="28"/>
        </w:rPr>
        <w:t>年末结转和结余：指本年度或以前年度预算安排、因客观条件发生变化无法按原计划实施，需延迟到以后年度按有关规定继续使用的资金。</w:t>
      </w:r>
      <w:r>
        <w:rPr>
          <w:rFonts w:ascii="仿宋_GB2312" w:hAnsi="宋体" w:eastAsia="仿宋_GB2312"/>
          <w:color w:val="000000"/>
          <w:sz w:val="28"/>
          <w:szCs w:val="28"/>
        </w:rPr>
        <w:t xml:space="preserve"> </w:t>
      </w:r>
    </w:p>
    <w:p w14:paraId="26F4DD72">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9.</w:t>
      </w:r>
      <w:r>
        <w:rPr>
          <w:rFonts w:hint="eastAsia" w:ascii="仿宋_GB2312" w:hAnsi="宋体" w:eastAsia="仿宋_GB2312"/>
          <w:color w:val="000000"/>
          <w:sz w:val="28"/>
          <w:szCs w:val="28"/>
        </w:rPr>
        <w:t>基本支出：指为保障机构正常运转、完成日常工作任务而发生的人员支出和公用支出。</w:t>
      </w:r>
      <w:r>
        <w:rPr>
          <w:rFonts w:ascii="仿宋_GB2312" w:hAnsi="宋体" w:eastAsia="仿宋_GB2312"/>
          <w:color w:val="000000"/>
          <w:sz w:val="28"/>
          <w:szCs w:val="28"/>
        </w:rPr>
        <w:t xml:space="preserve"> </w:t>
      </w:r>
    </w:p>
    <w:p w14:paraId="1AE02A9E">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10.</w:t>
      </w:r>
      <w:r>
        <w:rPr>
          <w:rFonts w:hint="eastAsia" w:ascii="仿宋_GB2312" w:hAnsi="宋体" w:eastAsia="仿宋_GB2312"/>
          <w:color w:val="000000"/>
          <w:sz w:val="28"/>
          <w:szCs w:val="28"/>
        </w:rPr>
        <w:t>项目支出：指在基本支出之外为完成特定行政任务和事业发展目标所发生的支出。</w:t>
      </w:r>
      <w:r>
        <w:rPr>
          <w:rFonts w:ascii="仿宋_GB2312" w:hAnsi="宋体" w:eastAsia="仿宋_GB2312"/>
          <w:color w:val="000000"/>
          <w:sz w:val="28"/>
          <w:szCs w:val="28"/>
        </w:rPr>
        <w:t xml:space="preserve"> </w:t>
      </w:r>
    </w:p>
    <w:p w14:paraId="24CFBED3">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11.</w:t>
      </w:r>
      <w:r>
        <w:rPr>
          <w:rFonts w:hint="eastAsia" w:ascii="仿宋_GB2312" w:hAnsi="宋体" w:eastAsia="仿宋_GB2312"/>
          <w:color w:val="00000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hAnsi="宋体" w:eastAsia="仿宋_GB2312"/>
          <w:color w:val="000000"/>
          <w:sz w:val="28"/>
          <w:szCs w:val="28"/>
        </w:rPr>
        <w:t xml:space="preserve"> </w:t>
      </w:r>
    </w:p>
    <w:p w14:paraId="50D86CCF">
      <w:pPr>
        <w:ind w:firstLine="560" w:firstLineChars="200"/>
        <w:rPr>
          <w:rFonts w:ascii="仿宋_GB2312" w:hAnsi="宋体" w:eastAsia="仿宋_GB2312"/>
          <w:sz w:val="28"/>
          <w:szCs w:val="28"/>
        </w:rPr>
      </w:pPr>
      <w:r>
        <w:rPr>
          <w:rFonts w:ascii="仿宋_GB2312" w:hAnsi="宋体" w:eastAsia="仿宋_GB2312"/>
          <w:color w:val="000000"/>
          <w:sz w:val="28"/>
          <w:szCs w:val="28"/>
        </w:rPr>
        <w:t>12.</w:t>
      </w:r>
      <w:r>
        <w:rPr>
          <w:rFonts w:hint="eastAsia" w:ascii="仿宋_GB2312" w:hAnsi="宋体" w:eastAsia="仿宋_GB2312"/>
          <w:color w:val="000000"/>
          <w:sz w:val="28"/>
          <w:szCs w:val="28"/>
        </w:rPr>
        <w:t>机关运行经费：为保障行政单位（含参照公务员法管理的事业单位）运行用于购买货物和服务的各项资金，包括办公及印刷费、</w:t>
      </w:r>
      <w:r>
        <w:rPr>
          <w:rFonts w:hint="eastAsia" w:ascii="仿宋_GB2312" w:hAnsi="宋体" w:eastAsia="仿宋_GB2312"/>
          <w:sz w:val="28"/>
          <w:szCs w:val="28"/>
        </w:rPr>
        <w:t>邮电费、差旅费、会议费、福利费、日常维修费、专用材料及一般设备购置费、办公用房水电费、办公用房取暖费、办公用房物业管理费、公务用车运行维护费以及其他费用。</w:t>
      </w:r>
    </w:p>
    <w:p w14:paraId="19D317F8">
      <w:pPr>
        <w:ind w:firstLine="560" w:firstLineChars="200"/>
        <w:rPr>
          <w:rFonts w:ascii="仿宋_GB2312" w:hAnsi="宋体" w:eastAsia="仿宋_GB2312"/>
          <w:sz w:val="28"/>
          <w:szCs w:val="28"/>
        </w:rPr>
      </w:pPr>
    </w:p>
    <w:p w14:paraId="524B459B">
      <w:pPr>
        <w:ind w:firstLine="560" w:firstLineChars="200"/>
        <w:rPr>
          <w:rFonts w:ascii="仿宋_GB2312" w:hAnsi="宋体" w:eastAsia="仿宋_GB2312"/>
          <w:sz w:val="28"/>
          <w:szCs w:val="28"/>
        </w:rPr>
      </w:pPr>
    </w:p>
    <w:p w14:paraId="2CBA3436">
      <w:pPr>
        <w:ind w:firstLine="560" w:firstLineChars="200"/>
        <w:rPr>
          <w:rFonts w:ascii="仿宋_GB2312" w:hAnsi="宋体" w:eastAsia="仿宋_GB2312"/>
          <w:sz w:val="28"/>
          <w:szCs w:val="28"/>
        </w:rPr>
      </w:pPr>
    </w:p>
    <w:p w14:paraId="7E71BA7B">
      <w:pPr>
        <w:ind w:firstLine="560" w:firstLineChars="200"/>
        <w:rPr>
          <w:rFonts w:ascii="仿宋_GB2312" w:hAnsi="宋体" w:eastAsia="仿宋_GB2312"/>
          <w:sz w:val="28"/>
          <w:szCs w:val="28"/>
        </w:rPr>
      </w:pPr>
    </w:p>
    <w:p w14:paraId="6C0BE9BB">
      <w:pPr>
        <w:ind w:firstLine="560" w:firstLineChars="200"/>
        <w:rPr>
          <w:rFonts w:ascii="仿宋_GB2312" w:hAnsi="宋体" w:eastAsia="仿宋_GB2312"/>
          <w:sz w:val="28"/>
          <w:szCs w:val="28"/>
        </w:rPr>
      </w:pPr>
    </w:p>
    <w:p w14:paraId="20129E40">
      <w:pPr>
        <w:ind w:firstLine="560" w:firstLineChars="200"/>
        <w:rPr>
          <w:rFonts w:ascii="仿宋_GB2312" w:hAnsi="宋体" w:eastAsia="仿宋_GB2312"/>
          <w:sz w:val="28"/>
          <w:szCs w:val="28"/>
        </w:rPr>
      </w:pPr>
    </w:p>
    <w:p w14:paraId="054DC5B6">
      <w:pPr>
        <w:ind w:firstLine="560" w:firstLineChars="200"/>
        <w:rPr>
          <w:rFonts w:ascii="仿宋_GB2312" w:hAnsi="宋体" w:eastAsia="仿宋_GB2312"/>
          <w:sz w:val="28"/>
          <w:szCs w:val="28"/>
        </w:rPr>
      </w:pPr>
    </w:p>
    <w:p w14:paraId="13A67D09">
      <w:pPr>
        <w:ind w:firstLine="560" w:firstLineChars="200"/>
        <w:rPr>
          <w:rFonts w:ascii="仿宋_GB2312" w:hAnsi="宋体" w:eastAsia="仿宋_GB2312"/>
          <w:sz w:val="28"/>
          <w:szCs w:val="28"/>
        </w:rPr>
      </w:pPr>
    </w:p>
    <w:p w14:paraId="7517724C">
      <w:pPr>
        <w:ind w:firstLine="560" w:firstLineChars="200"/>
        <w:rPr>
          <w:rFonts w:ascii="仿宋_GB2312" w:hAnsi="宋体" w:eastAsia="仿宋_GB2312"/>
          <w:sz w:val="28"/>
          <w:szCs w:val="28"/>
        </w:rPr>
      </w:pPr>
    </w:p>
    <w:p w14:paraId="1F88B803">
      <w:pPr>
        <w:rPr>
          <w:rFonts w:ascii="仿宋_GB2312" w:hAnsi="宋体" w:eastAsia="仿宋_GB2312"/>
          <w:sz w:val="28"/>
          <w:szCs w:val="28"/>
        </w:rPr>
      </w:pPr>
    </w:p>
    <w:p w14:paraId="5B07FBDE">
      <w:pPr>
        <w:ind w:firstLine="560" w:firstLineChars="200"/>
        <w:rPr>
          <w:rFonts w:ascii="仿宋_GB2312" w:hAnsi="宋体" w:eastAsia="仿宋_GB2312"/>
          <w:sz w:val="28"/>
          <w:szCs w:val="28"/>
        </w:rPr>
      </w:pPr>
    </w:p>
    <w:p w14:paraId="5C565700">
      <w:pPr>
        <w:ind w:firstLine="560" w:firstLineChars="200"/>
        <w:rPr>
          <w:rFonts w:ascii="仿宋_GB2312" w:hAnsi="宋体" w:eastAsia="仿宋_GB2312"/>
          <w:sz w:val="28"/>
          <w:szCs w:val="28"/>
        </w:rPr>
      </w:pPr>
    </w:p>
    <w:p w14:paraId="775495A8">
      <w:pPr>
        <w:spacing w:line="600" w:lineRule="exact"/>
        <w:jc w:val="center"/>
        <w:outlineLvl w:val="0"/>
        <w:rPr>
          <w:rStyle w:val="26"/>
          <w:rFonts w:ascii="黑体" w:hAnsi="黑体" w:eastAsia="黑体"/>
          <w:b w:val="0"/>
        </w:rPr>
      </w:pPr>
      <w:bookmarkStart w:id="92" w:name="_Toc15906"/>
      <w:bookmarkStart w:id="93" w:name="_Toc15396614"/>
      <w:bookmarkStart w:id="94" w:name="_Toc19534"/>
      <w:bookmarkStart w:id="95" w:name="_Toc15377226"/>
      <w:r>
        <w:rPr>
          <w:rFonts w:hint="eastAsia" w:ascii="黑体" w:hAnsi="黑体" w:eastAsia="黑体"/>
          <w:color w:val="000000"/>
          <w:sz w:val="44"/>
          <w:szCs w:val="44"/>
        </w:rPr>
        <w:t>第</w:t>
      </w:r>
      <w:r>
        <w:rPr>
          <w:rStyle w:val="26"/>
          <w:rFonts w:hint="eastAsia" w:ascii="黑体" w:hAnsi="黑体" w:eastAsia="黑体"/>
          <w:b w:val="0"/>
        </w:rPr>
        <w:t>四部分 附件</w:t>
      </w:r>
      <w:bookmarkEnd w:id="92"/>
      <w:bookmarkEnd w:id="93"/>
      <w:bookmarkEnd w:id="94"/>
    </w:p>
    <w:p w14:paraId="02FE3523">
      <w:pPr>
        <w:spacing w:line="600" w:lineRule="exact"/>
        <w:jc w:val="left"/>
        <w:outlineLvl w:val="0"/>
        <w:rPr>
          <w:rFonts w:ascii="方正小标宋简体" w:hAnsi="方正小标宋简体" w:eastAsia="方正小标宋简体" w:cs="方正小标宋简体"/>
          <w:sz w:val="32"/>
          <w:szCs w:val="32"/>
        </w:rPr>
      </w:pPr>
      <w:bookmarkStart w:id="96" w:name="_Toc4912"/>
      <w:bookmarkStart w:id="97" w:name="_Toc7676"/>
      <w:r>
        <w:rPr>
          <w:rFonts w:hint="eastAsia" w:ascii="黑体" w:hAnsi="黑体" w:eastAsia="黑体" w:cs="黑体"/>
          <w:sz w:val="32"/>
          <w:szCs w:val="32"/>
        </w:rPr>
        <w:t>附件1</w:t>
      </w:r>
      <w:bookmarkEnd w:id="96"/>
      <w:bookmarkEnd w:id="97"/>
    </w:p>
    <w:p w14:paraId="6D4930CA">
      <w:pPr>
        <w:spacing w:line="580" w:lineRule="exact"/>
        <w:jc w:val="center"/>
        <w:rPr>
          <w:rFonts w:ascii="方正小标宋简体" w:hAnsi="方正小标宋简体" w:eastAsia="方正小标宋简体" w:cs="方正小标宋简体"/>
          <w:sz w:val="44"/>
          <w:szCs w:val="44"/>
        </w:rPr>
      </w:pPr>
    </w:p>
    <w:p w14:paraId="2BE1B49D">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黄龙乡</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0CDAC5ED">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3FE7D53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3BEC4B38">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松潘县黄龙乡设5个内设机构</w:t>
      </w:r>
    </w:p>
    <w:p w14:paraId="730E76D0">
      <w:pPr>
        <w:widowControl/>
        <w:adjustRightInd w:val="0"/>
        <w:snapToGrid w:val="0"/>
        <w:spacing w:line="572"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（一）党政办公室</w:t>
      </w:r>
    </w:p>
    <w:p w14:paraId="0CF0F0BE">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主要工作职责：主要承担</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党委、人大、政府交办的各项日常工作、纪检监察工作及乡内各部门、各方面的综合协调工作，督促检查有关工作的落实。负责年度工作计划、工作总结、发展规划、报告、请示、领导讲话稿的起草、修改、校核工作；负责</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党委、政府各类会议的组织、会务、记录、撰写会议纪要和议事纪要工作；负责信息的收集、整理、印送、上报和信息调研工作；负责印章的管</w:t>
      </w:r>
      <w:r>
        <w:rPr>
          <w:rFonts w:hint="eastAsia" w:ascii="仿宋_GB2312" w:hAnsi="仿宋_GB2312" w:eastAsia="仿宋_GB2312" w:cs="仿宋_GB2312"/>
          <w:color w:val="000000"/>
          <w:sz w:val="32"/>
          <w:szCs w:val="32"/>
          <w:lang w:eastAsia="zh-CN"/>
        </w:rPr>
        <w:t>理和</w:t>
      </w:r>
      <w:r>
        <w:rPr>
          <w:rFonts w:hint="eastAsia" w:ascii="仿宋_GB2312" w:hAnsi="仿宋_GB2312" w:eastAsia="仿宋_GB2312" w:cs="仿宋_GB2312"/>
          <w:color w:val="000000"/>
          <w:sz w:val="32"/>
          <w:szCs w:val="32"/>
        </w:rPr>
        <w:t>使用；负责各项目标管理的督促、自查及上报；负责人大议案、建议、批评意见的督办、反馈、汇总答复工作；承担</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党委、人大、政府交办的各项日常工作、纪检监察工作及各方面的综合协调工作，督促检查有关工作的落实；负责机关工作人员的政治思想、作风建设工作；指导全乡各村组开展党务、共青团、妇女工作；指导各村委会建立“一事一议”制度；配合乡人武部做好民兵训练、组织及征兵工作；切实维护妇女儿童的合法权益；做好计划生育宣传教育工作，落实国家计划生育政策，努力提高人口素质；负责组织军烈属慰问、民政救灾救济工作、老龄工作；做好防震减灾工作；加强安全生产管理，拟定本级政府安全生产工作计划、目标任务、工作措施和目标考核办法，督促逐项落实，并对责任单位进行检查和考核；宣传教育、文化、科技、卫生等方面的政策、知识，并落实有关政策；加强社会公德教育，化解农村社会矛盾，保障农民合法权益；严格按规定管理</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机关及所属事业单位财务，依照有关法律法规对</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集体企业财务</w:t>
      </w:r>
      <w:r>
        <w:rPr>
          <w:rFonts w:hint="eastAsia" w:ascii="仿宋_GB2312" w:hAnsi="仿宋_GB2312" w:eastAsia="仿宋_GB2312" w:cs="仿宋_GB2312"/>
          <w:color w:val="000000"/>
          <w:sz w:val="32"/>
          <w:szCs w:val="32"/>
          <w:lang w:eastAsia="zh-CN"/>
        </w:rPr>
        <w:t>，对</w:t>
      </w:r>
      <w:r>
        <w:rPr>
          <w:rFonts w:hint="eastAsia" w:ascii="仿宋_GB2312" w:hAnsi="仿宋_GB2312" w:eastAsia="仿宋_GB2312" w:cs="仿宋_GB2312"/>
          <w:color w:val="000000"/>
          <w:sz w:val="32"/>
          <w:szCs w:val="32"/>
        </w:rPr>
        <w:t>各村、组财务进行监督、指导，积极配合上级的财务检查、财务审计工作。完成领导交办的其他工作。</w:t>
      </w:r>
    </w:p>
    <w:p w14:paraId="12506126">
      <w:pPr>
        <w:widowControl/>
        <w:adjustRightInd w:val="0"/>
        <w:snapToGrid w:val="0"/>
        <w:spacing w:line="572"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 维护稳定办公室</w:t>
      </w:r>
    </w:p>
    <w:p w14:paraId="30ABA428">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工作职责：主要承担群众来信来访、民间纠纷调解、化解社会矛盾、维护社会稳定工作，搞好社会治安综合治理工作。受理群众来信来访，协调处理上级督办的信访案件和辖区内的信访积案，摸排、分析信访问题，提供动态信息和工作建议；加强禁毒工作；加强</w:t>
      </w:r>
      <w:r>
        <w:rPr>
          <w:rFonts w:hint="eastAsia" w:ascii="仿宋_GB2312" w:hAnsi="仿宋_GB2312" w:eastAsia="仿宋_GB2312" w:cs="仿宋_GB2312"/>
          <w:color w:val="000000"/>
          <w:sz w:val="32"/>
          <w:szCs w:val="32"/>
          <w:lang w:eastAsia="zh-CN"/>
        </w:rPr>
        <w:t>法治建设</w:t>
      </w:r>
      <w:r>
        <w:rPr>
          <w:rFonts w:hint="eastAsia" w:ascii="仿宋_GB2312" w:hAnsi="仿宋_GB2312" w:eastAsia="仿宋_GB2312" w:cs="仿宋_GB2312"/>
          <w:color w:val="000000"/>
          <w:sz w:val="32"/>
          <w:szCs w:val="32"/>
        </w:rPr>
        <w:t xml:space="preserve">，加大法制宣传力度；妥善处理本行政区域内的民族宗教事务；负责调解治保组织及工作人员的配置、培训、管理；协调各类民间纠纷，搞好社会治安综合治理工作；做好辖区内的应急管理工作；完成领导交办的其他工作。 </w:t>
      </w:r>
    </w:p>
    <w:p w14:paraId="43C55298">
      <w:pPr>
        <w:widowControl/>
        <w:adjustRightInd w:val="0"/>
        <w:snapToGrid w:val="0"/>
        <w:spacing w:line="572"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（三）综合发展办公室</w:t>
      </w:r>
    </w:p>
    <w:p w14:paraId="03FE76AD">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工作职责：承担全乡农业、工业、林业、水利、畜牧和第三产业发展规划，国有资产管理工作，协调与经济发展相关的其他工作。负责草拟全乡农业产业结构调整规划，并督促落实；结合本地农业产业结构调整状况，负责提供适合当地有发展前景的商品产供销信息，为农民生产、经营、销售提供优质服务；加强农村剩余劳动力技能培训，引导农村剩余劳动力转移和就业；负责提交全</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公益性基础设施建设规划；加强农村土地承包管理，农民负担监督管理，农村集体资产财务管理。</w:t>
      </w:r>
    </w:p>
    <w:p w14:paraId="541B7C13">
      <w:pPr>
        <w:widowControl/>
        <w:adjustRightInd w:val="0"/>
        <w:snapToGrid w:val="0"/>
        <w:spacing w:line="572"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（四） </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管理工作办公室</w:t>
      </w:r>
    </w:p>
    <w:p w14:paraId="3D73CBB4">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主要工作职责：协助县级有关部门，负</w:t>
      </w:r>
      <w:r>
        <w:rPr>
          <w:rFonts w:hint="eastAsia" w:ascii="仿宋_GB2312" w:hAnsi="仿宋_GB2312" w:eastAsia="仿宋_GB2312" w:cs="仿宋_GB2312"/>
          <w:color w:val="000000"/>
          <w:sz w:val="32"/>
          <w:szCs w:val="32"/>
          <w:lang w:eastAsia="zh-CN"/>
        </w:rPr>
        <w:t>责城</w:t>
      </w:r>
      <w:r>
        <w:rPr>
          <w:rFonts w:hint="eastAsia" w:ascii="仿宋_GB2312" w:hAnsi="仿宋_GB2312" w:eastAsia="仿宋_GB2312" w:cs="仿宋_GB2312"/>
          <w:color w:val="000000"/>
          <w:sz w:val="32"/>
          <w:szCs w:val="32"/>
        </w:rPr>
        <w:t>乡卫生、治安、城</w:t>
      </w:r>
      <w:r>
        <w:rPr>
          <w:rFonts w:hint="eastAsia" w:ascii="仿宋_GB2312" w:hAnsi="仿宋_GB2312" w:cs="仿宋_GB2312"/>
          <w:color w:val="000000"/>
          <w:sz w:val="32"/>
          <w:szCs w:val="32"/>
        </w:rPr>
        <w:t>乡</w:t>
      </w:r>
      <w:r>
        <w:rPr>
          <w:rFonts w:hint="eastAsia" w:ascii="仿宋_GB2312" w:hAnsi="仿宋_GB2312" w:eastAsia="仿宋_GB2312" w:cs="仿宋_GB2312"/>
          <w:color w:val="000000"/>
          <w:sz w:val="32"/>
          <w:szCs w:val="32"/>
        </w:rPr>
        <w:t>拆迁、规划建设、环境保护等工作。负责乡辖区环境卫生工作，培养群众爱清洁，讲文明的良好习惯，加大保洁员的工作力度，创造优美舒适的人居环境；协助做好拆迁安置工作；通过宣传，增强老百姓的环保意识，大力提倡节能减排，保护环境，做好环保工作。</w:t>
      </w:r>
    </w:p>
    <w:p w14:paraId="1E5A9A53">
      <w:pPr>
        <w:widowControl/>
        <w:adjustRightInd w:val="0"/>
        <w:snapToGrid w:val="0"/>
        <w:spacing w:line="572" w:lineRule="exact"/>
        <w:jc w:val="left"/>
        <w:rPr>
          <w:rFonts w:ascii="仿宋_GB2312" w:hAnsi="仿宋_GB2312" w:eastAsia="仿宋_GB2312" w:cs="仿宋_GB2312"/>
          <w:color w:val="000000"/>
          <w:sz w:val="32"/>
          <w:szCs w:val="32"/>
        </w:rPr>
      </w:pPr>
      <w:r>
        <w:rPr>
          <w:rFonts w:hint="eastAsia" w:ascii="仿宋_GB2312" w:hAnsi="仿宋_GB2312" w:cs="仿宋_GB2312"/>
          <w:color w:val="000000"/>
          <w:sz w:val="32"/>
          <w:szCs w:val="32"/>
        </w:rPr>
        <w:t>（五）</w:t>
      </w:r>
      <w:r>
        <w:rPr>
          <w:rFonts w:hint="eastAsia" w:ascii="仿宋_GB2312" w:hAnsi="仿宋_GB2312" w:eastAsia="仿宋_GB2312" w:cs="仿宋_GB2312"/>
          <w:color w:val="000000"/>
          <w:sz w:val="32"/>
          <w:szCs w:val="32"/>
        </w:rPr>
        <w:t xml:space="preserve">设置乡团委书记、乡妇联主席、乡工会主席职位  </w:t>
      </w:r>
    </w:p>
    <w:p w14:paraId="14DF2524">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乡团委工作职责：做好团员的发展与管理工作，关心青少年的进步与维权；用科学的理论武装青少年，全面推进青少年思想道德建设和思想政治教育。开展特色活动，增强团的吸引力、凝聚力和战斗力；对要求入团的青年进行培养教育，做好经常性发展团员工作，收缴团费，办理超龄团员的离团手续；对团员进行党的基本知识教育，推荐优秀团员作为党员发展对象，发现培养青年中的优秀人才，推荐他们进入更重要的生产和工作岗位；完成领导交办的其他工作。 </w:t>
      </w:r>
    </w:p>
    <w:p w14:paraId="4FA09864">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乡妇联工作职责：做好基层妇代会队伍建设，保护妇女儿童老人的合法权益；团结、动员妇女投身改革开放和社会主义现代化建设，促进经济发展和社会全面进步；教育、引导广大妇女增强自尊、自信、自立、自强的精神，全面提高素质，促进妇女人才成长；代表妇女参与国家和社会事务的管理，民主监督，参与有关妇女儿童</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、规定的制定，维护妇女儿童的合法权益；为妇女儿童服务，加强与社会各界的联系，协调和推动社会各界为妇女儿童办实事、办好事；完成领导交办的其他工作。</w:t>
      </w:r>
    </w:p>
    <w:p w14:paraId="5F0304A6">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乡工会工作职责：根据党的路线、方针、政策，党在各个时期的中心任务和党的工作方针，以及上级工会和党委、政府的中心任务，部署确定本乡工会阶段性的主要任务和重点工作。加强维权机制建设，进一步构建和谐劳动关系。完善各项维权机制的运作，坚持和推进以职代会为基本形式的企事业单位民主管理制度，协调劳动关系，促进劳动关系的和谐稳定；加强职工帮扶制度建设，加大帮困救助力度，抓好职工互助保障计划的实施和帮困送温暖工作。深化职工素质工程，进一步提高职工队伍整体素质。开展学习型“争创”活动；搞好评先工作和开展弘扬劳模先进精神活动；加强职工职业道德建设，崇尚爱岗敬业精神；丰富职工文化生活，提升职工文明素养。加强自身建设，提升工作水平。抓好工会干部的业务培训教育，加强工会干部队伍的思想、作风建设，加强工会组织效能建设，提升工会整体工作水平，完成领导交办的其他工作。</w:t>
      </w:r>
      <w:r>
        <w:rPr>
          <w:rFonts w:hint="eastAsia" w:ascii="仿宋_GB2312" w:hAnsi="仿宋_GB2312" w:eastAsia="仿宋_GB2312" w:cs="仿宋_GB2312"/>
          <w:color w:val="000000"/>
          <w:sz w:val="32"/>
          <w:szCs w:val="32"/>
        </w:rPr>
        <w:br w:type="textWrapping"/>
      </w:r>
      <w:r>
        <w:rPr>
          <w:rFonts w:hint="eastAsia" w:ascii="仿宋_GB2312" w:hAnsi="仿宋_GB2312" w:cs="仿宋_GB2312"/>
          <w:color w:val="000000"/>
          <w:sz w:val="32"/>
          <w:szCs w:val="32"/>
          <w:lang w:val="zh-CN"/>
        </w:rPr>
        <w:t>（六）</w:t>
      </w:r>
      <w:r>
        <w:rPr>
          <w:rFonts w:hint="eastAsia" w:ascii="仿宋_GB2312" w:hAnsi="仿宋_GB2312" w:eastAsia="仿宋_GB2312" w:cs="仿宋_GB2312"/>
          <w:color w:val="000000"/>
          <w:sz w:val="32"/>
          <w:szCs w:val="32"/>
          <w:lang w:val="zh-CN"/>
        </w:rPr>
        <w:t>人员概况。</w:t>
      </w:r>
    </w:p>
    <w:p w14:paraId="11D649B8">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我乡属独立编制机构和独立核算的行政单位，截至20</w:t>
      </w:r>
      <w:r>
        <w:rPr>
          <w:rFonts w:hint="eastAsia" w:ascii="仿宋_GB2312" w:hAnsi="仿宋_GB2312" w:cs="仿宋_GB2312"/>
          <w:color w:val="000000"/>
          <w:sz w:val="32"/>
          <w:szCs w:val="32"/>
        </w:rPr>
        <w:t>20</w:t>
      </w:r>
      <w:r>
        <w:rPr>
          <w:rFonts w:hint="eastAsia" w:ascii="仿宋_GB2312" w:hAnsi="仿宋_GB2312" w:eastAsia="仿宋_GB2312" w:cs="仿宋_GB2312"/>
          <w:color w:val="000000"/>
          <w:sz w:val="32"/>
          <w:szCs w:val="32"/>
        </w:rPr>
        <w:t>年5月31日在编人员</w:t>
      </w:r>
      <w:r>
        <w:rPr>
          <w:rFonts w:hint="eastAsia" w:ascii="仿宋_GB2312" w:hAnsi="仿宋_GB2312" w:cs="仿宋_GB2312"/>
          <w:color w:val="000000"/>
          <w:sz w:val="32"/>
          <w:szCs w:val="32"/>
        </w:rPr>
        <w:t>25</w:t>
      </w:r>
      <w:r>
        <w:rPr>
          <w:rFonts w:hint="eastAsia" w:ascii="仿宋_GB2312" w:hAnsi="仿宋_GB2312" w:eastAsia="仿宋_GB2312" w:cs="仿宋_GB2312"/>
          <w:color w:val="000000"/>
          <w:sz w:val="32"/>
          <w:szCs w:val="32"/>
        </w:rPr>
        <w:t>人，其中行政编制</w:t>
      </w:r>
      <w:r>
        <w:rPr>
          <w:rFonts w:hint="eastAsia" w:ascii="仿宋_GB2312" w:hAnsi="仿宋_GB2312" w:cs="仿宋_GB2312"/>
          <w:color w:val="000000"/>
          <w:sz w:val="32"/>
          <w:szCs w:val="32"/>
        </w:rPr>
        <w:t>18</w:t>
      </w:r>
      <w:r>
        <w:rPr>
          <w:rFonts w:hint="eastAsia" w:ascii="仿宋_GB2312" w:hAnsi="仿宋_GB2312" w:eastAsia="仿宋_GB2312" w:cs="仿宋_GB2312"/>
          <w:color w:val="000000"/>
          <w:sz w:val="32"/>
          <w:szCs w:val="32"/>
        </w:rPr>
        <w:t>人（含工勤2人）；事业编制7人。</w:t>
      </w:r>
    </w:p>
    <w:p w14:paraId="64D6E38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2E350B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059B54F2">
      <w:pPr>
        <w:widowControl/>
        <w:adjustRightInd w:val="0"/>
        <w:snapToGrid w:val="0"/>
        <w:spacing w:line="572"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8</w:t>
      </w:r>
      <w:r>
        <w:rPr>
          <w:rFonts w:hint="eastAsia" w:ascii="仿宋_GB2312" w:hAnsi="仿宋_GB2312" w:eastAsia="仿宋_GB2312" w:cs="仿宋_GB2312"/>
          <w:color w:val="000000"/>
          <w:sz w:val="32"/>
          <w:szCs w:val="32"/>
        </w:rPr>
        <w:t>年结余</w:t>
      </w:r>
      <w:r>
        <w:rPr>
          <w:rFonts w:hint="eastAsia" w:ascii="仿宋_GB2312" w:hAnsi="仿宋_GB2312" w:cs="仿宋_GB2312"/>
          <w:color w:val="000000"/>
          <w:sz w:val="32"/>
          <w:szCs w:val="32"/>
        </w:rPr>
        <w:t>406.08</w:t>
      </w:r>
      <w:r>
        <w:rPr>
          <w:rFonts w:hint="eastAsia" w:ascii="仿宋_GB2312" w:hAnsi="仿宋_GB2312" w:eastAsia="仿宋_GB2312" w:cs="仿宋_GB2312"/>
          <w:color w:val="000000"/>
          <w:sz w:val="32"/>
          <w:szCs w:val="32"/>
        </w:rPr>
        <w:t>万元，201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年黄龙乡人民政府本年收入合计</w:t>
      </w:r>
      <w:r>
        <w:rPr>
          <w:rFonts w:hint="eastAsia" w:ascii="仿宋_GB2312" w:hAnsi="仿宋_GB2312" w:cs="仿宋_GB2312"/>
          <w:color w:val="000000"/>
          <w:sz w:val="32"/>
          <w:szCs w:val="32"/>
        </w:rPr>
        <w:t>430.71</w:t>
      </w:r>
      <w:r>
        <w:rPr>
          <w:rFonts w:hint="eastAsia" w:ascii="仿宋_GB2312" w:hAnsi="仿宋_GB2312" w:eastAsia="仿宋_GB2312" w:cs="仿宋_GB2312"/>
          <w:color w:val="000000"/>
          <w:sz w:val="32"/>
          <w:szCs w:val="32"/>
        </w:rPr>
        <w:t>万元，其中：财政拨款收入</w:t>
      </w:r>
      <w:r>
        <w:rPr>
          <w:rFonts w:hint="eastAsia" w:ascii="仿宋_GB2312" w:hAnsi="仿宋_GB2312" w:cs="仿宋_GB2312"/>
          <w:color w:val="000000"/>
          <w:sz w:val="32"/>
          <w:szCs w:val="32"/>
        </w:rPr>
        <w:t>430.71</w:t>
      </w:r>
      <w:r>
        <w:rPr>
          <w:rFonts w:hint="eastAsia" w:ascii="仿宋_GB2312" w:hAnsi="仿宋_GB2312" w:eastAsia="仿宋_GB2312" w:cs="仿宋_GB2312"/>
          <w:color w:val="000000"/>
          <w:sz w:val="32"/>
          <w:szCs w:val="32"/>
        </w:rPr>
        <w:t>万元，占100%。</w:t>
      </w:r>
    </w:p>
    <w:p w14:paraId="331675B2">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7FAE06D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年黄龙乡人民政府本年支出合计</w:t>
      </w:r>
      <w:r>
        <w:rPr>
          <w:rFonts w:hint="eastAsia" w:ascii="仿宋_GB2312" w:hAnsi="仿宋_GB2312" w:cs="仿宋_GB2312"/>
          <w:color w:val="000000"/>
          <w:sz w:val="32"/>
          <w:szCs w:val="32"/>
        </w:rPr>
        <w:t>698.12</w:t>
      </w:r>
      <w:r>
        <w:rPr>
          <w:rFonts w:hint="eastAsia" w:ascii="仿宋_GB2312" w:hAnsi="仿宋_GB2312" w:eastAsia="仿宋_GB2312" w:cs="仿宋_GB2312"/>
          <w:color w:val="000000"/>
          <w:sz w:val="32"/>
          <w:szCs w:val="32"/>
        </w:rPr>
        <w:t>万元，其中：基本支出</w:t>
      </w:r>
      <w:r>
        <w:rPr>
          <w:rFonts w:hint="eastAsia" w:ascii="仿宋_GB2312" w:hAnsi="仿宋_GB2312" w:cs="仿宋_GB2312"/>
          <w:color w:val="000000"/>
          <w:sz w:val="32"/>
          <w:szCs w:val="32"/>
        </w:rPr>
        <w:t>368.02</w:t>
      </w:r>
      <w:r>
        <w:rPr>
          <w:rFonts w:hint="eastAsia" w:ascii="仿宋_GB2312" w:hAnsi="仿宋_GB2312" w:eastAsia="仿宋_GB2312" w:cs="仿宋_GB2312"/>
          <w:color w:val="000000"/>
          <w:sz w:val="32"/>
          <w:szCs w:val="32"/>
        </w:rPr>
        <w:t>万元，占</w:t>
      </w:r>
      <w:r>
        <w:rPr>
          <w:rFonts w:hint="eastAsia" w:ascii="仿宋_GB2312" w:hAnsi="仿宋_GB2312" w:cs="仿宋_GB2312"/>
          <w:color w:val="000000"/>
          <w:sz w:val="32"/>
          <w:szCs w:val="32"/>
        </w:rPr>
        <w:t>52.72</w:t>
      </w:r>
      <w:r>
        <w:rPr>
          <w:rFonts w:hint="eastAsia" w:ascii="仿宋_GB2312" w:hAnsi="仿宋_GB2312" w:eastAsia="仿宋_GB2312" w:cs="仿宋_GB2312"/>
          <w:color w:val="000000"/>
          <w:sz w:val="32"/>
          <w:szCs w:val="32"/>
        </w:rPr>
        <w:t>%；项目支出</w:t>
      </w:r>
      <w:r>
        <w:rPr>
          <w:rFonts w:hint="eastAsia" w:ascii="仿宋_GB2312" w:hAnsi="仿宋_GB2312" w:cs="仿宋_GB2312"/>
          <w:color w:val="000000"/>
          <w:sz w:val="32"/>
          <w:szCs w:val="32"/>
        </w:rPr>
        <w:t>330.10</w:t>
      </w:r>
      <w:r>
        <w:rPr>
          <w:rFonts w:hint="eastAsia" w:ascii="仿宋_GB2312" w:hAnsi="仿宋_GB2312" w:eastAsia="仿宋_GB2312" w:cs="仿宋_GB2312"/>
          <w:color w:val="000000"/>
          <w:sz w:val="32"/>
          <w:szCs w:val="32"/>
        </w:rPr>
        <w:t>万元，占47.</w:t>
      </w:r>
      <w:r>
        <w:rPr>
          <w:rFonts w:hint="eastAsia" w:ascii="仿宋_GB2312" w:hAnsi="仿宋_GB2312" w:cs="仿宋_GB2312"/>
          <w:color w:val="000000"/>
          <w:sz w:val="32"/>
          <w:szCs w:val="32"/>
        </w:rPr>
        <w:t>28</w:t>
      </w:r>
      <w:r>
        <w:rPr>
          <w:rFonts w:hint="eastAsia" w:ascii="仿宋_GB2312" w:hAnsi="仿宋_GB2312" w:eastAsia="仿宋_GB2312" w:cs="仿宋_GB2312"/>
          <w:color w:val="000000"/>
          <w:sz w:val="32"/>
          <w:szCs w:val="32"/>
        </w:rPr>
        <w:t>%</w:t>
      </w:r>
    </w:p>
    <w:p w14:paraId="5248D2B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4EC7F53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6817372A">
      <w:pPr>
        <w:widowControl/>
        <w:adjustRightInd w:val="0"/>
        <w:snapToGrid w:val="0"/>
        <w:spacing w:line="572" w:lineRule="exact"/>
        <w:ind w:firstLine="960" w:firstLineChars="30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黄龙乡人民政府按照县财</w:t>
      </w:r>
      <w:bookmarkStart w:id="140" w:name="_GoBack"/>
      <w:r>
        <w:rPr>
          <w:rFonts w:hint="eastAsia" w:ascii="仿宋_GB2312" w:hAnsi="仿宋_GB2312" w:eastAsia="仿宋_GB2312" w:cs="仿宋_GB2312"/>
          <w:color w:val="000000"/>
          <w:sz w:val="32"/>
          <w:szCs w:val="32"/>
          <w:lang w:eastAsia="zh-CN"/>
        </w:rPr>
        <w:t>政局</w:t>
      </w:r>
      <w:bookmarkEnd w:id="140"/>
      <w:r>
        <w:rPr>
          <w:rFonts w:hint="eastAsia" w:ascii="仿宋_GB2312" w:hAnsi="仿宋_GB2312" w:eastAsia="仿宋_GB2312" w:cs="仿宋_GB2312"/>
          <w:color w:val="000000"/>
          <w:sz w:val="32"/>
          <w:szCs w:val="32"/>
        </w:rPr>
        <w:t>的要求及时组织财务人员进行预决的编制，对本年度相应用款进行及时清理和处理，做到账账相符、账实相符、账证相符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先有预算再有支出的原则，及时处理相关事务；对绩效目标进行季度梳理和年度分析，及时上报相关报表；对专项预算提前细化，分科目上报，做到收支平衡。</w:t>
      </w:r>
    </w:p>
    <w:p w14:paraId="5DAC2D9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315D997A">
      <w:pPr>
        <w:widowControl/>
        <w:adjustRightInd w:val="0"/>
        <w:snapToGrid w:val="0"/>
        <w:spacing w:line="572"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本乡201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年绩效评价报告通过乡政府公示栏进行公开，各项支出都在县财政的监管下执行，手续齐全、合理、合法，公开的数据，不存在虚列支出的问题，按照实际支出填报。</w:t>
      </w:r>
    </w:p>
    <w:p w14:paraId="6ED5A9D2">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15E0C89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6B7C0086">
      <w:pPr>
        <w:widowControl/>
        <w:adjustRightInd w:val="0"/>
        <w:snapToGrid w:val="0"/>
        <w:spacing w:line="572" w:lineRule="exact"/>
        <w:ind w:firstLine="960" w:firstLineChars="300"/>
        <w:jc w:val="left"/>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rPr>
        <w:t>9</w:t>
      </w:r>
      <w:r>
        <w:rPr>
          <w:rFonts w:hint="eastAsia" w:ascii="仿宋_GB2312" w:hAnsi="仿宋_GB2312" w:eastAsia="仿宋_GB2312" w:cs="仿宋_GB2312"/>
          <w:color w:val="000000"/>
          <w:sz w:val="32"/>
          <w:szCs w:val="32"/>
        </w:rPr>
        <w:t>年，黄龙乡人民政府认真落实县委、县政府决策部署，按照保进度、重质量、求实效的要求，全面推进各项重点工作，较好地完成了各项目标任务。整体支出绩效评价指标体系自评得分</w:t>
      </w:r>
      <w:r>
        <w:rPr>
          <w:rFonts w:hint="eastAsia" w:ascii="仿宋_GB2312" w:hAnsi="仿宋_GB2312" w:cs="仿宋_GB2312"/>
          <w:color w:val="000000"/>
          <w:sz w:val="32"/>
          <w:szCs w:val="32"/>
        </w:rPr>
        <w:t>86.5</w:t>
      </w:r>
      <w:r>
        <w:rPr>
          <w:rFonts w:hint="eastAsia" w:ascii="仿宋_GB2312" w:hAnsi="仿宋_GB2312" w:eastAsia="仿宋_GB2312" w:cs="仿宋_GB2312"/>
          <w:color w:val="000000"/>
          <w:sz w:val="32"/>
          <w:szCs w:val="32"/>
        </w:rPr>
        <w:t>分，部门整体支出绩效为“良好”。</w:t>
      </w:r>
    </w:p>
    <w:p w14:paraId="0F2D1350">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rPr>
        <w:t>二</w:t>
      </w:r>
      <w:r>
        <w:rPr>
          <w:rFonts w:hint="eastAsia" w:ascii="仿宋_GB2312" w:hAnsi="宋体" w:eastAsia="仿宋_GB2312" w:cs="宋体"/>
          <w:color w:val="000000"/>
          <w:kern w:val="0"/>
          <w:sz w:val="32"/>
          <w:szCs w:val="32"/>
          <w:shd w:val="clear" w:color="auto" w:fill="FFFFFF"/>
          <w:lang w:val="zh-CN"/>
        </w:rPr>
        <w:t>）改进建议。</w:t>
      </w:r>
    </w:p>
    <w:p w14:paraId="4F4A96A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科学合理编制预算，严格执行预算，规范账务处理，提高财务信息质量，完善管理制度，进一步加强资产管理。</w:t>
      </w:r>
    </w:p>
    <w:p w14:paraId="7B81DC5A">
      <w:pPr>
        <w:spacing w:line="600" w:lineRule="exact"/>
        <w:rPr>
          <w:rStyle w:val="26"/>
          <w:rFonts w:ascii="黑体" w:hAnsi="黑体" w:eastAsia="黑体"/>
          <w:b w:val="0"/>
        </w:rPr>
      </w:pPr>
    </w:p>
    <w:p w14:paraId="3FEF738A">
      <w:pPr>
        <w:spacing w:line="600" w:lineRule="exact"/>
        <w:jc w:val="center"/>
        <w:rPr>
          <w:rStyle w:val="26"/>
          <w:rFonts w:ascii="黑体" w:hAnsi="黑体" w:eastAsia="黑体"/>
          <w:b w:val="0"/>
        </w:rPr>
      </w:pPr>
    </w:p>
    <w:p w14:paraId="60303EEF">
      <w:pPr>
        <w:spacing w:line="600" w:lineRule="exact"/>
        <w:jc w:val="center"/>
        <w:rPr>
          <w:rStyle w:val="26"/>
          <w:rFonts w:ascii="黑体" w:hAnsi="黑体" w:eastAsia="黑体"/>
          <w:b w:val="0"/>
        </w:rPr>
      </w:pPr>
    </w:p>
    <w:p w14:paraId="35EB53CE">
      <w:pPr>
        <w:spacing w:line="600" w:lineRule="exact"/>
        <w:jc w:val="center"/>
        <w:rPr>
          <w:rStyle w:val="26"/>
          <w:rFonts w:ascii="黑体" w:hAnsi="黑体" w:eastAsia="黑体"/>
          <w:b w:val="0"/>
        </w:rPr>
      </w:pPr>
    </w:p>
    <w:p w14:paraId="1FFADEC7">
      <w:pPr>
        <w:spacing w:line="600" w:lineRule="exact"/>
        <w:jc w:val="center"/>
        <w:rPr>
          <w:rStyle w:val="26"/>
          <w:rFonts w:ascii="黑体" w:hAnsi="黑体" w:eastAsia="黑体"/>
          <w:b w:val="0"/>
        </w:rPr>
      </w:pPr>
    </w:p>
    <w:p w14:paraId="76414312">
      <w:pPr>
        <w:spacing w:line="600" w:lineRule="exact"/>
        <w:rPr>
          <w:rStyle w:val="26"/>
          <w:rFonts w:ascii="黑体" w:hAnsi="黑体" w:eastAsia="黑体"/>
          <w:b w:val="0"/>
        </w:rPr>
      </w:pPr>
    </w:p>
    <w:p w14:paraId="40B6EE05">
      <w:pPr>
        <w:spacing w:line="600" w:lineRule="exact"/>
        <w:jc w:val="center"/>
        <w:rPr>
          <w:rStyle w:val="26"/>
          <w:rFonts w:ascii="黑体" w:hAnsi="黑体" w:eastAsia="黑体"/>
          <w:b w:val="0"/>
        </w:rPr>
      </w:pPr>
    </w:p>
    <w:p w14:paraId="44D5FF9F">
      <w:pPr>
        <w:spacing w:line="600" w:lineRule="exact"/>
        <w:jc w:val="center"/>
        <w:rPr>
          <w:rStyle w:val="26"/>
          <w:rFonts w:ascii="黑体" w:hAnsi="黑体" w:eastAsia="黑体"/>
          <w:b w:val="0"/>
        </w:rPr>
      </w:pPr>
    </w:p>
    <w:p w14:paraId="60BC4D61">
      <w:pPr>
        <w:spacing w:line="600" w:lineRule="exact"/>
        <w:jc w:val="center"/>
        <w:rPr>
          <w:rStyle w:val="26"/>
          <w:rFonts w:ascii="黑体" w:hAnsi="黑体" w:eastAsia="黑体"/>
          <w:b w:val="0"/>
        </w:rPr>
      </w:pPr>
    </w:p>
    <w:p w14:paraId="32F15B2E">
      <w:pPr>
        <w:spacing w:line="600" w:lineRule="exact"/>
        <w:jc w:val="center"/>
        <w:rPr>
          <w:rStyle w:val="26"/>
          <w:rFonts w:ascii="黑体" w:hAnsi="黑体" w:eastAsia="黑体"/>
          <w:b w:val="0"/>
        </w:rPr>
      </w:pPr>
    </w:p>
    <w:p w14:paraId="7043BE7D">
      <w:pPr>
        <w:spacing w:line="600" w:lineRule="exact"/>
        <w:jc w:val="center"/>
        <w:rPr>
          <w:rStyle w:val="26"/>
          <w:rFonts w:ascii="黑体" w:hAnsi="黑体" w:eastAsia="黑体"/>
          <w:b w:val="0"/>
        </w:rPr>
      </w:pPr>
    </w:p>
    <w:p w14:paraId="71EFA5E3">
      <w:pPr>
        <w:spacing w:line="600" w:lineRule="exact"/>
        <w:rPr>
          <w:rStyle w:val="26"/>
          <w:rFonts w:ascii="黑体" w:hAnsi="黑体" w:eastAsia="黑体"/>
          <w:b w:val="0"/>
        </w:rPr>
      </w:pPr>
    </w:p>
    <w:p w14:paraId="11BBE5A3">
      <w:pPr>
        <w:spacing w:line="600" w:lineRule="exact"/>
        <w:jc w:val="center"/>
        <w:rPr>
          <w:rStyle w:val="26"/>
          <w:rFonts w:ascii="黑体" w:hAnsi="黑体" w:eastAsia="黑体"/>
          <w:b w:val="0"/>
        </w:rPr>
      </w:pPr>
    </w:p>
    <w:p w14:paraId="70654E8A">
      <w:pPr>
        <w:spacing w:line="600" w:lineRule="exact"/>
        <w:rPr>
          <w:rStyle w:val="26"/>
          <w:rFonts w:ascii="黑体" w:hAnsi="黑体" w:eastAsia="黑体"/>
          <w:b w:val="0"/>
        </w:rPr>
      </w:pPr>
    </w:p>
    <w:p w14:paraId="79830A67">
      <w:pPr>
        <w:spacing w:line="600" w:lineRule="exact"/>
        <w:jc w:val="center"/>
        <w:outlineLvl w:val="0"/>
        <w:rPr>
          <w:rStyle w:val="26"/>
          <w:rFonts w:ascii="黑体" w:hAnsi="黑体" w:eastAsia="黑体"/>
          <w:b w:val="0"/>
        </w:rPr>
      </w:pPr>
      <w:bookmarkStart w:id="98" w:name="_Toc6422"/>
      <w:bookmarkStart w:id="99" w:name="_Toc15396618"/>
      <w:bookmarkStart w:id="100" w:name="_Toc22651"/>
      <w:r>
        <w:rPr>
          <w:rFonts w:hint="eastAsia" w:ascii="黑体" w:hAnsi="黑体" w:eastAsia="黑体"/>
          <w:color w:val="000000"/>
          <w:sz w:val="44"/>
          <w:szCs w:val="44"/>
        </w:rPr>
        <w:t>第</w:t>
      </w:r>
      <w:r>
        <w:rPr>
          <w:rStyle w:val="26"/>
          <w:rFonts w:hint="eastAsia" w:ascii="黑体" w:hAnsi="黑体" w:eastAsia="黑体"/>
          <w:b w:val="0"/>
        </w:rPr>
        <w:t>五部分 附表</w:t>
      </w:r>
      <w:bookmarkEnd w:id="95"/>
      <w:bookmarkEnd w:id="98"/>
      <w:bookmarkEnd w:id="99"/>
      <w:bookmarkEnd w:id="100"/>
    </w:p>
    <w:p w14:paraId="3332FE71">
      <w:pPr>
        <w:spacing w:line="600" w:lineRule="exact"/>
        <w:rPr>
          <w:rFonts w:ascii="仿宋" w:hAnsi="仿宋" w:eastAsia="仿宋"/>
          <w:b/>
          <w:color w:val="000000"/>
          <w:sz w:val="44"/>
          <w:szCs w:val="44"/>
        </w:rPr>
      </w:pPr>
    </w:p>
    <w:p w14:paraId="4657F39E">
      <w:pPr>
        <w:pStyle w:val="3"/>
        <w:rPr>
          <w:rFonts w:ascii="仿宋" w:hAnsi="仿宋" w:eastAsia="仿宋"/>
          <w:color w:val="000000"/>
        </w:rPr>
      </w:pPr>
      <w:bookmarkStart w:id="101" w:name="_Toc15396619"/>
      <w:bookmarkStart w:id="102" w:name="_Toc12850"/>
      <w:bookmarkStart w:id="103" w:name="_Toc21192"/>
      <w:r>
        <w:rPr>
          <w:rFonts w:hint="eastAsia" w:ascii="仿宋" w:hAnsi="仿宋" w:eastAsia="仿宋"/>
          <w:b w:val="0"/>
          <w:color w:val="000000"/>
        </w:rPr>
        <w:t>一、收</w:t>
      </w:r>
      <w:r>
        <w:rPr>
          <w:rStyle w:val="27"/>
          <w:rFonts w:hint="eastAsia" w:ascii="仿宋" w:hAnsi="仿宋" w:eastAsia="仿宋"/>
          <w:b w:val="0"/>
          <w:bCs w:val="0"/>
        </w:rPr>
        <w:t>入支出决算总表</w:t>
      </w:r>
      <w:bookmarkEnd w:id="101"/>
      <w:bookmarkEnd w:id="102"/>
      <w:bookmarkEnd w:id="103"/>
    </w:p>
    <w:p w14:paraId="3729C193">
      <w:pPr>
        <w:pStyle w:val="3"/>
        <w:rPr>
          <w:rFonts w:ascii="仿宋" w:hAnsi="仿宋" w:eastAsia="仿宋"/>
          <w:color w:val="000000"/>
        </w:rPr>
      </w:pPr>
      <w:bookmarkStart w:id="104" w:name="_Toc30505"/>
      <w:bookmarkStart w:id="105" w:name="_Toc15396620"/>
      <w:bookmarkStart w:id="106" w:name="_Toc32439"/>
      <w:r>
        <w:rPr>
          <w:rFonts w:hint="eastAsia" w:ascii="仿宋" w:hAnsi="仿宋" w:eastAsia="仿宋"/>
          <w:b w:val="0"/>
          <w:color w:val="000000"/>
        </w:rPr>
        <w:t>二、收</w:t>
      </w:r>
      <w:r>
        <w:rPr>
          <w:rStyle w:val="27"/>
          <w:rFonts w:hint="eastAsia" w:ascii="仿宋" w:hAnsi="仿宋" w:eastAsia="仿宋"/>
          <w:b w:val="0"/>
          <w:bCs w:val="0"/>
        </w:rPr>
        <w:t>入决算表</w:t>
      </w:r>
      <w:bookmarkEnd w:id="104"/>
      <w:bookmarkEnd w:id="105"/>
      <w:bookmarkEnd w:id="106"/>
    </w:p>
    <w:p w14:paraId="57F401B0">
      <w:pPr>
        <w:pStyle w:val="3"/>
        <w:rPr>
          <w:rFonts w:ascii="仿宋" w:hAnsi="仿宋" w:eastAsia="仿宋"/>
          <w:color w:val="000000"/>
        </w:rPr>
      </w:pPr>
      <w:bookmarkStart w:id="107" w:name="_Toc15396621"/>
      <w:bookmarkStart w:id="108" w:name="_Toc8660"/>
      <w:bookmarkStart w:id="109" w:name="_Toc1362"/>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07"/>
      <w:bookmarkEnd w:id="108"/>
      <w:bookmarkEnd w:id="109"/>
    </w:p>
    <w:p w14:paraId="46F19C3F">
      <w:pPr>
        <w:pStyle w:val="3"/>
        <w:rPr>
          <w:rFonts w:ascii="仿宋" w:hAnsi="仿宋" w:eastAsia="仿宋"/>
          <w:b w:val="0"/>
          <w:color w:val="000000"/>
        </w:rPr>
      </w:pPr>
      <w:bookmarkStart w:id="110" w:name="_Toc22999"/>
      <w:bookmarkStart w:id="111" w:name="_Toc7535"/>
      <w:bookmarkStart w:id="112"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10"/>
      <w:bookmarkEnd w:id="111"/>
      <w:bookmarkEnd w:id="112"/>
    </w:p>
    <w:p w14:paraId="3E03F886">
      <w:pPr>
        <w:pStyle w:val="3"/>
        <w:rPr>
          <w:rStyle w:val="27"/>
          <w:rFonts w:ascii="仿宋" w:hAnsi="仿宋" w:eastAsia="仿宋"/>
          <w:b w:val="0"/>
          <w:bCs w:val="0"/>
        </w:rPr>
      </w:pPr>
      <w:bookmarkStart w:id="113" w:name="_Toc23734"/>
      <w:bookmarkStart w:id="114" w:name="_Toc11964"/>
      <w:bookmarkStart w:id="11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13"/>
      <w:bookmarkEnd w:id="114"/>
      <w:bookmarkEnd w:id="115"/>
      <w:bookmarkStart w:id="116" w:name="_Toc15396624"/>
    </w:p>
    <w:p w14:paraId="39620C24">
      <w:pPr>
        <w:pStyle w:val="3"/>
        <w:rPr>
          <w:rFonts w:ascii="仿宋" w:hAnsi="仿宋" w:eastAsia="仿宋"/>
          <w:color w:val="000000"/>
        </w:rPr>
      </w:pPr>
      <w:bookmarkStart w:id="117" w:name="_Toc6783"/>
      <w:bookmarkStart w:id="118" w:name="_Toc5540"/>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16"/>
      <w:bookmarkEnd w:id="117"/>
      <w:bookmarkEnd w:id="118"/>
    </w:p>
    <w:p w14:paraId="0178844B">
      <w:pPr>
        <w:pStyle w:val="3"/>
        <w:rPr>
          <w:rFonts w:ascii="仿宋" w:hAnsi="仿宋" w:eastAsia="仿宋"/>
          <w:color w:val="000000"/>
        </w:rPr>
      </w:pPr>
      <w:bookmarkStart w:id="119" w:name="_Toc30437"/>
      <w:bookmarkStart w:id="120" w:name="_Toc23277"/>
      <w:bookmarkStart w:id="121"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19"/>
      <w:bookmarkEnd w:id="120"/>
      <w:bookmarkEnd w:id="121"/>
    </w:p>
    <w:p w14:paraId="0777E21A">
      <w:pPr>
        <w:pStyle w:val="3"/>
        <w:rPr>
          <w:rFonts w:ascii="仿宋" w:hAnsi="仿宋" w:eastAsia="仿宋"/>
          <w:color w:val="000000"/>
        </w:rPr>
      </w:pPr>
      <w:bookmarkStart w:id="122" w:name="_Toc15396626"/>
      <w:bookmarkStart w:id="123" w:name="_Toc9636"/>
      <w:bookmarkStart w:id="124" w:name="_Toc3219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22"/>
      <w:bookmarkEnd w:id="123"/>
      <w:bookmarkEnd w:id="124"/>
    </w:p>
    <w:p w14:paraId="1D29C369">
      <w:pPr>
        <w:pStyle w:val="3"/>
        <w:rPr>
          <w:rFonts w:ascii="仿宋" w:hAnsi="仿宋" w:eastAsia="仿宋"/>
          <w:color w:val="000000"/>
        </w:rPr>
      </w:pPr>
      <w:bookmarkStart w:id="125" w:name="_Toc23338"/>
      <w:bookmarkStart w:id="126" w:name="_Toc32259"/>
      <w:bookmarkStart w:id="127"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25"/>
      <w:bookmarkEnd w:id="126"/>
      <w:bookmarkEnd w:id="127"/>
    </w:p>
    <w:p w14:paraId="663A4874">
      <w:pPr>
        <w:pStyle w:val="3"/>
        <w:rPr>
          <w:rFonts w:ascii="仿宋" w:hAnsi="仿宋" w:eastAsia="仿宋"/>
          <w:color w:val="000000"/>
        </w:rPr>
      </w:pPr>
      <w:bookmarkStart w:id="128" w:name="_Toc15396628"/>
      <w:bookmarkStart w:id="129" w:name="_Toc30145"/>
      <w:bookmarkStart w:id="130" w:name="_Toc2238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28"/>
      <w:bookmarkEnd w:id="129"/>
      <w:bookmarkEnd w:id="130"/>
    </w:p>
    <w:p w14:paraId="64FA8043">
      <w:pPr>
        <w:pStyle w:val="3"/>
        <w:rPr>
          <w:rFonts w:ascii="仿宋" w:hAnsi="仿宋" w:eastAsia="仿宋"/>
          <w:color w:val="000000"/>
        </w:rPr>
      </w:pPr>
      <w:bookmarkStart w:id="131" w:name="_Toc15396629"/>
      <w:bookmarkStart w:id="132" w:name="_Toc16356"/>
      <w:bookmarkStart w:id="133" w:name="_Toc1291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31"/>
      <w:bookmarkEnd w:id="132"/>
      <w:bookmarkEnd w:id="133"/>
    </w:p>
    <w:p w14:paraId="79178512">
      <w:pPr>
        <w:pStyle w:val="3"/>
        <w:rPr>
          <w:rFonts w:ascii="仿宋" w:hAnsi="仿宋" w:eastAsia="仿宋"/>
          <w:color w:val="000000"/>
        </w:rPr>
      </w:pPr>
      <w:bookmarkStart w:id="134" w:name="_Toc29079"/>
      <w:bookmarkStart w:id="135" w:name="_Toc15396630"/>
      <w:bookmarkStart w:id="136" w:name="_Toc18807"/>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34"/>
      <w:bookmarkEnd w:id="135"/>
      <w:bookmarkEnd w:id="136"/>
    </w:p>
    <w:p w14:paraId="1658F19D">
      <w:pPr>
        <w:pStyle w:val="3"/>
        <w:rPr>
          <w:rFonts w:ascii="仿宋" w:hAnsi="仿宋" w:eastAsia="仿宋"/>
          <w:color w:val="000000" w:themeColor="text1"/>
          <w14:textFill>
            <w14:solidFill>
              <w14:schemeClr w14:val="tx1"/>
            </w14:solidFill>
          </w14:textFill>
        </w:rPr>
      </w:pPr>
      <w:bookmarkStart w:id="137" w:name="_Toc32661"/>
      <w:bookmarkStart w:id="138" w:name="_Toc15396631"/>
      <w:bookmarkStart w:id="139" w:name="_Toc1354"/>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37"/>
      <w:bookmarkEnd w:id="138"/>
      <w:bookmarkEnd w:id="13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0320B1-75A3-46CD-90E7-3A918E25F7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8F6DC38-48E0-4836-8409-993FD9AA164B}"/>
  </w:font>
  <w:font w:name="Cambria">
    <w:panose1 w:val="02040503050406030204"/>
    <w:charset w:val="00"/>
    <w:family w:val="roman"/>
    <w:pitch w:val="default"/>
    <w:sig w:usb0="E00006FF" w:usb1="420024FF" w:usb2="02000000" w:usb3="00000000" w:csb0="2000019F" w:csb1="00000000"/>
    <w:embedRegular r:id="rId3" w:fontKey="{C370458A-84FB-4FEA-8D1C-CBE5FD3BD2CE}"/>
  </w:font>
  <w:font w:name="仿宋_GB2312">
    <w:panose1 w:val="02010609030101010101"/>
    <w:charset w:val="86"/>
    <w:family w:val="modern"/>
    <w:pitch w:val="default"/>
    <w:sig w:usb0="00000001" w:usb1="080E0000" w:usb2="00000000" w:usb3="00000000" w:csb0="00040000" w:csb1="00000000"/>
    <w:embedRegular r:id="rId4" w:fontKey="{E05FCAA4-7F98-41CF-82EA-0F0AC92F4ADB}"/>
  </w:font>
  <w:font w:name="仿宋">
    <w:panose1 w:val="02010609060101010101"/>
    <w:charset w:val="86"/>
    <w:family w:val="modern"/>
    <w:pitch w:val="default"/>
    <w:sig w:usb0="800002BF" w:usb1="38CF7CFA" w:usb2="00000016" w:usb3="00000000" w:csb0="00040001" w:csb1="00000000"/>
    <w:embedRegular r:id="rId5" w:fontKey="{3F916340-3E39-46B4-BE00-AC27A4306B0C}"/>
  </w:font>
  <w:font w:name="方正小标宋简体">
    <w:panose1 w:val="02010600010101010101"/>
    <w:charset w:val="86"/>
    <w:family w:val="script"/>
    <w:pitch w:val="default"/>
    <w:sig w:usb0="00000001" w:usb1="080E0000" w:usb2="00000000" w:usb3="00000000" w:csb0="00040000" w:csb1="00000000"/>
    <w:embedRegular r:id="rId6" w:fontKey="{616D1157-57B2-4FD9-AA15-23A6375105F3}"/>
  </w:font>
  <w:font w:name="Arial">
    <w:panose1 w:val="020B0604020202020204"/>
    <w:charset w:val="00"/>
    <w:family w:val="swiss"/>
    <w:pitch w:val="default"/>
    <w:sig w:usb0="E0002EFF" w:usb1="C000785B" w:usb2="00000009" w:usb3="00000000" w:csb0="400001FF" w:csb1="FFFF0000"/>
    <w:embedRegular r:id="rId7" w:fontKey="{C8F7F44D-2D40-486C-9E5C-945B0592DE79}"/>
  </w:font>
  <w:font w:name="楷体_GB2312">
    <w:panose1 w:val="02010609030101010101"/>
    <w:charset w:val="86"/>
    <w:family w:val="modern"/>
    <w:pitch w:val="default"/>
    <w:sig w:usb0="00000001" w:usb1="080E0000" w:usb2="00000000" w:usb3="00000000" w:csb0="00040000" w:csb1="00000000"/>
    <w:embedRegular r:id="rId8" w:fontKey="{F1A2D3B0-0435-409D-8BD2-380C425C31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2D24C21">
        <w:pPr>
          <w:pStyle w:val="9"/>
          <w:jc w:val="center"/>
        </w:pPr>
        <w:r>
          <w:fldChar w:fldCharType="begin"/>
        </w:r>
        <w:r>
          <w:instrText xml:space="preserve">PAGE   \* MERGEFORMAT</w:instrText>
        </w:r>
        <w:r>
          <w:fldChar w:fldCharType="separate"/>
        </w:r>
        <w:r>
          <w:rPr>
            <w:lang w:val="zh-CN"/>
          </w:rPr>
          <w:t>2</w:t>
        </w:r>
        <w:r>
          <w:fldChar w:fldCharType="end"/>
        </w:r>
      </w:p>
    </w:sdtContent>
  </w:sdt>
  <w:p w14:paraId="38BF8892">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0732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7EBD6EDD"/>
    <w:multiLevelType w:val="singleLevel"/>
    <w:tmpl w:val="7EBD6EDD"/>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575B"/>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537FD"/>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2DC2"/>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F500FF"/>
    <w:rsid w:val="0DAB0B21"/>
    <w:rsid w:val="0FA90D09"/>
    <w:rsid w:val="10C055FF"/>
    <w:rsid w:val="16BB723D"/>
    <w:rsid w:val="1B565931"/>
    <w:rsid w:val="22F612AA"/>
    <w:rsid w:val="240371BF"/>
    <w:rsid w:val="29FD04D3"/>
    <w:rsid w:val="2DBC32DC"/>
    <w:rsid w:val="319F7F4E"/>
    <w:rsid w:val="44BB478F"/>
    <w:rsid w:val="46C766CC"/>
    <w:rsid w:val="4ECE2238"/>
    <w:rsid w:val="50BC0C33"/>
    <w:rsid w:val="59B83DE0"/>
    <w:rsid w:val="5D2E500C"/>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qFormat/>
    <w:uiPriority w:val="99"/>
    <w:pPr>
      <w:spacing w:line="540" w:lineRule="exact"/>
      <w:ind w:firstLine="640" w:firstLineChars="200"/>
    </w:pPr>
    <w:rPr>
      <w:rFonts w:eastAsia="仿宋_GB2312"/>
      <w:sz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99"/>
    <w:pPr>
      <w:spacing w:beforeAutospacing="1" w:afterAutospacing="1"/>
    </w:pPr>
    <w:rPr>
      <w:rFonts w:ascii="宋体" w:hAnsi="宋体" w:cs="宋体"/>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表段落1"/>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2">
    <w:name w:val="WPSOffice手动目录 1"/>
    <w:uiPriority w:val="0"/>
    <w:rPr>
      <w:rFonts w:ascii="Times New Roman" w:hAnsi="Times New Roman" w:eastAsia="宋体" w:cs="Times New Roman"/>
      <w:lang w:val="en-US" w:eastAsia="zh-CN" w:bidi="ar-SA"/>
    </w:r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a5590636-69f4-4018-ac12-721150cfc9cc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32C1AE40</paraID>
      <start>0</start>
      <end>2</end>
      <status>modified</status>
      <modifiedWord>1.</modifiedWord>
      <trackRevisions>false</trackRevisions>
    </reviewItem>
    <reviewItem>
      <errorID>4b1c7c17-ac78-4025-89a7-497c2de2fa55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4B469435</paraID>
      <start>0</start>
      <end>2</end>
      <status>modified</status>
      <modifiedWord>2.</modifiedWord>
      <trackRevisions>false</trackRevisions>
    </reviewItem>
    <reviewItem>
      <errorID>4ebe8bc3-1890-45d0-9f54-f1684a354816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6DB08F9D</paraID>
      <start>0</start>
      <end>2</end>
      <status>modified</status>
      <modifiedWord>3.</modifiedWord>
      <trackRevisions>false</trackRevisions>
    </reviewItem>
    <reviewItem>
      <errorID>9fd99cbb-740e-4b1c-9263-d60d6d4af538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29827C7D</paraID>
      <start>0</start>
      <end>2</end>
      <status>modified</status>
      <modifiedWord>4.</modifiedWord>
      <trackRevisions>false</trackRevisions>
    </reviewItem>
    <reviewItem>
      <errorID>499e6351-cd37-40d6-bca2-542efa398937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DEE8408</paraID>
      <start>0</start>
      <end>2</end>
      <status>modified</status>
      <modifiedWord>5.</modifiedWord>
      <trackRevisions>false</trackRevisions>
    </reviewItem>
    <reviewItem>
      <errorID>301bc2a2-0bac-46fc-a8a3-ac2bc7928bfa</errorID>
      <errorWord>法制</errorWord>
      <group>L1_Word</group>
      <groupName>字词问题</groupName>
      <ability>L2_Typo</ability>
      <abilityName>字词错误</abilityName>
      <candidateList>
        <item>法治</item>
      </candidateList>
      <explain>存在发音相同字词的误用。</explain>
      <paraID> DEE8408</paraID>
      <start>8</start>
      <end>10</end>
      <status>modified</status>
      <modifiedWord>法治</modifiedWord>
      <trackRevisions>false</trackRevisions>
    </reviewItem>
    <reviewItem>
      <errorID>35c9e371-1c9e-40a5-9ac9-e7041d8a4a41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124BD85D</paraID>
      <start>0</start>
      <end>2</end>
      <status>modified</status>
      <modifiedWord>6.</modifiedWord>
      <trackRevisions>false</trackRevisions>
    </reviewItem>
    <reviewItem>
      <errorID>450cbe5d-960c-4768-b99a-9c28e8a2d444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2B816C5</paraID>
      <start>0</start>
      <end>2</end>
      <status>modified</status>
      <modifiedWord>7.</modifiedWord>
      <trackRevisions>false</trackRevisions>
    </reviewItem>
    <reviewItem>
      <errorID>bea349fd-6582-4cd3-9ce1-aac9fd515f00</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 2B816C5</paraID>
      <start>4</start>
      <end>10</end>
      <status>modified</status>
      <modifiedWord>县委、县政府</modifiedWord>
      <trackRevisions>false</trackRevisions>
    </reviewItem>
    <reviewItem>
      <errorID>2092c690-5291-4e83-a907-279fa1ff9604</errorID>
      <errorWord>加强</errorWord>
      <group>L1_Grammar</group>
      <groupName>语法问题</groupName>
      <ability>L2_Grammar</ability>
      <abilityName>语法错误</abilityName>
      <candidateList>
        <item>加大</item>
      </candidateList>
      <explain>“加强～力度”搭配不当，建议修改为“加大～力度”。</explain>
      <paraID>333A838E</paraID>
      <start>4</start>
      <end>6</end>
      <status>modified</status>
      <modifiedWord>加大</modifiedWord>
      <trackRevisions>false</trackRevisions>
    </reviewItem>
    <reviewItem>
      <errorID>21d62cc3-2a50-453d-bda9-4c3246f36508</errorID>
      <errorWord>安</errorWord>
      <group>L1_Word</group>
      <groupName>字词问题</groupName>
      <ability>L2_Typo</ability>
      <abilityName>字词错误</abilityName>
      <candidateList>
        <item>安全</item>
      </candidateList>
      <explain>〈形〉没有危险；不受威胁；不出事故：～操作｜～地带｜注意交通～。</explain>
      <paraID>66D5B414</paraID>
      <start>29</start>
      <end>31</end>
      <status>modified</status>
      <modifiedWord>安全</modifiedWord>
      <trackRevisions>false</trackRevisions>
    </reviewItem>
    <reviewItem>
      <errorID>68a53ceb-1506-4fee-9175-5011a6364ab0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DB2EF4A</paraID>
      <start>54</start>
      <end>55</end>
      <status>modified</status>
      <modifiedWord>地</modifiedWord>
      <trackRevisions>false</trackRevisions>
    </reviewItem>
    <reviewItem>
      <errorID>5c6ca6c5-f455-4d42-a85d-cfa3d22c4a14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4D330EBB</paraID>
      <start>0</start>
      <end>2</end>
      <status>modified</status>
      <modifiedWord>1.</modifiedWord>
      <trackRevisions>false</trackRevisions>
    </reviewItem>
    <reviewItem>
      <errorID>e7e1c606-b7a3-4a4c-a3c2-e87edd18dd70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3AC90762</paraID>
      <start>0</start>
      <end>2</end>
      <status>modified</status>
      <modifiedWord>2.</modifiedWord>
      <trackRevisions>false</trackRevisions>
    </reviewItem>
    <reviewItem>
      <errorID>f0ec1d79-0c6d-4205-b4bd-c57e8a3791ab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4D2D0036</paraID>
      <start>0</start>
      <end>2</end>
      <status>modified</status>
      <modifiedWord>3.</modifiedWord>
      <trackRevisions>false</trackRevisions>
    </reviewItem>
    <reviewItem>
      <errorID>06a3907e-765f-44ef-be7b-9ef186f6646b</errorID>
      <errorWord>,</errorWord>
      <group>L1_Format</group>
      <groupName>格式问题</groupName>
      <ability>L2_HalfPunc</ability>
      <abilityName>全半角检查</abilityName>
      <candidateList>
        <item>，</item>
      </candidateList>
      <explain>文本全半角错误。</explain>
      <paraID>2FDAFD1D</paraID>
      <start>57</start>
      <end>58</end>
      <status>modified</status>
      <modifiedWord>，</modifiedWord>
      <trackRevisions>false</trackRevisions>
    </reviewItem>
    <reviewItem>
      <errorID>7008868a-ff7b-4b04-bde0-ab7153fcd302</errorID>
      <errorWord>;</errorWord>
      <group>L1_Format</group>
      <groupName>格式问题</groupName>
      <ability>L2_HalfPunc</ability>
      <abilityName>全半角检查</abilityName>
      <candidateList>
        <item>；</item>
      </candidateList>
      <explain>文本全半角错误。</explain>
      <paraID>2FDAFD1D</paraID>
      <start>65</start>
      <end>66</end>
      <status>modified</status>
      <modifiedWord>；</modifiedWord>
      <trackRevisions>false</trackRevisions>
    </reviewItem>
    <reviewItem>
      <errorID>8dc8c122-a0d9-4ea9-b0b4-2168c565a623</errorID>
      <errorWord>,</errorWord>
      <group>L1_Format</group>
      <groupName>格式问题</groupName>
      <ability>L2_HalfPunc</ability>
      <abilityName>全半角检查</abilityName>
      <candidateList>
        <item>，</item>
      </candidateList>
      <explain>文本全半角错误。</explain>
      <paraID>2FDAFD1D</paraID>
      <start>82</start>
      <end>83</end>
      <status>modified</status>
      <modifiedWord>，</modifiedWord>
      <trackRevisions>false</trackRevisions>
    </reviewItem>
    <reviewItem>
      <errorID>fbec9b82-52e4-4eb1-b63b-e68b0255bda0</errorID>
      <errorWord>;</errorWord>
      <group>L1_Format</group>
      <groupName>格式问题</groupName>
      <ability>L2_HalfPunc</ability>
      <abilityName>全半角检查</abilityName>
      <candidateList>
        <item>；</item>
      </candidateList>
      <explain>文本全半角错误。</explain>
      <paraID>2FDAFD1D</paraID>
      <start>89</start>
      <end>90</end>
      <status>modified</status>
      <modifiedWord>；</modifiedWord>
      <trackRevisions>false</trackRevisions>
    </reviewItem>
    <reviewItem>
      <errorID>24771a18-194e-4036-a773-54004a5f349d</errorID>
      <errorWord>,</errorWord>
      <group>L1_Format</group>
      <groupName>格式问题</groupName>
      <ability>L2_HalfPunc</ability>
      <abilityName>全半角检查</abilityName>
      <candidateList>
        <item>，</item>
      </candidateList>
      <explain>文本全半角错误。</explain>
      <paraID>2FDAFD1D</paraID>
      <start>103</start>
      <end>104</end>
      <status>modified</status>
      <modifiedWord>，</modifiedWord>
      <trackRevisions>false</trackRevisions>
    </reviewItem>
    <reviewItem>
      <errorID>cf1ea91f-c957-433c-a574-0debc3484a88</errorID>
      <errorWord>:</errorWord>
      <group>L1_Format</group>
      <groupName>格式问题</groupName>
      <ability>L2_HalfPunc</ability>
      <abilityName>全半角检查</abilityName>
      <candidateList>
        <item>：</item>
      </candidateList>
      <explain>文本全半角错误。</explain>
      <paraID>2FDAFD1D</paraID>
      <start>110</start>
      <end>111</end>
      <status>modified</status>
      <modifiedWord>：</modifiedWord>
      <trackRevisions>false</trackRevisions>
    </reviewItem>
    <reviewItem>
      <errorID>15bdf0a5-8ff4-4a02-926d-6fe981558a66</errorID>
      <errorWord>,</errorWord>
      <group>L1_Format</group>
      <groupName>格式问题</groupName>
      <ability>L2_HalfPunc</ability>
      <abilityName>全半角检查</abilityName>
      <candidateList>
        <item>，</item>
      </candidateList>
      <explain>文本全半角错误。</explain>
      <paraID>2FDAFD1D</paraID>
      <start>124</start>
      <end>125</end>
      <status>modified</status>
      <modifiedWord>，</modifiedWord>
      <trackRevisions>false</trackRevisions>
    </reviewItem>
    <reviewItem>
      <errorID>1aee40fb-84c0-47f1-b826-537b3678b726</errorID>
      <errorWord>,</errorWord>
      <group>L1_Format</group>
      <groupName>格式问题</groupName>
      <ability>L2_HalfPunc</ability>
      <abilityName>全半角检查</abilityName>
      <candidateList>
        <item>，</item>
      </candidateList>
      <explain>文本全半角错误。</explain>
      <paraID>2FDAFD1D</paraID>
      <start>131</start>
      <end>132</end>
      <status>modified</status>
      <modifiedWord>，</modifiedWord>
      <trackRevisions>false</trackRevisions>
    </reviewItem>
    <reviewItem>
      <errorID>d61329d9-9d37-45fa-bf34-abac5bb3bc34</errorID>
      <errorWord>年</errorWord>
      <group>L1_Word</group>
      <groupName>字词问题</groupName>
      <ability>L2_Typo</ability>
      <abilityName>字词错误</abilityName>
      <candidateList>
        <item>年一</item>
      </candidateList>
      <explain/>
      <paraID>7C1C161C</paraID>
      <start>4</start>
      <end>6</end>
      <status>modified</status>
      <modifiedWord>年一</modifiedWord>
      <trackRevisions>false</trackRevisions>
    </reviewItem>
    <reviewItem>
      <errorID>82af3cfa-65a7-49e3-bcfa-a6e28e3dc236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5C893013</paraID>
      <start>1</start>
      <end>3</end>
      <status>modified</status>
      <modifiedWord>1.</modifiedWord>
      <trackRevisions>false</trackRevisions>
    </reviewItem>
    <reviewItem>
      <errorID>11acde0d-7812-4a46-91e7-642a3171767f</errorID>
      <errorWord>,</errorWord>
      <group>L1_Format</group>
      <groupName>格式问题</groupName>
      <ability>L2_HalfPunc</ability>
      <abilityName>全半角检查</abilityName>
      <candidateList>
        <item>，</item>
      </candidateList>
      <explain>文本全半角错误。</explain>
      <paraID>16062524</paraID>
      <start>56</start>
      <end>57</end>
      <status>modified</status>
      <modifiedWord>，</modifiedWord>
      <trackRevisions>false</trackRevisions>
    </reviewItem>
    <reviewItem>
      <errorID>82588321-c387-48a1-9adf-63d886aeab10</errorID>
      <errorWord>;</errorWord>
      <group>L1_Format</group>
      <groupName>格式问题</groupName>
      <ability>L2_HalfPunc</ability>
      <abilityName>全半角检查</abilityName>
      <candidateList>
        <item>；</item>
      </candidateList>
      <explain>文本全半角错误。</explain>
      <paraID>16062524</paraID>
      <start>65</start>
      <end>66</end>
      <status>modified</status>
      <modifiedWord>；</modifiedWord>
      <trackRevisions>false</trackRevisions>
    </reviewItem>
    <reviewItem>
      <errorID>8cbf55bf-24f9-44d8-8e33-fd1b154d2f95</errorID>
      <errorWord>,</errorWord>
      <group>L1_Format</group>
      <groupName>格式问题</groupName>
      <ability>L2_HalfPunc</ability>
      <abilityName>全半角检查</abilityName>
      <candidateList>
        <item>，</item>
      </candidateList>
      <explain>文本全半角错误。</explain>
      <paraID>16062524</paraID>
      <start>81</start>
      <end>82</end>
      <status>modified</status>
      <modifiedWord>，</modifiedWord>
      <trackRevisions>false</trackRevisions>
    </reviewItem>
    <reviewItem>
      <errorID>47005e27-4414-4292-8cf7-deb7ea6d14cd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4CBA090</paraID>
      <start>0</start>
      <end>2</end>
      <status>modified</status>
      <modifiedWord>2.</modifiedWord>
      <trackRevisions>false</trackRevisions>
    </reviewItem>
    <reviewItem>
      <errorID>c225a26c-78d0-4bcd-9400-e7263d554497</errorID>
      <errorWord>,</errorWord>
      <group>L1_Format</group>
      <groupName>格式问题</groupName>
      <ability>L2_HalfPunc</ability>
      <abilityName>全半角检查</abilityName>
      <candidateList>
        <item>，</item>
      </candidateList>
      <explain>文本全半角错误。</explain>
      <paraID>12DB568F</paraID>
      <start>27</start>
      <end>28</end>
      <status>modified</status>
      <modifiedWord>，</modifiedWord>
      <trackRevisions>false</trackRevisions>
    </reviewItem>
    <reviewItem>
      <errorID>d567902b-b6c8-48fa-be41-f46edf12d77c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3C250646</paraID>
      <start>1</start>
      <end>3</end>
      <status>modified</status>
      <modifiedWord>4.</modifiedWord>
      <trackRevisions>false</trackRevisions>
    </reviewItem>
    <reviewItem>
      <errorID>28564e90-0e80-46f4-a691-20526b99117b</errorID>
      <errorWord>:</errorWord>
      <group>L1_Format</group>
      <groupName>格式问题</groupName>
      <ability>L2_HalfPunc</ability>
      <abilityName>全半角检查</abilityName>
      <candidateList>
        <item>：</item>
      </candidateList>
      <explain>文本全半角错误。</explain>
      <paraID>1E9EB3B4</paraID>
      <start>26</start>
      <end>27</end>
      <status>modified</status>
      <modifiedWord>：</modifiedWord>
      <trackRevisions>false</trackRevisions>
    </reviewItem>
    <reviewItem>
      <errorID>df468a11-2c20-4835-b32d-58efe3f8741e</errorID>
      <errorWord>,</errorWord>
      <group>L1_Format</group>
      <groupName>格式问题</groupName>
      <ability>L2_HalfPunc</ability>
      <abilityName>全半角检查</abilityName>
      <candidateList>
        <item>，</item>
      </candidateList>
      <explain>文本全半角错误。</explain>
      <paraID>7EC1C6D0</paraID>
      <start>8</start>
      <end>9</end>
      <status>modified</status>
      <modifiedWord>，</modifiedWord>
      <trackRevisions>false</trackRevisions>
    </reviewItem>
    <reviewItem>
      <errorID>fa27be30-abd4-4ac3-8829-bb9321d68125</errorID>
      <errorWord>,</errorWord>
      <group>L1_Format</group>
      <groupName>格式问题</groupName>
      <ability>L2_HalfPunc</ability>
      <abilityName>全半角检查</abilityName>
      <candidateList>
        <item>，</item>
      </candidateList>
      <explain>文本全半角错误。</explain>
      <paraID>7EC1C6D0</paraID>
      <start>31</start>
      <end>32</end>
      <status>modified</status>
      <modifiedWord>，</modifiedWord>
      <trackRevisions>false</trackRevisions>
    </reviewItem>
    <reviewItem>
      <errorID>e1f7022c-7bd2-4ae1-a332-3af2fc11cd99</errorID>
      <errorWord>数额属</errorWord>
      <group>L1_Word</group>
      <groupName>字词问题</groupName>
      <ability>L2_Typo</ability>
      <abilityName>字词错误</abilityName>
      <candidateList>
        <item>数额</item>
      </candidateList>
      <explain/>
      <paraID>7EC1C6D0</paraID>
      <start>57</start>
      <end>59</end>
      <status>modified</status>
      <modifiedWord>数额</modifiedWord>
      <trackRevisions>false</trackRevisions>
    </reviewItem>
    <reviewItem>
      <errorID>03b5fb02-5a3a-4d76-83c1-bce249afce55</errorID>
      <errorWord>,</errorWord>
      <group>L1_Format</group>
      <groupName>格式问题</groupName>
      <ability>L2_HalfPunc</ability>
      <abilityName>全半角检查</abilityName>
      <candidateList>
        <item>，</item>
      </candidateList>
      <explain>文本全半角错误。</explain>
      <paraID>7EC1C6D0</paraID>
      <start>67</start>
      <end>68</end>
      <status>modified</status>
      <modifiedWord>，</modifiedWord>
      <trackRevisions>false</trackRevisions>
    </reviewItem>
    <reviewItem>
      <errorID>b6cc514f-823b-4c5e-8515-43859e522d05</errorID>
      <errorWord>因</errorWord>
      <group>L1_Word</group>
      <groupName>字词问题</groupName>
      <ability>L2_Typo</ability>
      <abilityName>字词错误</abilityName>
      <candidateList>
        <item>因是</item>
      </candidateList>
      <explain/>
      <paraID>7EC1C6D0</paraID>
      <start>82</start>
      <end>84</end>
      <status>modified</status>
      <modifiedWord>因是</modifiedWord>
      <trackRevisions>false</trackRevisions>
    </reviewItem>
    <reviewItem>
      <errorID>aa99905c-c6f2-4461-be5a-1be8afefe9c6</errorID>
      <errorWord>,</errorWord>
      <group>L1_Format</group>
      <groupName>格式问题</groupName>
      <ability>L2_HalfPunc</ability>
      <abilityName>全半角检查</abilityName>
      <candidateList>
        <item>，</item>
      </candidateList>
      <explain>文本全半角错误。</explain>
      <paraID>4F890E36</paraID>
      <start>24</start>
      <end>25</end>
      <status>modified</status>
      <modifiedWord>，</modifiedWord>
      <trackRevisions>false</trackRevisions>
    </reviewItem>
    <reviewItem>
      <errorID>9a833dd8-67f7-4c1b-abb9-1dcbdcda80a5</errorID>
      <errorWord>截止</errorWord>
      <group>L1_Word</group>
      <groupName>字词问题</groupName>
      <ability>L2_Typo</ability>
      <abilityName>字词错误</abilityName>
      <candidateList>
        <item>截至</item>
      </candidateList>
      <explain>存在发音相同字词的误用。</explain>
      <paraID>7B45487C</paraID>
      <start>0</start>
      <end>2</end>
      <status>modified</status>
      <modifiedWord>截至</modifiedWord>
      <trackRevisions>false</trackRevisions>
    </reviewItem>
    <reviewItem>
      <errorID>f0c658f3-10db-42b9-8eda-0f77db9d8770</errorID>
      <errorWord>事物</errorWord>
      <group>L1_Word</group>
      <groupName>字词问题</groupName>
      <ability>L2_Typo</ability>
      <abilityName>字词错误</abilityName>
      <candidateList>
        <item>事务</item>
      </candidateList>
      <explain>〈名〉❶所做的或要做的事情：～繁忙。❷总务：～员｜～工作。</explain>
      <paraID>2700BCC8</paraID>
      <start>55</start>
      <end>57</end>
      <status>modified</status>
      <modifiedWord>事务</modifiedWord>
      <trackRevisions>false</trackRevisions>
    </reviewItem>
    <reviewItem>
      <errorID>f1653f06-c196-4c1b-9736-cc8aeab82893</errorID>
      <errorWord>理</errorWord>
      <group>L1_Word</group>
      <groupName>字词问题</groupName>
      <ability>L2_Typo</ability>
      <abilityName>字词错误</abilityName>
      <candidateList>
        <item>理和</item>
      </candidateList>
      <explain/>
      <paraID> CF0F0BE</paraID>
      <start>174</start>
      <end>176</end>
      <status>modified</status>
      <modifiedWord>理和</modifiedWord>
      <trackRevisions>false</trackRevisions>
    </reviewItem>
    <reviewItem>
      <errorID>1e3bd150-ff13-4feb-84bc-85226ea5ed8e</errorID>
      <errorWord>，</errorWord>
      <group>L1_Word</group>
      <groupName>字词问题</groupName>
      <ability>L2_Typo</ability>
      <abilityName>字词错误</abilityName>
      <candidateList>
        <item>，对</item>
      </candidateList>
      <explain/>
      <paraID> CF0F0BE</paraID>
      <start>592</start>
      <end>594</end>
      <status>modified</status>
      <modifiedWord>，对</modifiedWord>
      <trackRevisions>false</trackRevisions>
    </reviewItem>
    <reviewItem>
      <errorID>c8f76a7d-5041-41d8-8216-7da7510aa0e0</errorID>
      <errorWord>法制建设</errorWord>
      <group>L1_Word</group>
      <groupName>字词问题</groupName>
      <ability>L2_Typo</ability>
      <abilityName>字词错误</abilityName>
      <candidateList>
        <item>法治建设</item>
      </candidateList>
      <explain/>
      <paraID>30ABA428</paraID>
      <start>117</start>
      <end>121</end>
      <status>modified</status>
      <modifiedWord>法治建设</modifiedWord>
      <trackRevisions>false</trackRevisions>
    </reviewItem>
    <reviewItem>
      <errorID>e17b27b7-52ef-4289-b3d4-be54066957b2</errorID>
      <errorWord>责</errorWord>
      <group>L1_Word</group>
      <groupName>字词问题</groupName>
      <ability>L2_Typo</ability>
      <abilityName>字词错误</abilityName>
      <candidateList>
        <item>责城</item>
      </candidateList>
      <explain/>
      <paraID>3D73CBB4</paraID>
      <start>17</start>
      <end>19</end>
      <status>modified</status>
      <modifiedWord>责城</modifiedWord>
      <trackRevisions>false</trackRevisions>
    </reviewItem>
    <reviewItem>
      <errorID>7d79a71a-0aa7-4164-b134-0c1736e7211e</errorID>
      <errorWord>法律、法规</errorWord>
      <group>L1_Word</group>
      <groupName>字词问题</groupName>
      <ability>L2_Typo</ability>
      <abilityName>字词错误</abilityName>
      <candidateList>
        <item>法律法规</item>
      </candidateList>
      <explain/>
      <paraID>4FA09864</paraID>
      <start>144</start>
      <end>148</end>
      <status>modified</status>
      <modifiedWord>法律法规</modifiedWord>
      <trackRevisions>false</trackRevisions>
    </reviewItem>
    <reviewItem>
      <errorID>8c355f83-fe1f-4c1b-8c0d-0d1b0a648786</errorID>
      <errorWord>政</errorWord>
      <group>L1_Word</group>
      <groupName>字词问题</groupName>
      <ability>L2_Typo</ability>
      <abilityName>字词错误</abilityName>
      <candidateList>
        <item>政局</item>
      </candidateList>
      <explain/>
      <paraID>6817372A</paraID>
      <start>11</start>
      <end>13</end>
      <status>modified</status>
      <modifiedWord>政局</modifiedWord>
      <trackRevisions>false</trackRevisions>
    </reviewItem>
    <reviewItem>
      <errorID>13143e58-2d58-4dd2-b952-f2d4c794be10</errorID>
      <errorWord>,</errorWord>
      <group>L1_Format</group>
      <groupName>格式问题</groupName>
      <ability>L2_HalfPunc</ability>
      <abilityName>全半角检查</abilityName>
      <candidateList>
        <item>，</item>
      </candidateList>
      <explain>文本全半角错误。</explain>
      <paraID>6817372A</paraID>
      <start>66</start>
      <end>67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4fcc162d-f9e8-465d-8d49-ea78b16bf38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7949</Words>
  <Characters>8536</Characters>
  <Lines>73</Lines>
  <Paragraphs>20</Paragraphs>
  <TotalTime>4</TotalTime>
  <ScaleCrop>false</ScaleCrop>
  <LinksUpToDate>false</LinksUpToDate>
  <CharactersWithSpaces>8727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2026-04-23T03:04:06Z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E61ED931E9544646ADB11320654672B3_12</vt:lpwstr>
  </property>
</Properties>
</file>