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72F6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" w:lineRule="exact"/>
        <w:ind w:left="0"/>
        <w:textAlignment w:val="bottom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</w:p>
    <w:p w14:paraId="30D6A67E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40" w:lineRule="exact"/>
        <w:rPr>
          <w:rFonts w:hint="default" w:ascii="Times New Roman" w:hAnsi="Times New Roman" w:cs="Times New Roman"/>
        </w:rPr>
      </w:pPr>
    </w:p>
    <w:p w14:paraId="7FAF02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" w:lineRule="exact"/>
        <w:ind w:left="0"/>
        <w:textAlignment w:val="bottom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</w:p>
    <w:p w14:paraId="100724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" w:lineRule="exact"/>
        <w:ind w:left="0"/>
        <w:textAlignment w:val="bottom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</w:p>
    <w:p w14:paraId="30EB71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" w:lineRule="exact"/>
        <w:ind w:left="0"/>
        <w:textAlignment w:val="bottom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</w:p>
    <w:p w14:paraId="54BD5D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" w:lineRule="exact"/>
        <w:ind w:left="0"/>
        <w:textAlignment w:val="bottom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</w:p>
    <w:p w14:paraId="7DFC54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" w:lineRule="exact"/>
        <w:ind w:left="0"/>
        <w:textAlignment w:val="bottom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</w:p>
    <w:p w14:paraId="56B355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" w:lineRule="exact"/>
        <w:ind w:left="0"/>
        <w:textAlignment w:val="bottom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</w:p>
    <w:p w14:paraId="426210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" w:lineRule="exact"/>
        <w:ind w:left="0"/>
        <w:textAlignment w:val="bottom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</w:p>
    <w:p w14:paraId="44765B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" w:lineRule="exact"/>
        <w:ind w:left="0"/>
        <w:textAlignment w:val="bottom"/>
        <w:rPr>
          <w:rFonts w:hint="default" w:ascii="Times New Roman" w:hAnsi="Times New Roman" w:eastAsia="仿宋_GB2312" w:cs="Times New Roman"/>
          <w:color w:val="000000"/>
          <w:sz w:val="32"/>
          <w:szCs w:val="32"/>
          <w:lang w:eastAsia="zh-CN"/>
        </w:rPr>
      </w:pPr>
    </w:p>
    <w:p w14:paraId="5CED7DAE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" w:lineRule="exact"/>
        <w:ind w:left="0" w:leftChars="0" w:firstLine="0" w:firstLineChars="0"/>
        <w:textAlignment w:val="auto"/>
        <w:rPr>
          <w:rFonts w:hint="default" w:ascii="Times New Roman" w:hAnsi="Times New Roman" w:cs="Times New Roman"/>
          <w:lang w:eastAsia="zh-CN"/>
        </w:rPr>
      </w:pPr>
    </w:p>
    <w:p w14:paraId="0C0484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76" w:lineRule="exact"/>
        <w:ind w:left="0" w:leftChars="0" w:right="0" w:rightChars="0" w:firstLine="0" w:firstLineChars="0"/>
        <w:textAlignment w:val="auto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</w:p>
    <w:p w14:paraId="51BF57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center"/>
        <w:rPr>
          <w:rFonts w:ascii="Times New Roman" w:hAnsi="Times New Roman" w:eastAsia="方正小标宋简体" w:cs="Times New Roman"/>
          <w:color w:val="auto"/>
          <w:spacing w:val="0"/>
          <w:sz w:val="32"/>
          <w:szCs w:val="32"/>
          <w:shd w:val="clear" w:color="auto" w:fill="auto"/>
          <w:lang w:val="en-US" w:eastAsia="zh-CN"/>
        </w:rPr>
      </w:pPr>
      <w:bookmarkStart w:id="0" w:name="_GoBack"/>
      <w:r>
        <w:rPr>
          <w:rFonts w:ascii="Times New Roman" w:hAnsi="Times New Roman" w:eastAsia="方正小标宋简体" w:cs="Times New Roman"/>
          <w:color w:val="auto"/>
          <w:spacing w:val="0"/>
          <w:sz w:val="44"/>
          <w:szCs w:val="44"/>
          <w:shd w:val="clear" w:color="auto" w:fill="auto"/>
          <w:lang w:val="en-US" w:eastAsia="zh-CN"/>
        </w:rPr>
        <w:t>松潘县202</w:t>
      </w:r>
      <w:r>
        <w:rPr>
          <w:rFonts w:hint="eastAsia" w:ascii="Times New Roman" w:hAnsi="Times New Roman" w:eastAsia="方正小标宋简体" w:cs="Times New Roman"/>
          <w:color w:val="auto"/>
          <w:spacing w:val="0"/>
          <w:sz w:val="44"/>
          <w:szCs w:val="44"/>
          <w:shd w:val="clear" w:color="auto" w:fill="auto"/>
          <w:lang w:val="en-US" w:eastAsia="zh-CN"/>
        </w:rPr>
        <w:t>5</w:t>
      </w:r>
      <w:r>
        <w:rPr>
          <w:rFonts w:ascii="Times New Roman" w:hAnsi="Times New Roman" w:eastAsia="方正小标宋简体" w:cs="Times New Roman"/>
          <w:color w:val="auto"/>
          <w:spacing w:val="0"/>
          <w:sz w:val="44"/>
          <w:szCs w:val="44"/>
          <w:shd w:val="clear" w:color="auto" w:fill="auto"/>
          <w:lang w:val="en-US" w:eastAsia="zh-CN"/>
        </w:rPr>
        <w:t>年财政决算和202</w:t>
      </w:r>
      <w:r>
        <w:rPr>
          <w:rFonts w:hint="eastAsia" w:ascii="Times New Roman" w:hAnsi="Times New Roman" w:eastAsia="方正小标宋简体" w:cs="Times New Roman"/>
          <w:color w:val="auto"/>
          <w:spacing w:val="0"/>
          <w:sz w:val="44"/>
          <w:szCs w:val="44"/>
          <w:shd w:val="clear" w:color="auto" w:fill="auto"/>
          <w:lang w:val="en-US" w:eastAsia="zh-CN"/>
        </w:rPr>
        <w:t>6</w:t>
      </w:r>
      <w:r>
        <w:rPr>
          <w:rFonts w:ascii="Times New Roman" w:hAnsi="Times New Roman" w:eastAsia="方正小标宋简体" w:cs="Times New Roman"/>
          <w:color w:val="auto"/>
          <w:spacing w:val="0"/>
          <w:sz w:val="44"/>
          <w:szCs w:val="44"/>
          <w:shd w:val="clear" w:color="auto" w:fill="auto"/>
          <w:lang w:val="en-US" w:eastAsia="zh-CN"/>
        </w:rPr>
        <w:t>年上半年财政预算执行情况的报告</w:t>
      </w:r>
    </w:p>
    <w:bookmarkEnd w:id="0"/>
    <w:p w14:paraId="72DECC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center"/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</w:pPr>
    </w:p>
    <w:p w14:paraId="3E6270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76" w:lineRule="exact"/>
        <w:ind w:left="0" w:leftChars="0" w:firstLine="640" w:firstLineChars="200"/>
        <w:textAlignment w:val="auto"/>
        <w:rPr>
          <w:rFonts w:ascii="Times New Roman" w:hAnsi="Times New Roman" w:eastAsia="仿宋_GB2312" w:cs="Times New Roman"/>
          <w:sz w:val="32"/>
          <w:szCs w:val="32"/>
          <w:shd w:val="clear" w:color="auto" w:fill="auto"/>
        </w:rPr>
      </w:pPr>
      <w:r>
        <w:rPr>
          <w:rFonts w:ascii="Times New Roman" w:hAnsi="Times New Roman" w:eastAsia="仿宋_GB2312" w:cs="Times New Roman"/>
          <w:sz w:val="32"/>
          <w:szCs w:val="32"/>
        </w:rPr>
        <w:t>2026年上半年，在县委、县政府的坚强领导下，县财政局坚持以习近平新时代中国特色社会主义思想为指导，全面贯彻</w:t>
      </w:r>
      <w:r>
        <w:rPr>
          <w:rFonts w:ascii="Times New Roman" w:hAnsi="Times New Roman" w:eastAsia="仿宋_GB2312" w:cs="Times New Roman"/>
          <w:sz w:val="32"/>
          <w:szCs w:val="32"/>
          <w:lang w:eastAsia="zh-CN"/>
        </w:rPr>
        <w:t>党的二十大和二十届历次全会精神</w:t>
      </w:r>
      <w:r>
        <w:rPr>
          <w:rFonts w:ascii="Times New Roman" w:hAnsi="Times New Roman" w:eastAsia="仿宋_GB2312" w:cs="Times New Roman"/>
          <w:sz w:val="32"/>
          <w:szCs w:val="32"/>
        </w:rPr>
        <w:t>，</w:t>
      </w:r>
      <w:r>
        <w:rPr>
          <w:rFonts w:ascii="Times New Roman" w:hAnsi="Times New Roman" w:eastAsia="仿宋_GB2312" w:cs="Times New Roman"/>
          <w:sz w:val="32"/>
          <w:szCs w:val="32"/>
          <w:highlight w:val="none"/>
        </w:rPr>
        <w:t>紧扣</w:t>
      </w:r>
      <w:r>
        <w:rPr>
          <w:rFonts w:ascii="Times New Roman" w:hAnsi="Times New Roman" w:eastAsia="仿宋_GB2312" w:cs="Times New Roman"/>
          <w:sz w:val="32"/>
          <w:szCs w:val="32"/>
          <w:highlight w:val="none"/>
          <w:lang w:eastAsia="zh-CN"/>
        </w:rPr>
        <w:t>松潘县</w:t>
      </w:r>
      <w:r>
        <w:rPr>
          <w:rFonts w:ascii="Times New Roman" w:hAnsi="Times New Roman" w:eastAsia="仿宋_GB2312" w:cs="Times New Roman"/>
          <w:bCs/>
          <w:sz w:val="32"/>
          <w:szCs w:val="32"/>
          <w:highlight w:val="none"/>
          <w:shd w:val="clear" w:color="auto" w:fill="auto"/>
          <w:lang w:val="en-US" w:eastAsia="zh-CN"/>
        </w:rPr>
        <w:t>“159”系统部署，统筹兼顾经济运行的“短期平衡”与中长期的“结构优化”，</w:t>
      </w:r>
      <w:r>
        <w:rPr>
          <w:rFonts w:ascii="Times New Roman" w:hAnsi="Times New Roman" w:eastAsia="仿宋_GB2312" w:cs="Times New Roman"/>
          <w:color w:val="000000"/>
          <w:sz w:val="32"/>
          <w:szCs w:val="32"/>
          <w:highlight w:val="none"/>
        </w:rPr>
        <w:t>坚持向改革要动力、向管理要效益，推动财政工作提质增效、更可持续</w:t>
      </w:r>
      <w:r>
        <w:rPr>
          <w:rFonts w:ascii="Times New Roman" w:hAnsi="Times New Roman" w:eastAsia="仿宋_GB2312" w:cs="Times New Roman"/>
          <w:color w:val="000000"/>
          <w:sz w:val="32"/>
          <w:szCs w:val="32"/>
          <w:highlight w:val="none"/>
          <w:lang w:eastAsia="zh-CN"/>
        </w:rPr>
        <w:t>，实现“十五五”良好开局。</w:t>
      </w:r>
    </w:p>
    <w:p w14:paraId="359D40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76" w:lineRule="exact"/>
        <w:ind w:right="0" w:firstLine="640" w:firstLineChars="200"/>
        <w:textAlignment w:val="auto"/>
        <w:rPr>
          <w:rFonts w:ascii="Times New Roman" w:hAnsi="Times New Roman" w:eastAsia="黑体" w:cs="Times New Roman"/>
          <w:color w:val="auto"/>
          <w:sz w:val="32"/>
          <w:szCs w:val="32"/>
          <w:shd w:val="clear" w:color="auto" w:fill="auto"/>
        </w:rPr>
      </w:pPr>
      <w:r>
        <w:rPr>
          <w:rFonts w:ascii="Times New Roman" w:hAnsi="Times New Roman" w:eastAsia="黑体" w:cs="Times New Roman"/>
          <w:color w:val="auto"/>
          <w:sz w:val="32"/>
          <w:szCs w:val="32"/>
          <w:shd w:val="clear" w:color="auto" w:fill="auto"/>
        </w:rPr>
        <w:t>一、202</w:t>
      </w:r>
      <w:r>
        <w:rPr>
          <w:rFonts w:hint="eastAsia" w:ascii="Times New Roman" w:hAnsi="Times New Roman" w:eastAsia="黑体" w:cs="Times New Roman"/>
          <w:color w:val="auto"/>
          <w:sz w:val="32"/>
          <w:szCs w:val="32"/>
          <w:shd w:val="clear" w:color="auto" w:fill="auto"/>
          <w:lang w:val="en-US" w:eastAsia="zh-CN"/>
        </w:rPr>
        <w:t>5</w:t>
      </w:r>
      <w:r>
        <w:rPr>
          <w:rFonts w:ascii="Times New Roman" w:hAnsi="Times New Roman" w:eastAsia="黑体" w:cs="Times New Roman"/>
          <w:color w:val="auto"/>
          <w:sz w:val="32"/>
          <w:szCs w:val="32"/>
          <w:shd w:val="clear" w:color="auto" w:fill="auto"/>
        </w:rPr>
        <w:t>年财政决算情况</w:t>
      </w:r>
    </w:p>
    <w:p w14:paraId="326153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76" w:lineRule="exact"/>
        <w:ind w:right="0" w:firstLine="643" w:firstLineChars="200"/>
        <w:textAlignment w:val="auto"/>
        <w:rPr>
          <w:rFonts w:hint="eastAsia" w:ascii="楷体" w:hAnsi="楷体" w:eastAsia="楷体" w:cs="楷体"/>
          <w:b/>
          <w:bCs/>
          <w:color w:val="auto"/>
          <w:sz w:val="32"/>
          <w:szCs w:val="32"/>
          <w:shd w:val="clear" w:color="auto" w:fill="auto"/>
          <w:lang w:eastAsia="zh-CN"/>
        </w:rPr>
      </w:pPr>
      <w:r>
        <w:rPr>
          <w:rFonts w:hint="eastAsia" w:ascii="楷体" w:hAnsi="楷体" w:eastAsia="楷体" w:cs="楷体"/>
          <w:b/>
          <w:bCs/>
          <w:color w:val="auto"/>
          <w:sz w:val="32"/>
          <w:szCs w:val="32"/>
          <w:shd w:val="clear" w:color="auto" w:fill="auto"/>
          <w:lang w:eastAsia="zh-CN"/>
        </w:rPr>
        <w:t>（一）一般公共预算执行情况。</w:t>
      </w:r>
    </w:p>
    <w:p w14:paraId="7BFB2C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76" w:lineRule="exact"/>
        <w:ind w:right="0" w:firstLine="640" w:firstLineChars="200"/>
        <w:textAlignment w:val="auto"/>
        <w:rPr>
          <w:rFonts w:ascii="Times New Roman" w:hAnsi="Times New Roman" w:eastAsia="仿宋_GB2312" w:cs="Times New Roman"/>
          <w:color w:val="auto"/>
          <w:sz w:val="32"/>
          <w:szCs w:val="32"/>
          <w:shd w:val="clear" w:color="auto" w:fill="auto"/>
        </w:rPr>
      </w:pPr>
      <w:r>
        <w:rPr>
          <w:rFonts w:ascii="Times New Roman" w:hAnsi="Times New Roman" w:eastAsia="仿宋_GB2312" w:cs="Times New Roman"/>
          <w:color w:val="auto"/>
          <w:sz w:val="32"/>
          <w:szCs w:val="32"/>
          <w:shd w:val="clear" w:color="auto" w:fill="auto"/>
        </w:rPr>
        <w:t>2025年松潘县第十五届人民代表大会第</w:t>
      </w:r>
      <w:r>
        <w:rPr>
          <w:rFonts w:hint="eastAsia" w:eastAsia="仿宋_GB2312" w:cs="Times New Roman"/>
          <w:color w:val="auto"/>
          <w:sz w:val="32"/>
          <w:szCs w:val="32"/>
          <w:shd w:val="clear" w:color="auto" w:fill="auto"/>
          <w:lang w:eastAsia="zh-CN"/>
        </w:rPr>
        <w:t>五</w:t>
      </w:r>
      <w:r>
        <w:rPr>
          <w:rFonts w:ascii="Times New Roman" w:hAnsi="Times New Roman" w:eastAsia="仿宋_GB2312" w:cs="Times New Roman"/>
          <w:color w:val="auto"/>
          <w:sz w:val="32"/>
          <w:szCs w:val="32"/>
          <w:shd w:val="clear" w:color="auto" w:fill="auto"/>
        </w:rPr>
        <w:t>次会议审议通过了202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shd w:val="clear" w:color="auto" w:fill="auto"/>
          <w:lang w:val="en-US" w:eastAsia="zh-CN"/>
        </w:rPr>
        <w:t>5</w:t>
      </w:r>
      <w:r>
        <w:rPr>
          <w:rFonts w:ascii="Times New Roman" w:hAnsi="Times New Roman" w:eastAsia="仿宋_GB2312" w:cs="Times New Roman"/>
          <w:color w:val="auto"/>
          <w:sz w:val="32"/>
          <w:szCs w:val="32"/>
          <w:shd w:val="clear" w:color="auto" w:fill="auto"/>
        </w:rPr>
        <w:t>年财政预算执行情况，一般公共预算总收入</w:t>
      </w:r>
      <w:r>
        <w:rPr>
          <w:rFonts w:hint="eastAsia" w:eastAsia="仿宋_GB2312" w:cs="Times New Roman"/>
          <w:color w:val="auto"/>
          <w:sz w:val="32"/>
          <w:szCs w:val="32"/>
          <w:lang w:val="en-US" w:eastAsia="zh-CN"/>
        </w:rPr>
        <w:t>240637</w:t>
      </w:r>
      <w:r>
        <w:rPr>
          <w:rFonts w:ascii="Times New Roman" w:hAnsi="Times New Roman" w:eastAsia="仿宋_GB2312" w:cs="Times New Roman"/>
          <w:color w:val="auto"/>
          <w:sz w:val="32"/>
          <w:szCs w:val="32"/>
          <w:shd w:val="clear" w:color="auto" w:fill="auto"/>
        </w:rPr>
        <w:t>万元、一般公共预算总支出</w:t>
      </w:r>
      <w:r>
        <w:rPr>
          <w:rFonts w:hint="eastAsia" w:eastAsia="仿宋_GB2312" w:cs="Times New Roman"/>
          <w:color w:val="auto"/>
          <w:sz w:val="32"/>
          <w:szCs w:val="32"/>
          <w:lang w:val="en-US" w:eastAsia="zh-CN"/>
        </w:rPr>
        <w:t>240637</w:t>
      </w:r>
      <w:r>
        <w:rPr>
          <w:rFonts w:ascii="Times New Roman" w:hAnsi="Times New Roman" w:eastAsia="仿宋_GB2312" w:cs="Times New Roman"/>
          <w:color w:val="auto"/>
          <w:sz w:val="32"/>
          <w:szCs w:val="32"/>
          <w:shd w:val="clear" w:color="auto" w:fill="auto"/>
        </w:rPr>
        <w:t>万元。现州财政局已批复202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shd w:val="clear" w:color="auto" w:fill="auto"/>
          <w:lang w:val="en-US" w:eastAsia="zh-CN"/>
        </w:rPr>
        <w:t>5</w:t>
      </w:r>
      <w:r>
        <w:rPr>
          <w:rFonts w:ascii="Times New Roman" w:hAnsi="Times New Roman" w:eastAsia="仿宋_GB2312" w:cs="Times New Roman"/>
          <w:color w:val="auto"/>
          <w:sz w:val="32"/>
          <w:szCs w:val="32"/>
          <w:shd w:val="clear" w:color="auto" w:fill="auto"/>
        </w:rPr>
        <w:t>年财政决算：202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shd w:val="clear" w:color="auto" w:fill="auto"/>
          <w:lang w:val="en-US" w:eastAsia="zh-CN"/>
        </w:rPr>
        <w:t>5</w:t>
      </w:r>
      <w:r>
        <w:rPr>
          <w:rFonts w:ascii="Times New Roman" w:hAnsi="Times New Roman" w:eastAsia="仿宋_GB2312" w:cs="Times New Roman"/>
          <w:color w:val="auto"/>
          <w:sz w:val="32"/>
          <w:szCs w:val="32"/>
          <w:shd w:val="clear" w:color="auto" w:fill="auto"/>
        </w:rPr>
        <w:t>年地方</w:t>
      </w:r>
      <w:r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  <w:shd w:val="clear" w:color="auto" w:fill="auto"/>
        </w:rPr>
        <w:t>一般公共预算收入</w:t>
      </w:r>
      <w:r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21072</w:t>
      </w:r>
      <w:r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  <w:shd w:val="clear" w:color="auto" w:fill="auto"/>
        </w:rPr>
        <w:t>万元、返还性收</w:t>
      </w:r>
      <w:r>
        <w:rPr>
          <w:rFonts w:ascii="Times New Roman" w:hAnsi="Times New Roman" w:eastAsia="仿宋_GB2312" w:cs="Times New Roman"/>
          <w:color w:val="auto"/>
          <w:sz w:val="32"/>
          <w:szCs w:val="32"/>
          <w:shd w:val="clear" w:color="auto" w:fill="auto"/>
        </w:rPr>
        <w:t>入2396万元、一般性转移支付收入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shd w:val="clear" w:color="auto" w:fill="auto"/>
          <w:lang w:val="en-US" w:eastAsia="zh-CN"/>
        </w:rPr>
        <w:t>158845</w:t>
      </w:r>
      <w:r>
        <w:rPr>
          <w:rFonts w:ascii="Times New Roman" w:hAnsi="Times New Roman" w:eastAsia="仿宋_GB2312" w:cs="Times New Roman"/>
          <w:color w:val="auto"/>
          <w:sz w:val="32"/>
          <w:szCs w:val="32"/>
          <w:shd w:val="clear" w:color="auto" w:fill="auto"/>
        </w:rPr>
        <w:t>万元、专项转移支付收入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shd w:val="clear" w:color="auto" w:fill="auto"/>
          <w:lang w:val="en-US" w:eastAsia="zh-CN"/>
        </w:rPr>
        <w:t>19597</w:t>
      </w:r>
      <w:r>
        <w:rPr>
          <w:rFonts w:ascii="Times New Roman" w:hAnsi="Times New Roman" w:eastAsia="仿宋_GB2312" w:cs="Times New Roman"/>
          <w:color w:val="auto"/>
          <w:sz w:val="32"/>
          <w:szCs w:val="32"/>
          <w:shd w:val="clear" w:color="auto" w:fill="auto"/>
        </w:rPr>
        <w:t>万元、上年结余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shd w:val="clear" w:color="auto" w:fill="auto"/>
          <w:lang w:val="en-US" w:eastAsia="zh-CN"/>
        </w:rPr>
        <w:t>6213</w:t>
      </w:r>
      <w:r>
        <w:rPr>
          <w:rFonts w:ascii="Times New Roman" w:hAnsi="Times New Roman" w:eastAsia="仿宋_GB2312" w:cs="Times New Roman"/>
          <w:color w:val="auto"/>
          <w:sz w:val="32"/>
          <w:szCs w:val="32"/>
          <w:shd w:val="clear" w:color="auto" w:fill="auto"/>
        </w:rPr>
        <w:t>万元、债务转贷收入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shd w:val="clear" w:color="auto" w:fill="auto"/>
          <w:lang w:val="en-US" w:eastAsia="zh-CN"/>
        </w:rPr>
        <w:t>28389</w:t>
      </w:r>
      <w:r>
        <w:rPr>
          <w:rFonts w:ascii="Times New Roman" w:hAnsi="Times New Roman" w:eastAsia="仿宋_GB2312" w:cs="Times New Roman"/>
          <w:color w:val="auto"/>
          <w:sz w:val="32"/>
          <w:szCs w:val="32"/>
          <w:shd w:val="clear" w:color="auto" w:fill="auto"/>
        </w:rPr>
        <w:t>万元、</w:t>
      </w:r>
      <w:r>
        <w:rPr>
          <w:rFonts w:ascii="Times New Roman" w:hAnsi="Times New Roman" w:eastAsia="仿宋_GB2312" w:cs="Times New Roman"/>
          <w:color w:val="auto"/>
          <w:sz w:val="32"/>
          <w:szCs w:val="32"/>
          <w:shd w:val="clear" w:color="auto" w:fill="auto"/>
          <w:lang w:val="en-US"/>
        </w:rPr>
        <w:t>动用</w:t>
      </w:r>
      <w:r>
        <w:rPr>
          <w:rFonts w:ascii="Times New Roman" w:hAnsi="Times New Roman" w:eastAsia="仿宋_GB2312" w:cs="Times New Roman"/>
          <w:color w:val="auto"/>
          <w:sz w:val="32"/>
          <w:szCs w:val="32"/>
          <w:shd w:val="clear" w:color="auto" w:fill="auto"/>
        </w:rPr>
        <w:t>预算稳定调节基金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shd w:val="clear" w:color="auto" w:fill="auto"/>
          <w:lang w:val="en-US" w:eastAsia="zh-CN"/>
        </w:rPr>
        <w:t>97</w:t>
      </w:r>
      <w:r>
        <w:rPr>
          <w:rFonts w:ascii="Times New Roman" w:hAnsi="Times New Roman" w:eastAsia="仿宋_GB2312" w:cs="Times New Roman"/>
          <w:color w:val="auto"/>
          <w:sz w:val="32"/>
          <w:szCs w:val="32"/>
          <w:shd w:val="clear" w:color="auto" w:fill="auto"/>
        </w:rPr>
        <w:t>万元、调入资金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shd w:val="clear" w:color="auto" w:fill="auto"/>
          <w:lang w:val="en-US" w:eastAsia="zh-CN"/>
        </w:rPr>
        <w:t>791</w:t>
      </w:r>
      <w:r>
        <w:rPr>
          <w:rFonts w:ascii="Times New Roman" w:hAnsi="Times New Roman" w:eastAsia="仿宋_GB2312" w:cs="Times New Roman"/>
          <w:color w:val="auto"/>
          <w:sz w:val="32"/>
          <w:szCs w:val="32"/>
          <w:shd w:val="clear" w:color="auto" w:fill="auto"/>
        </w:rPr>
        <w:t>万元、接受其他地区援助收入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shd w:val="clear" w:color="auto" w:fill="auto"/>
          <w:lang w:val="en-US" w:eastAsia="zh-CN"/>
        </w:rPr>
        <w:t>4555</w:t>
      </w:r>
      <w:r>
        <w:rPr>
          <w:rFonts w:ascii="Times New Roman" w:hAnsi="Times New Roman" w:eastAsia="仿宋_GB2312" w:cs="Times New Roman"/>
          <w:color w:val="auto"/>
          <w:sz w:val="32"/>
          <w:szCs w:val="32"/>
          <w:shd w:val="clear" w:color="auto" w:fill="auto"/>
        </w:rPr>
        <w:t>万元，构成202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shd w:val="clear" w:color="auto" w:fill="auto"/>
          <w:lang w:val="en-US" w:eastAsia="zh-CN"/>
        </w:rPr>
        <w:t>5</w:t>
      </w:r>
      <w:r>
        <w:rPr>
          <w:rFonts w:ascii="Times New Roman" w:hAnsi="Times New Roman" w:eastAsia="仿宋_GB2312" w:cs="Times New Roman"/>
          <w:color w:val="auto"/>
          <w:sz w:val="32"/>
          <w:szCs w:val="32"/>
          <w:shd w:val="clear" w:color="auto" w:fill="auto"/>
        </w:rPr>
        <w:t>年一般公共预算总收入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shd w:val="clear" w:color="auto" w:fill="auto"/>
          <w:lang w:val="en-US" w:eastAsia="zh-CN"/>
        </w:rPr>
        <w:t>241955</w:t>
      </w:r>
      <w:r>
        <w:rPr>
          <w:rFonts w:ascii="Times New Roman" w:hAnsi="Times New Roman" w:eastAsia="仿宋_GB2312" w:cs="Times New Roman"/>
          <w:color w:val="auto"/>
          <w:sz w:val="32"/>
          <w:szCs w:val="32"/>
          <w:shd w:val="clear" w:color="auto" w:fill="auto"/>
        </w:rPr>
        <w:t>万元。202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shd w:val="clear" w:color="auto" w:fill="auto"/>
          <w:lang w:val="en-US" w:eastAsia="zh-CN"/>
        </w:rPr>
        <w:t>5</w:t>
      </w:r>
      <w:r>
        <w:rPr>
          <w:rFonts w:ascii="Times New Roman" w:hAnsi="Times New Roman" w:eastAsia="仿宋_GB2312" w:cs="Times New Roman"/>
          <w:color w:val="auto"/>
          <w:sz w:val="32"/>
          <w:szCs w:val="32"/>
          <w:shd w:val="clear" w:color="auto" w:fill="auto"/>
        </w:rPr>
        <w:t>年实现一般公共预算支出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shd w:val="clear" w:color="auto" w:fill="auto"/>
          <w:lang w:val="en-US" w:eastAsia="zh-CN"/>
        </w:rPr>
        <w:t>213894</w:t>
      </w:r>
      <w:r>
        <w:rPr>
          <w:rFonts w:ascii="Times New Roman" w:hAnsi="Times New Roman" w:eastAsia="仿宋_GB2312" w:cs="Times New Roman"/>
          <w:color w:val="auto"/>
          <w:sz w:val="32"/>
          <w:szCs w:val="32"/>
          <w:shd w:val="clear" w:color="auto" w:fill="auto"/>
        </w:rPr>
        <w:t>万元、上解支出</w:t>
      </w:r>
      <w:r>
        <w:rPr>
          <w:rFonts w:ascii="Times New Roman" w:hAnsi="Times New Roman" w:eastAsia="仿宋_GB2312" w:cs="Times New Roman"/>
          <w:color w:val="auto"/>
          <w:sz w:val="32"/>
          <w:szCs w:val="32"/>
          <w:shd w:val="clear" w:color="auto" w:fill="auto"/>
          <w:lang w:val="en-US"/>
        </w:rPr>
        <w:t>344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shd w:val="clear" w:color="auto" w:fill="auto"/>
          <w:lang w:val="en-US" w:eastAsia="zh-CN"/>
        </w:rPr>
        <w:t>6</w:t>
      </w:r>
      <w:r>
        <w:rPr>
          <w:rFonts w:ascii="Times New Roman" w:hAnsi="Times New Roman" w:eastAsia="仿宋_GB2312" w:cs="Times New Roman"/>
          <w:color w:val="auto"/>
          <w:sz w:val="32"/>
          <w:szCs w:val="32"/>
          <w:shd w:val="clear" w:color="auto" w:fill="auto"/>
        </w:rPr>
        <w:t>万元、债务还本支出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shd w:val="clear" w:color="auto" w:fill="auto"/>
          <w:lang w:val="en-US" w:eastAsia="zh-CN"/>
        </w:rPr>
        <w:t>18210</w:t>
      </w:r>
      <w:r>
        <w:rPr>
          <w:rFonts w:ascii="Times New Roman" w:hAnsi="Times New Roman" w:eastAsia="仿宋_GB2312" w:cs="Times New Roman"/>
          <w:color w:val="auto"/>
          <w:sz w:val="32"/>
          <w:szCs w:val="32"/>
          <w:shd w:val="clear" w:color="auto" w:fill="auto"/>
        </w:rPr>
        <w:t>万元、安排预算稳定调节基金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shd w:val="clear" w:color="auto" w:fill="auto"/>
          <w:lang w:val="en-US" w:eastAsia="zh-CN"/>
        </w:rPr>
        <w:t>222</w:t>
      </w:r>
      <w:r>
        <w:rPr>
          <w:rFonts w:ascii="Times New Roman" w:hAnsi="Times New Roman" w:eastAsia="仿宋_GB2312" w:cs="Times New Roman"/>
          <w:color w:val="auto"/>
          <w:sz w:val="32"/>
          <w:szCs w:val="32"/>
          <w:shd w:val="clear" w:color="auto" w:fill="auto"/>
        </w:rPr>
        <w:t>万元、年终结余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shd w:val="clear" w:color="auto" w:fill="auto"/>
          <w:lang w:val="en-US" w:eastAsia="zh-CN"/>
        </w:rPr>
        <w:t>6</w:t>
      </w:r>
      <w:r>
        <w:rPr>
          <w:rFonts w:hint="eastAsia" w:eastAsia="仿宋_GB2312" w:cs="Times New Roman"/>
          <w:color w:val="auto"/>
          <w:sz w:val="32"/>
          <w:szCs w:val="32"/>
          <w:shd w:val="clear" w:color="auto" w:fill="auto"/>
          <w:lang w:val="en-US" w:eastAsia="zh-CN"/>
        </w:rPr>
        <w:t>1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shd w:val="clear" w:color="auto" w:fill="auto"/>
          <w:lang w:val="en-US" w:eastAsia="zh-CN"/>
        </w:rPr>
        <w:t>83</w:t>
      </w:r>
      <w:r>
        <w:rPr>
          <w:rFonts w:ascii="Times New Roman" w:hAnsi="Times New Roman" w:eastAsia="仿宋_GB2312" w:cs="Times New Roman"/>
          <w:color w:val="auto"/>
          <w:sz w:val="32"/>
          <w:szCs w:val="32"/>
          <w:shd w:val="clear" w:color="auto" w:fill="auto"/>
        </w:rPr>
        <w:t>万元，构成一般公共预算总支出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shd w:val="clear" w:color="auto" w:fill="auto"/>
          <w:lang w:val="en-US" w:eastAsia="zh-CN"/>
        </w:rPr>
        <w:t>241955</w:t>
      </w:r>
      <w:r>
        <w:rPr>
          <w:rFonts w:ascii="Times New Roman" w:hAnsi="Times New Roman" w:eastAsia="仿宋_GB2312" w:cs="Times New Roman"/>
          <w:color w:val="auto"/>
          <w:sz w:val="32"/>
          <w:szCs w:val="32"/>
          <w:shd w:val="clear" w:color="auto" w:fill="auto"/>
        </w:rPr>
        <w:t>万元，一般公共预算收支平衡。</w:t>
      </w:r>
    </w:p>
    <w:p w14:paraId="26361D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firstLine="643" w:firstLineChars="200"/>
        <w:jc w:val="both"/>
        <w:textAlignment w:val="auto"/>
        <w:rPr>
          <w:rFonts w:hint="default" w:ascii="Times New Roman" w:hAnsi="Times New Roman" w:eastAsia="楷体_GB2312" w:cs="Times New Roman"/>
          <w:b/>
          <w:bCs/>
          <w:sz w:val="32"/>
          <w:szCs w:val="32"/>
          <w:shd w:val="clear" w:color="auto" w:fill="auto"/>
        </w:rPr>
      </w:pPr>
      <w:r>
        <w:rPr>
          <w:rFonts w:hint="eastAsia" w:ascii="Times New Roman" w:hAnsi="Times New Roman" w:eastAsia="楷体_GB2312" w:cs="Times New Roman"/>
          <w:b/>
          <w:bCs/>
          <w:sz w:val="32"/>
          <w:szCs w:val="32"/>
          <w:shd w:val="clear" w:color="auto" w:fill="auto"/>
          <w:lang w:val="zh-CN"/>
        </w:rPr>
        <w:t>（二）</w:t>
      </w:r>
      <w:r>
        <w:rPr>
          <w:rFonts w:hint="default" w:ascii="Times New Roman" w:hAnsi="Times New Roman" w:eastAsia="楷体_GB2312" w:cs="Times New Roman"/>
          <w:b/>
          <w:bCs/>
          <w:sz w:val="32"/>
          <w:szCs w:val="32"/>
          <w:shd w:val="clear" w:color="auto" w:fill="auto"/>
          <w:lang w:val="zh-CN"/>
        </w:rPr>
        <w:t>政府性基金预算执行情况。</w:t>
      </w:r>
    </w:p>
    <w:p w14:paraId="730F14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76" w:lineRule="exact"/>
        <w:ind w:right="0"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shd w:val="clear" w:color="auto" w:fill="auto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shd w:val="clear" w:color="auto" w:fill="auto"/>
        </w:rPr>
        <w:t>202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shd w:val="clear" w:color="auto" w:fill="auto"/>
        </w:rPr>
        <w:t>年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shd w:val="clear" w:color="auto" w:fill="auto"/>
          <w:lang w:val="zh-CN"/>
        </w:rPr>
        <w:t>政府性基金预算收入完成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3020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shd w:val="clear" w:color="auto" w:fill="auto"/>
          <w:lang w:val="zh-CN"/>
        </w:rPr>
        <w:t>万元、上级专项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2546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shd w:val="clear" w:color="auto" w:fill="auto"/>
          <w:lang w:val="zh-CN"/>
        </w:rPr>
        <w:t>万元、债务转贷收入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9100万元，上年结转267万元，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调入资金791万元，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构成全年政府性基金收入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15724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万元；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shd w:val="clear" w:color="auto" w:fill="auto"/>
          <w:lang w:val="zh-CN"/>
        </w:rPr>
        <w:t>政府性基金预算支出完成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13863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shd w:val="clear" w:color="auto" w:fill="auto"/>
          <w:lang w:val="zh-CN"/>
        </w:rPr>
        <w:t>万元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shd w:val="clear" w:color="auto" w:fill="auto"/>
          <w:lang w:eastAsia="zh-CN"/>
        </w:rPr>
        <w:t>（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包含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shd w:val="clear" w:color="auto" w:fill="auto"/>
        </w:rPr>
        <w:t>债券利息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支出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shd w:val="clear" w:color="auto" w:fill="auto"/>
        </w:rPr>
        <w:t>及手续费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789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shd w:val="clear" w:color="auto" w:fill="auto"/>
        </w:rPr>
        <w:t>万元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shd w:val="clear" w:color="auto" w:fill="auto"/>
          <w:lang w:eastAsia="zh-CN"/>
        </w:rPr>
        <w:t>），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shd w:val="clear" w:color="auto" w:fill="auto"/>
          <w:lang w:eastAsia="zh-CN"/>
        </w:rPr>
        <w:t>调出资金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791万元，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shd w:val="clear" w:color="auto" w:fill="auto"/>
        </w:rPr>
        <w:t>年终结转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1070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shd w:val="clear" w:color="auto" w:fill="auto"/>
        </w:rPr>
        <w:t>万元。</w:t>
      </w:r>
    </w:p>
    <w:p w14:paraId="0A71CE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firstLine="643" w:firstLineChars="200"/>
        <w:jc w:val="both"/>
        <w:textAlignment w:val="auto"/>
        <w:rPr>
          <w:rFonts w:ascii="Times New Roman" w:hAnsi="Times New Roman" w:eastAsia="楷体_GB2312" w:cs="Times New Roman"/>
          <w:b/>
          <w:bCs/>
          <w:sz w:val="32"/>
          <w:szCs w:val="32"/>
          <w:shd w:val="clear" w:color="auto" w:fill="auto"/>
        </w:rPr>
      </w:pPr>
      <w:r>
        <w:rPr>
          <w:rFonts w:ascii="Times New Roman" w:hAnsi="Times New Roman" w:eastAsia="楷体_GB2312" w:cs="Times New Roman"/>
          <w:b/>
          <w:bCs/>
          <w:sz w:val="32"/>
          <w:szCs w:val="32"/>
          <w:shd w:val="clear" w:color="auto" w:fill="auto"/>
        </w:rPr>
        <w:t>二、202</w:t>
      </w:r>
      <w:r>
        <w:rPr>
          <w:rFonts w:hint="eastAsia" w:ascii="Times New Roman" w:hAnsi="Times New Roman" w:eastAsia="楷体_GB2312" w:cs="Times New Roman"/>
          <w:b/>
          <w:bCs/>
          <w:sz w:val="32"/>
          <w:szCs w:val="32"/>
          <w:shd w:val="clear" w:color="auto" w:fill="auto"/>
          <w:lang w:val="en-US" w:eastAsia="zh-CN"/>
        </w:rPr>
        <w:t>6</w:t>
      </w:r>
      <w:r>
        <w:rPr>
          <w:rFonts w:ascii="Times New Roman" w:hAnsi="Times New Roman" w:eastAsia="楷体_GB2312" w:cs="Times New Roman"/>
          <w:b/>
          <w:bCs/>
          <w:sz w:val="32"/>
          <w:szCs w:val="32"/>
          <w:shd w:val="clear" w:color="auto" w:fill="auto"/>
        </w:rPr>
        <w:t>年上半年预算执行情况</w:t>
      </w:r>
    </w:p>
    <w:p w14:paraId="7B4460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firstLine="643" w:firstLineChars="200"/>
        <w:jc w:val="both"/>
        <w:textAlignment w:val="auto"/>
        <w:rPr>
          <w:rFonts w:ascii="Times New Roman" w:hAnsi="Times New Roman" w:eastAsia="楷体_GB2312" w:cs="Times New Roman"/>
          <w:b/>
          <w:bCs/>
          <w:sz w:val="32"/>
          <w:szCs w:val="32"/>
          <w:shd w:val="clear" w:color="auto" w:fill="auto"/>
        </w:rPr>
      </w:pPr>
      <w:r>
        <w:rPr>
          <w:rFonts w:ascii="Times New Roman" w:hAnsi="Times New Roman" w:eastAsia="楷体_GB2312" w:cs="Times New Roman"/>
          <w:b/>
          <w:bCs/>
          <w:sz w:val="32"/>
          <w:szCs w:val="32"/>
          <w:shd w:val="clear" w:color="auto" w:fill="auto"/>
        </w:rPr>
        <w:t>（一）一般公共预算执行情况。</w:t>
      </w:r>
    </w:p>
    <w:p w14:paraId="575AF2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firstLine="640" w:firstLineChars="200"/>
        <w:jc w:val="both"/>
        <w:textAlignment w:val="auto"/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  <w:shd w:val="clear" w:color="auto" w:fill="auto"/>
          <w:lang w:val="en-US" w:eastAsia="zh-CN"/>
        </w:rPr>
      </w:pPr>
      <w:r>
        <w:rPr>
          <w:rFonts w:ascii="Times New Roman" w:hAnsi="Times New Roman" w:eastAsia="仿宋_GB2312" w:cs="Times New Roman"/>
          <w:sz w:val="32"/>
          <w:szCs w:val="32"/>
          <w:highlight w:val="none"/>
          <w:shd w:val="clear" w:color="auto" w:fill="auto"/>
        </w:rPr>
        <w:t>更大力度加强财源建设，壮大“骨干税源”、培植“新兴税源”，挖掘资产资源增收潜力，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shd w:val="clear" w:color="auto" w:fill="auto"/>
          <w:lang w:eastAsia="zh-CN"/>
        </w:rPr>
        <w:t>上半年</w:t>
      </w:r>
      <w:r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地方一般公共预算收入完成17467万元，完成年度预算的75.03%，同比增长138.36%，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其中</w:t>
      </w:r>
      <w:r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税收收入16898万元，占比96.74%，非税收入569万元，占比3.26%。</w:t>
      </w:r>
      <w:r>
        <w:rPr>
          <w:rFonts w:ascii="Times New Roman" w:hAnsi="Times New Roman" w:eastAsia="仿宋_GB2312" w:cs="Times New Roman"/>
          <w:sz w:val="32"/>
          <w:szCs w:val="32"/>
          <w:highlight w:val="none"/>
          <w:shd w:val="clear" w:color="auto" w:fill="auto"/>
        </w:rPr>
        <w:t>落实更加积极的财政政策，强化“三资”统筹，优化支出结</w:t>
      </w:r>
      <w:r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  <w:shd w:val="clear" w:color="auto" w:fill="auto"/>
        </w:rPr>
        <w:t>构，</w:t>
      </w:r>
      <w:r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兜牢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“</w:t>
      </w:r>
      <w:r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三保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”</w:t>
      </w:r>
      <w:r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底线,强化库款运行监测</w:t>
      </w:r>
      <w:r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  <w:shd w:val="clear" w:color="auto" w:fill="auto"/>
        </w:rPr>
        <w:t>，</w:t>
      </w:r>
      <w:r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确保财政稳健运行、更可持续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，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shd w:val="clear" w:color="auto" w:fill="auto"/>
          <w:lang w:eastAsia="zh-CN"/>
        </w:rPr>
        <w:t>上半年</w:t>
      </w:r>
      <w:r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一般公共预算支出完成102169万元，同比增长8.59%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，</w:t>
      </w:r>
    </w:p>
    <w:p w14:paraId="047137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76" w:lineRule="exact"/>
        <w:ind w:left="0" w:firstLine="643" w:firstLineChars="200"/>
        <w:textAlignment w:val="auto"/>
        <w:rPr>
          <w:rFonts w:ascii="Times New Roman" w:hAnsi="Times New Roman" w:eastAsia="楷体_GB2312" w:cs="Times New Roman"/>
          <w:b/>
          <w:bCs/>
          <w:color w:val="auto"/>
          <w:sz w:val="32"/>
          <w:szCs w:val="32"/>
          <w:highlight w:val="none"/>
          <w:shd w:val="clear" w:color="auto" w:fill="auto"/>
          <w:lang w:val="zh-CN"/>
        </w:rPr>
      </w:pPr>
      <w:r>
        <w:rPr>
          <w:rFonts w:ascii="Times New Roman" w:hAnsi="Times New Roman" w:eastAsia="楷体_GB2312" w:cs="Times New Roman"/>
          <w:b/>
          <w:bCs/>
          <w:color w:val="auto"/>
          <w:sz w:val="32"/>
          <w:szCs w:val="32"/>
          <w:highlight w:val="none"/>
          <w:shd w:val="clear" w:color="auto" w:fill="auto"/>
          <w:lang w:val="zh-CN"/>
        </w:rPr>
        <w:t>（二）政府性基金预算执行情况。</w:t>
      </w:r>
    </w:p>
    <w:p w14:paraId="0E546F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76" w:lineRule="exact"/>
        <w:ind w:left="0" w:right="0" w:firstLine="640" w:firstLineChars="200"/>
        <w:textAlignment w:val="auto"/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  <w:shd w:val="clear" w:color="auto" w:fill="auto"/>
          <w:lang w:val="zh-CN"/>
        </w:rPr>
      </w:pPr>
      <w:r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  <w:shd w:val="clear" w:color="auto" w:fill="auto"/>
          <w:lang w:val="zh-CN"/>
        </w:rPr>
        <w:t>上半年</w:t>
      </w:r>
      <w:r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  <w:lang w:val="zh-CN"/>
        </w:rPr>
        <w:t>政府性基金预算收入完成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264</w:t>
      </w:r>
      <w:r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  <w:lang w:val="zh-CN"/>
        </w:rPr>
        <w:t>万元（补缴的土地价款</w:t>
      </w:r>
      <w:r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32万元、土地出让价款收入232万元），</w:t>
      </w:r>
      <w:r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  <w:shd w:val="clear" w:color="auto" w:fill="auto"/>
          <w:lang w:val="zh-CN"/>
        </w:rPr>
        <w:t>上级专项收入</w:t>
      </w:r>
      <w:r>
        <w:rPr>
          <w:rFonts w:hint="eastAsia" w:eastAsia="仿宋_GB2312" w:cs="Times New Roman"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75</w:t>
      </w:r>
      <w:r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  <w:shd w:val="clear" w:color="auto" w:fill="auto"/>
          <w:lang w:val="zh-CN"/>
        </w:rPr>
        <w:t>万元，债务转贷收入</w:t>
      </w:r>
      <w:r>
        <w:rPr>
          <w:rFonts w:ascii="Times New Roman" w:hAnsi="Times New Roman" w:eastAsia="仿宋_GB2312" w:cs="Times New Roman"/>
          <w:color w:val="auto"/>
          <w:spacing w:val="-6"/>
          <w:kern w:val="2"/>
          <w:sz w:val="32"/>
          <w:szCs w:val="32"/>
          <w:highlight w:val="none"/>
        </w:rPr>
        <w:t>1</w:t>
      </w:r>
      <w:r>
        <w:rPr>
          <w:rFonts w:ascii="Times New Roman" w:hAnsi="Times New Roman" w:eastAsia="仿宋_GB2312" w:cs="Times New Roman"/>
          <w:color w:val="auto"/>
          <w:spacing w:val="-6"/>
          <w:kern w:val="2"/>
          <w:sz w:val="32"/>
          <w:szCs w:val="32"/>
          <w:highlight w:val="none"/>
          <w:lang w:val="en-US" w:eastAsia="zh-CN"/>
        </w:rPr>
        <w:t>57</w:t>
      </w:r>
      <w:r>
        <w:rPr>
          <w:rFonts w:ascii="Times New Roman" w:hAnsi="Times New Roman" w:eastAsia="仿宋_GB2312" w:cs="Times New Roman"/>
          <w:color w:val="auto"/>
          <w:spacing w:val="-6"/>
          <w:kern w:val="2"/>
          <w:sz w:val="32"/>
          <w:szCs w:val="32"/>
          <w:highlight w:val="none"/>
        </w:rPr>
        <w:t>93万元</w:t>
      </w:r>
      <w:r>
        <w:rPr>
          <w:rFonts w:ascii="Times New Roman" w:hAnsi="Times New Roman" w:eastAsia="仿宋_GB2312" w:cs="Times New Roman"/>
          <w:color w:val="auto"/>
          <w:spacing w:val="-6"/>
          <w:kern w:val="2"/>
          <w:sz w:val="32"/>
          <w:szCs w:val="32"/>
          <w:highlight w:val="none"/>
          <w:lang w:eastAsia="zh-CN"/>
        </w:rPr>
        <w:t>。</w:t>
      </w:r>
      <w:r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政府性基金预算支出完成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14451</w:t>
      </w:r>
      <w:r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万元。</w:t>
      </w:r>
    </w:p>
    <w:p w14:paraId="7EB635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76" w:lineRule="exact"/>
        <w:ind w:left="0" w:firstLine="643" w:firstLineChars="200"/>
        <w:textAlignment w:val="auto"/>
        <w:rPr>
          <w:rFonts w:ascii="Times New Roman" w:hAnsi="Times New Roman" w:eastAsia="楷体_GB2312" w:cs="Times New Roman"/>
          <w:b/>
          <w:bCs/>
          <w:color w:val="auto"/>
          <w:sz w:val="32"/>
          <w:szCs w:val="32"/>
          <w:highlight w:val="none"/>
          <w:shd w:val="clear" w:color="auto" w:fill="auto"/>
          <w:lang w:val="zh-CN"/>
        </w:rPr>
      </w:pPr>
      <w:r>
        <w:rPr>
          <w:rFonts w:ascii="Times New Roman" w:hAnsi="Times New Roman" w:eastAsia="楷体_GB2312" w:cs="Times New Roman"/>
          <w:b/>
          <w:bCs/>
          <w:color w:val="auto"/>
          <w:sz w:val="32"/>
          <w:szCs w:val="32"/>
          <w:highlight w:val="none"/>
          <w:shd w:val="clear" w:color="auto" w:fill="auto"/>
          <w:lang w:val="zh-CN"/>
        </w:rPr>
        <w:t>（三）国有资本经营预算执行情况。</w:t>
      </w:r>
    </w:p>
    <w:p w14:paraId="111A6A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76" w:lineRule="exact"/>
        <w:ind w:left="0" w:right="0" w:firstLine="640" w:firstLineChars="200"/>
        <w:textAlignment w:val="auto"/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  <w:shd w:val="clear" w:color="auto" w:fill="auto"/>
        </w:rPr>
      </w:pPr>
      <w:r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  <w:shd w:val="clear" w:color="auto" w:fill="auto"/>
        </w:rPr>
        <w:t>上半年国有资本经营预算暂未实现收入。</w:t>
      </w:r>
    </w:p>
    <w:p w14:paraId="263325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76" w:lineRule="exact"/>
        <w:ind w:left="0" w:firstLine="643" w:firstLineChars="200"/>
        <w:textAlignment w:val="auto"/>
        <w:rPr>
          <w:rFonts w:ascii="Times New Roman" w:hAnsi="Times New Roman" w:eastAsia="楷体_GB2312" w:cs="Times New Roman"/>
          <w:b/>
          <w:bCs/>
          <w:color w:val="auto"/>
          <w:sz w:val="32"/>
          <w:szCs w:val="32"/>
          <w:highlight w:val="none"/>
          <w:shd w:val="clear" w:color="auto" w:fill="auto"/>
          <w:lang w:val="zh-CN"/>
        </w:rPr>
      </w:pPr>
      <w:r>
        <w:rPr>
          <w:rFonts w:ascii="Times New Roman" w:hAnsi="Times New Roman" w:eastAsia="楷体_GB2312" w:cs="Times New Roman"/>
          <w:b/>
          <w:bCs/>
          <w:color w:val="auto"/>
          <w:sz w:val="32"/>
          <w:szCs w:val="32"/>
          <w:highlight w:val="none"/>
          <w:shd w:val="clear" w:color="auto" w:fill="auto"/>
          <w:lang w:val="zh-CN"/>
        </w:rPr>
        <w:t>（四）政府性债务管理情况。</w:t>
      </w:r>
    </w:p>
    <w:p w14:paraId="4DD5FA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76" w:lineRule="exact"/>
        <w:ind w:left="0" w:right="0" w:firstLine="616" w:firstLineChars="200"/>
        <w:textAlignment w:val="auto"/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  <w:shd w:val="clear" w:color="auto" w:fill="auto"/>
        </w:rPr>
      </w:pPr>
      <w:r>
        <w:rPr>
          <w:rFonts w:ascii="Times New Roman" w:hAnsi="Times New Roman" w:eastAsia="仿宋_GB2312"/>
          <w:color w:val="auto"/>
          <w:spacing w:val="-6"/>
          <w:kern w:val="2"/>
          <w:sz w:val="32"/>
          <w:szCs w:val="32"/>
          <w:highlight w:val="none"/>
        </w:rPr>
        <w:t>2025年年末债务余额87920万元，债务率3</w:t>
      </w:r>
      <w:r>
        <w:rPr>
          <w:rFonts w:hint="eastAsia" w:ascii="Times New Roman" w:hAnsi="Times New Roman" w:eastAsia="仿宋_GB2312"/>
          <w:color w:val="auto"/>
          <w:spacing w:val="-6"/>
          <w:kern w:val="2"/>
          <w:sz w:val="32"/>
          <w:szCs w:val="32"/>
          <w:highlight w:val="none"/>
          <w:lang w:val="en-US" w:eastAsia="zh-CN"/>
        </w:rPr>
        <w:t>7</w:t>
      </w:r>
      <w:r>
        <w:rPr>
          <w:rFonts w:ascii="Times New Roman" w:hAnsi="Times New Roman" w:eastAsia="仿宋_GB2312"/>
          <w:color w:val="auto"/>
          <w:spacing w:val="-6"/>
          <w:kern w:val="2"/>
          <w:sz w:val="32"/>
          <w:szCs w:val="32"/>
          <w:highlight w:val="none"/>
        </w:rPr>
        <w:t>%，债务风险等级为绿色</w:t>
      </w:r>
      <w:r>
        <w:rPr>
          <w:rFonts w:hint="eastAsia" w:ascii="Times New Roman" w:hAnsi="Times New Roman" w:eastAsia="仿宋_GB2312"/>
          <w:color w:val="auto"/>
          <w:spacing w:val="-6"/>
          <w:kern w:val="2"/>
          <w:sz w:val="32"/>
          <w:szCs w:val="32"/>
          <w:highlight w:val="none"/>
          <w:lang w:eastAsia="zh-CN"/>
        </w:rPr>
        <w:t>，</w:t>
      </w:r>
      <w:r>
        <w:rPr>
          <w:rFonts w:ascii="Times New Roman" w:hAnsi="Times New Roman" w:eastAsia="仿宋_GB2312"/>
          <w:color w:val="auto"/>
          <w:spacing w:val="-6"/>
          <w:kern w:val="2"/>
          <w:sz w:val="32"/>
          <w:szCs w:val="32"/>
          <w:highlight w:val="none"/>
        </w:rPr>
        <w:t>2026年</w:t>
      </w:r>
      <w:r>
        <w:rPr>
          <w:rFonts w:hint="eastAsia" w:ascii="Times New Roman" w:hAnsi="Times New Roman" w:eastAsia="仿宋_GB2312"/>
          <w:color w:val="auto"/>
          <w:spacing w:val="-6"/>
          <w:kern w:val="2"/>
          <w:sz w:val="32"/>
          <w:szCs w:val="32"/>
          <w:highlight w:val="none"/>
          <w:lang w:eastAsia="zh-CN"/>
        </w:rPr>
        <w:t>上半年</w:t>
      </w:r>
      <w:r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发行专项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债券</w:t>
      </w:r>
      <w:r>
        <w:rPr>
          <w:rFonts w:ascii="Times New Roman" w:hAnsi="Times New Roman" w:eastAsia="仿宋_GB2312"/>
          <w:color w:val="auto"/>
          <w:spacing w:val="-6"/>
          <w:kern w:val="2"/>
          <w:sz w:val="32"/>
          <w:szCs w:val="32"/>
          <w:highlight w:val="none"/>
        </w:rPr>
        <w:t>1</w:t>
      </w:r>
      <w:r>
        <w:rPr>
          <w:rFonts w:hint="eastAsia" w:ascii="Times New Roman" w:hAnsi="Times New Roman" w:eastAsia="仿宋_GB2312"/>
          <w:color w:val="auto"/>
          <w:spacing w:val="-6"/>
          <w:kern w:val="2"/>
          <w:sz w:val="32"/>
          <w:szCs w:val="32"/>
          <w:highlight w:val="none"/>
          <w:lang w:val="en-US" w:eastAsia="zh-CN"/>
        </w:rPr>
        <w:t>57</w:t>
      </w:r>
      <w:r>
        <w:rPr>
          <w:rFonts w:ascii="Times New Roman" w:hAnsi="Times New Roman" w:eastAsia="仿宋_GB2312"/>
          <w:color w:val="auto"/>
          <w:spacing w:val="-6"/>
          <w:kern w:val="2"/>
          <w:sz w:val="32"/>
          <w:szCs w:val="32"/>
          <w:highlight w:val="none"/>
        </w:rPr>
        <w:t>93万元，</w:t>
      </w:r>
      <w:r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</w:rPr>
        <w:t>归还到期债券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97</w:t>
      </w:r>
      <w:r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</w:rPr>
        <w:t>万元，新增再融资债券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816</w:t>
      </w:r>
      <w:r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</w:rPr>
        <w:t>万元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，</w:t>
      </w:r>
      <w:r>
        <w:rPr>
          <w:rFonts w:hint="eastAsia" w:eastAsia="仿宋_GB2312"/>
          <w:color w:val="auto"/>
          <w:spacing w:val="-6"/>
          <w:kern w:val="2"/>
          <w:sz w:val="32"/>
          <w:szCs w:val="32"/>
          <w:highlight w:val="none"/>
          <w:lang w:eastAsia="zh-CN"/>
        </w:rPr>
        <w:t>截至</w:t>
      </w:r>
      <w:r>
        <w:rPr>
          <w:rFonts w:ascii="Times New Roman" w:hAnsi="Times New Roman" w:eastAsia="仿宋_GB2312"/>
          <w:color w:val="auto"/>
          <w:spacing w:val="-6"/>
          <w:kern w:val="2"/>
          <w:sz w:val="32"/>
          <w:szCs w:val="32"/>
          <w:highlight w:val="none"/>
        </w:rPr>
        <w:t>目前</w:t>
      </w:r>
      <w:r>
        <w:rPr>
          <w:rFonts w:hint="eastAsia" w:eastAsia="仿宋_GB2312"/>
          <w:color w:val="auto"/>
          <w:spacing w:val="-6"/>
          <w:kern w:val="2"/>
          <w:sz w:val="32"/>
          <w:szCs w:val="32"/>
          <w:highlight w:val="none"/>
          <w:lang w:eastAsia="zh-CN"/>
        </w:rPr>
        <w:t>，</w:t>
      </w:r>
      <w:r>
        <w:rPr>
          <w:rFonts w:ascii="Times New Roman" w:hAnsi="Times New Roman" w:eastAsia="仿宋_GB2312"/>
          <w:color w:val="auto"/>
          <w:spacing w:val="-6"/>
          <w:kern w:val="2"/>
          <w:sz w:val="32"/>
          <w:szCs w:val="32"/>
          <w:highlight w:val="none"/>
        </w:rPr>
        <w:t>债务余额</w:t>
      </w:r>
      <w:r>
        <w:rPr>
          <w:rFonts w:hint="eastAsia" w:ascii="Times New Roman" w:hAnsi="Times New Roman" w:eastAsia="仿宋_GB2312" w:cs="Times New Roman"/>
          <w:color w:val="auto"/>
          <w:sz w:val="32"/>
          <w:szCs w:val="22"/>
          <w:highlight w:val="none"/>
          <w:lang w:val="en-US" w:eastAsia="zh-CN"/>
        </w:rPr>
        <w:t>103616</w:t>
      </w:r>
      <w:r>
        <w:rPr>
          <w:rFonts w:ascii="Times New Roman" w:hAnsi="Times New Roman" w:eastAsia="仿宋_GB2312" w:cs="Times New Roman"/>
          <w:color w:val="auto"/>
          <w:sz w:val="32"/>
          <w:szCs w:val="22"/>
          <w:highlight w:val="none"/>
        </w:rPr>
        <w:t>万元，其中：一般债券</w:t>
      </w:r>
      <w:r>
        <w:rPr>
          <w:rFonts w:hint="eastAsia" w:ascii="Times New Roman" w:hAnsi="Times New Roman" w:eastAsia="仿宋_GB2312" w:cs="Times New Roman"/>
          <w:color w:val="auto"/>
          <w:sz w:val="32"/>
          <w:szCs w:val="22"/>
          <w:highlight w:val="none"/>
          <w:lang w:val="en-US" w:eastAsia="zh-CN"/>
        </w:rPr>
        <w:t>56695</w:t>
      </w:r>
      <w:r>
        <w:rPr>
          <w:rFonts w:ascii="Times New Roman" w:hAnsi="Times New Roman" w:eastAsia="仿宋_GB2312" w:cs="Times New Roman"/>
          <w:color w:val="auto"/>
          <w:sz w:val="32"/>
          <w:szCs w:val="22"/>
          <w:highlight w:val="none"/>
        </w:rPr>
        <w:t>万元、专项债券</w:t>
      </w:r>
      <w:r>
        <w:rPr>
          <w:rFonts w:hint="eastAsia" w:ascii="Times New Roman" w:hAnsi="Times New Roman" w:eastAsia="仿宋_GB2312" w:cs="Times New Roman"/>
          <w:color w:val="auto"/>
          <w:sz w:val="32"/>
          <w:szCs w:val="22"/>
          <w:highlight w:val="none"/>
          <w:lang w:val="en-US" w:eastAsia="zh-CN"/>
        </w:rPr>
        <w:t>46921</w:t>
      </w:r>
      <w:r>
        <w:rPr>
          <w:rFonts w:ascii="Times New Roman" w:hAnsi="Times New Roman" w:eastAsia="仿宋_GB2312" w:cs="Times New Roman"/>
          <w:color w:val="auto"/>
          <w:sz w:val="32"/>
          <w:szCs w:val="22"/>
          <w:highlight w:val="none"/>
        </w:rPr>
        <w:t>万元</w:t>
      </w:r>
      <w:r>
        <w:rPr>
          <w:rFonts w:hint="eastAsia" w:ascii="Times New Roman" w:hAnsi="Times New Roman" w:eastAsia="仿宋_GB2312" w:cs="Times New Roman"/>
          <w:color w:val="auto"/>
          <w:sz w:val="32"/>
          <w:szCs w:val="22"/>
          <w:highlight w:val="none"/>
          <w:lang w:eastAsia="zh-CN"/>
        </w:rPr>
        <w:t>。</w:t>
      </w:r>
      <w:r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  <w:shd w:val="clear" w:color="auto" w:fill="auto"/>
        </w:rPr>
        <w:t>目前尚未突破债务限额，债务风险总体可控。</w:t>
      </w:r>
    </w:p>
    <w:p w14:paraId="69B96341">
      <w:pPr>
        <w:keepNext w:val="0"/>
        <w:keepLines w:val="0"/>
        <w:pageBreakBefore w:val="0"/>
        <w:widowControl w:val="0"/>
        <w:pBdr>
          <w:bottom w:val="single" w:color="FFFFFF" w:sz="4" w:space="13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6" w:lineRule="exact"/>
        <w:ind w:left="0" w:firstLine="640" w:firstLineChars="200"/>
        <w:textAlignment w:val="auto"/>
        <w:rPr>
          <w:rFonts w:hint="eastAsia" w:ascii="Times New Roman" w:hAnsi="Times New Roman" w:eastAsia="黑体" w:cs="Times New Roman"/>
          <w:color w:val="auto"/>
          <w:sz w:val="32"/>
          <w:szCs w:val="32"/>
          <w:highlight w:val="none"/>
          <w:shd w:val="clear" w:color="auto" w:fill="auto"/>
          <w:lang w:eastAsia="zh-CN"/>
        </w:rPr>
      </w:pPr>
      <w:r>
        <w:rPr>
          <w:rFonts w:ascii="Times New Roman" w:hAnsi="Times New Roman" w:eastAsia="黑体" w:cs="Times New Roman"/>
          <w:color w:val="auto"/>
          <w:sz w:val="32"/>
          <w:szCs w:val="32"/>
          <w:highlight w:val="none"/>
          <w:shd w:val="clear" w:color="auto" w:fill="auto"/>
        </w:rPr>
        <w:t>三、</w:t>
      </w:r>
      <w:r>
        <w:rPr>
          <w:rFonts w:hint="eastAsia" w:ascii="Times New Roman" w:hAnsi="Times New Roman" w:eastAsia="黑体" w:cs="Times New Roman"/>
          <w:color w:val="auto"/>
          <w:sz w:val="32"/>
          <w:szCs w:val="32"/>
          <w:highlight w:val="none"/>
          <w:shd w:val="clear" w:color="auto" w:fill="auto"/>
          <w:lang w:eastAsia="zh-CN"/>
        </w:rPr>
        <w:t>稳中求进</w:t>
      </w:r>
      <w:r>
        <w:rPr>
          <w:rFonts w:ascii="Times New Roman" w:hAnsi="Times New Roman" w:eastAsia="黑体" w:cs="Times New Roman"/>
          <w:color w:val="auto"/>
          <w:sz w:val="32"/>
          <w:szCs w:val="32"/>
          <w:highlight w:val="none"/>
          <w:shd w:val="clear" w:color="auto" w:fill="auto"/>
        </w:rPr>
        <w:t>、</w:t>
      </w:r>
      <w:r>
        <w:rPr>
          <w:rFonts w:hint="eastAsia" w:ascii="Times New Roman" w:hAnsi="Times New Roman" w:eastAsia="黑体" w:cs="Times New Roman"/>
          <w:color w:val="auto"/>
          <w:sz w:val="32"/>
          <w:szCs w:val="32"/>
          <w:highlight w:val="none"/>
          <w:shd w:val="clear" w:color="auto" w:fill="auto"/>
          <w:lang w:eastAsia="zh-CN"/>
        </w:rPr>
        <w:t>提质增效</w:t>
      </w:r>
      <w:r>
        <w:rPr>
          <w:rFonts w:ascii="Times New Roman" w:hAnsi="Times New Roman" w:eastAsia="黑体" w:cs="Times New Roman"/>
          <w:color w:val="auto"/>
          <w:sz w:val="32"/>
          <w:szCs w:val="32"/>
          <w:highlight w:val="none"/>
          <w:shd w:val="clear" w:color="auto" w:fill="auto"/>
        </w:rPr>
        <w:t>，</w:t>
      </w:r>
      <w:r>
        <w:rPr>
          <w:rFonts w:ascii="Times New Roman" w:hAnsi="Times New Roman" w:eastAsia="黑体" w:cs="Times New Roman"/>
          <w:color w:val="auto"/>
          <w:sz w:val="32"/>
          <w:szCs w:val="32"/>
          <w:highlight w:val="none"/>
          <w:shd w:val="clear" w:color="auto" w:fill="auto"/>
          <w:lang w:eastAsia="zh-CN"/>
        </w:rPr>
        <w:t>上半年</w:t>
      </w:r>
      <w:r>
        <w:rPr>
          <w:rFonts w:ascii="Times New Roman" w:hAnsi="Times New Roman" w:eastAsia="黑体" w:cs="Times New Roman"/>
          <w:color w:val="auto"/>
          <w:sz w:val="32"/>
          <w:szCs w:val="32"/>
          <w:highlight w:val="none"/>
          <w:shd w:val="clear" w:color="auto" w:fill="auto"/>
        </w:rPr>
        <w:t>财政工作</w:t>
      </w:r>
      <w:r>
        <w:rPr>
          <w:rFonts w:hint="eastAsia" w:ascii="Times New Roman" w:hAnsi="Times New Roman" w:eastAsia="黑体" w:cs="Times New Roman"/>
          <w:color w:val="auto"/>
          <w:sz w:val="32"/>
          <w:szCs w:val="32"/>
          <w:highlight w:val="none"/>
          <w:shd w:val="clear" w:color="auto" w:fill="auto"/>
          <w:lang w:eastAsia="zh-CN"/>
        </w:rPr>
        <w:t>蓄势筑基</w:t>
      </w:r>
    </w:p>
    <w:p w14:paraId="1F1DB94A">
      <w:pPr>
        <w:keepNext w:val="0"/>
        <w:keepLines w:val="0"/>
        <w:pageBreakBefore w:val="0"/>
        <w:widowControl w:val="0"/>
        <w:pBdr>
          <w:bottom w:val="single" w:color="FFFFFF" w:sz="4" w:space="13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6" w:lineRule="exact"/>
        <w:ind w:left="0" w:firstLine="640" w:firstLineChars="200"/>
        <w:textAlignment w:val="auto"/>
        <w:rPr>
          <w:color w:val="auto"/>
          <w:highlight w:val="none"/>
        </w:rPr>
      </w:pPr>
      <w:r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</w:rPr>
        <w:t>2026年是</w:t>
      </w:r>
      <w:r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全面贯彻党的二十</w:t>
      </w:r>
      <w:r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届</w:t>
      </w:r>
      <w:r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四中全会精神、开启</w:t>
      </w:r>
      <w:r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</w:rPr>
        <w:t>“十五五”</w:t>
      </w:r>
      <w:r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规划的关键</w:t>
      </w:r>
      <w:r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</w:rPr>
        <w:t>之年，财政工作</w:t>
      </w:r>
      <w:r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认真贯彻落实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中央经济工作</w:t>
      </w:r>
      <w:r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“五个必须”“八个坚持”，</w:t>
      </w:r>
      <w:r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</w:rPr>
        <w:t>紧扣</w:t>
      </w:r>
      <w:r>
        <w:rPr>
          <w:rFonts w:ascii="Times New Roman" w:hAnsi="Times New Roman" w:eastAsia="仿宋_GB2312" w:cs="Times New Roman"/>
          <w:bCs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“159”系统部署，</w:t>
      </w:r>
      <w:r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把牢高质量发展政策集中叠加期和效应充分释放期，打好政策“组合拳</w:t>
      </w:r>
      <w:r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”</w:t>
      </w:r>
      <w:r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，为全县经济发展提供有力保障。</w:t>
      </w:r>
    </w:p>
    <w:p w14:paraId="45E59D77">
      <w:pPr>
        <w:keepNext w:val="0"/>
        <w:keepLines w:val="0"/>
        <w:pageBreakBefore w:val="0"/>
        <w:widowControl w:val="0"/>
        <w:pBdr>
          <w:bottom w:val="single" w:color="FFFFFF" w:sz="4" w:space="13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6" w:lineRule="exact"/>
        <w:ind w:left="0" w:firstLine="643" w:firstLineChars="200"/>
        <w:textAlignment w:val="auto"/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shd w:val="clear" w:color="auto" w:fill="auto"/>
          <w:lang w:val="en-US" w:eastAsia="zh-CN"/>
        </w:rPr>
      </w:pPr>
      <w:r>
        <w:rPr>
          <w:rFonts w:hint="eastAsia" w:ascii="楷体_GB2312" w:eastAsia="楷体_GB2312" w:cs="楷体_GB2312"/>
          <w:b/>
          <w:bCs/>
          <w:color w:val="auto"/>
          <w:sz w:val="32"/>
          <w:szCs w:val="32"/>
          <w:highlight w:val="none"/>
          <w:lang w:val="en-US" w:eastAsia="zh-CN"/>
        </w:rPr>
        <w:t>（一）聚焦筑牢增收根基，增添转型强劲动力。</w:t>
      </w:r>
    </w:p>
    <w:p w14:paraId="4851ACBF">
      <w:pPr>
        <w:keepNext w:val="0"/>
        <w:keepLines w:val="0"/>
        <w:pageBreakBefore w:val="0"/>
        <w:widowControl w:val="0"/>
        <w:pBdr>
          <w:bottom w:val="single" w:color="FFFFFF" w:sz="4" w:space="13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6" w:lineRule="exact"/>
        <w:ind w:left="0" w:firstLine="643" w:firstLineChars="200"/>
        <w:textAlignment w:val="auto"/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shd w:val="clear" w:color="auto" w:fill="auto"/>
          <w:lang w:val="en-US" w:eastAsia="zh-CN"/>
        </w:rPr>
      </w:pPr>
      <w:r>
        <w:rPr>
          <w:rFonts w:hint="eastAsia" w:ascii="仿宋_GB2312" w:eastAsia="仿宋_GB2312" w:cs="仿宋_GB2312"/>
          <w:b/>
          <w:bCs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财源增收实现突破性增长。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上半年全县坚持依法征管、应收尽收，健全财税联动机制，聚焦重点行业、重点企业动态监控，地方财力规模与收入质量双提升。在收入端，地方一般公共预算收入增收态势强劲，增长138.36%，增速排全州第一位。收入结构持续优化，传统水电、旅游、交通与光伏新兴税源协同发力，税收占比高达</w:t>
      </w:r>
      <w:r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占比96.74%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，税源含金量显著提高，为财政增收筑牢基本盘。</w:t>
      </w:r>
    </w:p>
    <w:p w14:paraId="48F3975D">
      <w:pPr>
        <w:keepNext w:val="0"/>
        <w:keepLines w:val="0"/>
        <w:pageBreakBefore w:val="0"/>
        <w:widowControl w:val="0"/>
        <w:pBdr>
          <w:bottom w:val="single" w:color="FFFFFF" w:sz="4" w:space="13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6" w:lineRule="exact"/>
        <w:ind w:left="0" w:firstLine="643" w:firstLineChars="200"/>
        <w:textAlignment w:val="auto"/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shd w:val="clear" w:color="auto" w:fill="auto"/>
          <w:lang w:val="en-US" w:eastAsia="zh-CN"/>
        </w:rPr>
      </w:pPr>
      <w:r>
        <w:rPr>
          <w:rFonts w:hint="eastAsia" w:ascii="仿宋_GB2312" w:eastAsia="仿宋_GB2312" w:cs="仿宋_GB2312"/>
          <w:b/>
          <w:bCs/>
          <w:color w:val="auto"/>
          <w:sz w:val="32"/>
          <w:szCs w:val="32"/>
          <w:highlight w:val="none"/>
          <w:lang w:val="en-US" w:eastAsia="zh-CN"/>
        </w:rPr>
        <w:t>支出结构实现持续性优化。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坚持过紧日子导向，严控非刚性、非重点支出，优先保障“三保”、民生与重大项目，</w:t>
      </w:r>
      <w:r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  <w:shd w:val="clear" w:color="auto" w:fill="auto"/>
        </w:rPr>
        <w:t>各项财政政策兑现和重点支出应支尽支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shd w:val="clear" w:color="auto" w:fill="auto"/>
          <w:lang w:eastAsia="zh-CN"/>
        </w:rPr>
        <w:t>。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上半年民生支出占总支出比重稳定在70%以上，教育、社保、乡村振兴、社会治理等普惠领域投入足额保障，财政保障民生的导向充分凸显，收支运行总体平稳可控。</w:t>
      </w:r>
    </w:p>
    <w:p w14:paraId="3709928A">
      <w:pPr>
        <w:keepNext w:val="0"/>
        <w:keepLines w:val="0"/>
        <w:pageBreakBefore w:val="0"/>
        <w:widowControl w:val="0"/>
        <w:pBdr>
          <w:bottom w:val="single" w:color="FFFFFF" w:sz="4" w:space="13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6" w:lineRule="exact"/>
        <w:ind w:left="0" w:firstLine="643" w:firstLineChars="200"/>
        <w:textAlignment w:val="auto"/>
        <w:rPr>
          <w:rFonts w:hint="eastAsia"/>
          <w:color w:val="auto"/>
          <w:highlight w:val="none"/>
          <w:lang w:val="en-US" w:eastAsia="zh-CN"/>
        </w:rPr>
      </w:pPr>
      <w:r>
        <w:rPr>
          <w:rFonts w:ascii="Times New Roman" w:hAnsi="Times New Roman" w:eastAsia="仿宋_GB2312" w:cs="Times New Roman"/>
          <w:b/>
          <w:bCs/>
          <w:color w:val="auto"/>
          <w:sz w:val="32"/>
          <w:szCs w:val="32"/>
          <w:highlight w:val="none"/>
          <w:lang w:eastAsia="zh-CN"/>
        </w:rPr>
        <w:t>筹资</w:t>
      </w:r>
      <w:r>
        <w:rPr>
          <w:rFonts w:hint="eastAsia" w:ascii="Times New Roman" w:hAnsi="Times New Roman" w:eastAsia="仿宋_GB2312" w:cs="Times New Roman"/>
          <w:b/>
          <w:bCs/>
          <w:color w:val="auto"/>
          <w:sz w:val="32"/>
          <w:szCs w:val="32"/>
          <w:highlight w:val="none"/>
          <w:lang w:eastAsia="zh-CN"/>
        </w:rPr>
        <w:t>能力实现实质性提升</w:t>
      </w:r>
      <w:r>
        <w:rPr>
          <w:rFonts w:ascii="Times New Roman" w:hAnsi="Times New Roman" w:eastAsia="仿宋_GB2312" w:cs="Times New Roman"/>
          <w:b/>
          <w:bCs/>
          <w:color w:val="auto"/>
          <w:sz w:val="32"/>
          <w:szCs w:val="32"/>
          <w:highlight w:val="none"/>
        </w:rPr>
        <w:t>。</w:t>
      </w:r>
      <w:r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</w:rPr>
        <w:t>认真研究国家、省州重点产业和重点领域资金投入政策，并转化为符合我县财政发展的具体实践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，</w:t>
      </w:r>
      <w:r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上半年到位上级补助133668万元</w:t>
      </w:r>
      <w:r>
        <w:rPr>
          <w:rFonts w:hint="eastAsia" w:eastAsia="仿宋_GB2312" w:cs="Times New Roman"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；</w:t>
      </w:r>
      <w:r>
        <w:rPr>
          <w:rFonts w:ascii="Times New Roman" w:hAnsi="Times New Roman" w:eastAsia="仿宋_GB2312"/>
          <w:color w:val="auto"/>
          <w:spacing w:val="-6"/>
          <w:kern w:val="2"/>
          <w:sz w:val="32"/>
          <w:szCs w:val="32"/>
          <w:highlight w:val="none"/>
        </w:rPr>
        <w:t>新增续发专项债券1</w:t>
      </w:r>
      <w:r>
        <w:rPr>
          <w:rFonts w:hint="eastAsia" w:ascii="Times New Roman" w:hAnsi="Times New Roman" w:eastAsia="仿宋_GB2312"/>
          <w:color w:val="auto"/>
          <w:spacing w:val="-6"/>
          <w:kern w:val="2"/>
          <w:sz w:val="32"/>
          <w:szCs w:val="32"/>
          <w:highlight w:val="none"/>
          <w:lang w:val="en-US" w:eastAsia="zh-CN"/>
        </w:rPr>
        <w:t>57</w:t>
      </w:r>
      <w:r>
        <w:rPr>
          <w:rFonts w:ascii="Times New Roman" w:hAnsi="Times New Roman" w:eastAsia="仿宋_GB2312"/>
          <w:color w:val="auto"/>
          <w:spacing w:val="-6"/>
          <w:kern w:val="2"/>
          <w:sz w:val="32"/>
          <w:szCs w:val="32"/>
          <w:highlight w:val="none"/>
        </w:rPr>
        <w:t>93万元</w:t>
      </w:r>
      <w:r>
        <w:rPr>
          <w:rFonts w:hint="eastAsia" w:ascii="Times New Roman" w:hAnsi="Times New Roman" w:eastAsia="仿宋_GB2312"/>
          <w:color w:val="auto"/>
          <w:spacing w:val="-6"/>
          <w:kern w:val="2"/>
          <w:sz w:val="32"/>
          <w:szCs w:val="32"/>
          <w:highlight w:val="none"/>
          <w:lang w:eastAsia="zh-CN"/>
        </w:rPr>
        <w:t>，其中</w:t>
      </w:r>
      <w:r>
        <w:rPr>
          <w:rFonts w:hint="eastAsia" w:ascii="Times New Roman" w:hAnsi="Times New Roman" w:eastAsia="仿宋_GB2312" w:cs="Times New Roman"/>
          <w:color w:val="auto"/>
          <w:spacing w:val="-6"/>
          <w:kern w:val="2"/>
          <w:sz w:val="32"/>
          <w:szCs w:val="32"/>
          <w:highlight w:val="none"/>
          <w:lang w:val="en-US" w:eastAsia="zh-CN" w:bidi="ar-SA"/>
        </w:rPr>
        <w:t>古城片区老旧街区改造5195万元、金坑坝片区老旧街区改造项目5398万元、黄龙九寨站市政配套改造提升工程项目5200万元。</w:t>
      </w:r>
    </w:p>
    <w:p w14:paraId="6DF0D031">
      <w:pPr>
        <w:keepNext w:val="0"/>
        <w:keepLines w:val="0"/>
        <w:pageBreakBefore w:val="0"/>
        <w:widowControl w:val="0"/>
        <w:pBdr>
          <w:bottom w:val="single" w:color="FFFFFF" w:sz="4" w:space="13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6" w:lineRule="exact"/>
        <w:ind w:left="0" w:firstLine="643" w:firstLineChars="200"/>
        <w:textAlignment w:val="auto"/>
        <w:rPr>
          <w:rFonts w:hint="eastAsia" w:ascii="楷体_GB2312" w:eastAsia="楷体_GB2312" w:cs="楷体_GB2312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楷体_GB2312" w:eastAsia="楷体_GB2312" w:cs="楷体_GB2312"/>
          <w:b/>
          <w:bCs/>
          <w:color w:val="auto"/>
          <w:sz w:val="32"/>
          <w:szCs w:val="32"/>
          <w:highlight w:val="none"/>
          <w:lang w:val="en-US" w:eastAsia="zh-CN"/>
        </w:rPr>
        <w:t>（二）聚焦促进城乡融合，绘就共同富裕画卷。</w:t>
      </w:r>
    </w:p>
    <w:p w14:paraId="732F4FA2">
      <w:pPr>
        <w:keepNext w:val="0"/>
        <w:keepLines w:val="0"/>
        <w:pageBreakBefore w:val="0"/>
        <w:widowControl w:val="0"/>
        <w:pBdr>
          <w:bottom w:val="single" w:color="FFFFFF" w:sz="4" w:space="13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6" w:lineRule="exact"/>
        <w:ind w:left="0" w:firstLine="643" w:firstLineChars="200"/>
        <w:textAlignment w:val="auto"/>
        <w:rPr>
          <w:rFonts w:ascii="Times New Roman" w:hAnsi="Times New Roman" w:eastAsia="仿宋_GB2312" w:cs="Times New Roman"/>
          <w:color w:val="auto"/>
          <w:sz w:val="31"/>
          <w:szCs w:val="31"/>
          <w:highlight w:val="none"/>
          <w:lang w:val="en-US" w:eastAsia="zh-CN"/>
        </w:rPr>
      </w:pPr>
      <w:r>
        <w:rPr>
          <w:rFonts w:ascii="Times New Roman" w:hAnsi="Times New Roman" w:eastAsia="仿宋_GB2312" w:cs="Times New Roman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培育兴农动能，助力农业产业转型升级。</w:t>
      </w:r>
      <w:r>
        <w:rPr>
          <w:rFonts w:ascii="Times New Roman" w:hAnsi="Times New Roman" w:eastAsia="仿宋_GB2312" w:cs="Times New Roman"/>
          <w:color w:val="auto"/>
          <w:sz w:val="31"/>
          <w:szCs w:val="31"/>
          <w:highlight w:val="none"/>
          <w:lang w:val="en-US" w:eastAsia="zh-CN"/>
        </w:rPr>
        <w:t>健全财政资金统筹配置机制，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安排</w:t>
      </w:r>
      <w:r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财政及自筹资金4.9亿余元，实施川主寺镇牦牛标准</w:t>
      </w:r>
      <w:r>
        <w:rPr>
          <w:rFonts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化养殖场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，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成立华松紫贝公司，有序推进贝母组</w:t>
      </w:r>
      <w:r>
        <w:rPr>
          <w:rFonts w:hint="eastAsia" w:ascii="Times New Roman" w:hAnsi="Times New Roman" w:eastAsia="仿宋_GB2312" w:cs="Times New Roman"/>
          <w:color w:val="auto"/>
          <w:sz w:val="31"/>
          <w:szCs w:val="31"/>
          <w:highlight w:val="none"/>
          <w:lang w:val="en-US" w:eastAsia="zh-CN"/>
        </w:rPr>
        <w:t>培基地项目，</w:t>
      </w:r>
      <w:r>
        <w:rPr>
          <w:rFonts w:ascii="Times New Roman" w:hAnsi="Times New Roman" w:eastAsia="仿宋_GB2312" w:cs="Times New Roman"/>
          <w:color w:val="auto"/>
          <w:sz w:val="31"/>
          <w:szCs w:val="31"/>
          <w:highlight w:val="none"/>
          <w:lang w:val="en-US" w:eastAsia="zh-CN"/>
        </w:rPr>
        <w:t>壮大培育特色产业、延伸孵化关联产业，</w:t>
      </w:r>
      <w:r>
        <w:rPr>
          <w:rFonts w:ascii="Times New Roman" w:hAnsi="Times New Roman" w:eastAsia="仿宋_GB2312" w:cs="Times New Roman"/>
          <w:color w:val="auto"/>
          <w:sz w:val="31"/>
          <w:szCs w:val="31"/>
          <w:highlight w:val="none"/>
        </w:rPr>
        <w:t>聚力“一产提质增效”重点突破。</w:t>
      </w:r>
      <w:r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通过财政资金杠杆作用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，</w:t>
      </w:r>
      <w:r>
        <w:rPr>
          <w:rFonts w:ascii="Times New Roman" w:hAnsi="Times New Roman" w:eastAsia="仿宋_GB2312" w:cs="Times New Roman"/>
          <w:color w:val="auto"/>
          <w:sz w:val="31"/>
          <w:szCs w:val="31"/>
          <w:highlight w:val="none"/>
        </w:rPr>
        <w:t>撬动更多社会资本投入</w:t>
      </w:r>
      <w:r>
        <w:rPr>
          <w:rFonts w:hint="eastAsia" w:ascii="Times New Roman" w:hAnsi="Times New Roman" w:eastAsia="仿宋_GB2312" w:cs="Times New Roman"/>
          <w:color w:val="auto"/>
          <w:sz w:val="31"/>
          <w:szCs w:val="31"/>
          <w:highlight w:val="none"/>
          <w:lang w:eastAsia="zh-CN"/>
        </w:rPr>
        <w:t>县</w:t>
      </w:r>
      <w:r>
        <w:rPr>
          <w:rFonts w:ascii="Times New Roman" w:hAnsi="Times New Roman" w:eastAsia="仿宋_GB2312" w:cs="Times New Roman"/>
          <w:color w:val="auto"/>
          <w:sz w:val="31"/>
          <w:szCs w:val="31"/>
          <w:highlight w:val="none"/>
        </w:rPr>
        <w:t>内生态农业、文化旅游、清洁能源、矿产开发等重点产业领域</w:t>
      </w:r>
      <w:r>
        <w:rPr>
          <w:rFonts w:hint="eastAsia" w:ascii="Times New Roman" w:hAnsi="Times New Roman" w:eastAsia="仿宋_GB2312" w:cs="Times New Roman"/>
          <w:color w:val="auto"/>
          <w:sz w:val="31"/>
          <w:szCs w:val="31"/>
          <w:highlight w:val="none"/>
          <w:lang w:eastAsia="zh-CN"/>
        </w:rPr>
        <w:t>。</w:t>
      </w:r>
    </w:p>
    <w:p w14:paraId="2C2C67DB">
      <w:pPr>
        <w:keepNext w:val="0"/>
        <w:keepLines w:val="0"/>
        <w:pageBreakBefore w:val="0"/>
        <w:widowControl w:val="0"/>
        <w:pBdr>
          <w:bottom w:val="single" w:color="FFFFFF" w:sz="4" w:space="13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6" w:lineRule="exact"/>
        <w:ind w:left="0" w:firstLine="643" w:firstLineChars="200"/>
        <w:textAlignment w:val="auto"/>
        <w:rPr>
          <w:rFonts w:hint="eastAsia" w:ascii="Times New Roman" w:hAnsi="Times New Roman" w:eastAsia="仿宋_GB2312" w:cs="Times New Roman"/>
          <w:color w:val="auto"/>
          <w:sz w:val="31"/>
          <w:szCs w:val="31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/>
          <w:bCs/>
          <w:color w:val="auto"/>
          <w:sz w:val="32"/>
          <w:szCs w:val="32"/>
          <w:highlight w:val="none"/>
          <w:lang w:eastAsia="zh-CN"/>
        </w:rPr>
        <w:t>聚力</w:t>
      </w:r>
      <w:r>
        <w:rPr>
          <w:rFonts w:ascii="Times New Roman" w:hAnsi="Times New Roman" w:eastAsia="仿宋_GB2312" w:cs="Times New Roman"/>
          <w:b/>
          <w:bCs/>
          <w:color w:val="auto"/>
          <w:sz w:val="32"/>
          <w:szCs w:val="32"/>
          <w:highlight w:val="none"/>
          <w:lang w:eastAsia="zh-CN"/>
        </w:rPr>
        <w:t>乡村振兴</w:t>
      </w:r>
      <w:r>
        <w:rPr>
          <w:rFonts w:ascii="Times New Roman" w:hAnsi="Times New Roman" w:eastAsia="仿宋_GB2312" w:cs="Times New Roman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，</w:t>
      </w:r>
      <w:r>
        <w:rPr>
          <w:rFonts w:hint="eastAsia" w:ascii="Times New Roman" w:hAnsi="Times New Roman" w:eastAsia="仿宋_GB2312" w:cs="Times New Roman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推动城乡</w:t>
      </w:r>
      <w:r>
        <w:rPr>
          <w:rFonts w:ascii="Times New Roman" w:hAnsi="Times New Roman" w:eastAsia="仿宋_GB2312" w:cs="Times New Roman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全域综合提升。</w:t>
      </w:r>
      <w:r>
        <w:rPr>
          <w:rFonts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严格落实“四个不摘”要求，</w:t>
      </w:r>
      <w:r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</w:rPr>
        <w:t>实施产业发展、基础设施建设等项目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，推进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清真牛羊屠宰场补短项目，</w:t>
      </w:r>
      <w:r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承接帮扶资金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5292</w:t>
      </w:r>
      <w:r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万元，深化东西部协作、对口支援、省内帮扶，开放合作深入推进。</w:t>
      </w:r>
      <w:r>
        <w:rPr>
          <w:rFonts w:hint="eastAsia" w:ascii="Times New Roman" w:hAnsi="Times New Roman" w:eastAsia="仿宋_GB2312" w:cs="Times New Roman"/>
          <w:color w:val="auto"/>
          <w:sz w:val="31"/>
          <w:szCs w:val="31"/>
          <w:highlight w:val="none"/>
          <w:lang w:val="en-US" w:eastAsia="zh-CN"/>
        </w:rPr>
        <w:t>松潘县川贝母现代农业园区成功获评四川省三星级现代农业园区，实现省级农业园区再突破。</w:t>
      </w:r>
    </w:p>
    <w:p w14:paraId="6F6A758C">
      <w:pPr>
        <w:keepNext w:val="0"/>
        <w:keepLines w:val="0"/>
        <w:pageBreakBefore w:val="0"/>
        <w:widowControl w:val="0"/>
        <w:pBdr>
          <w:bottom w:val="single" w:color="FFFFFF" w:sz="4" w:space="13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6" w:lineRule="exact"/>
        <w:ind w:left="0" w:firstLine="643" w:firstLineChars="200"/>
        <w:textAlignment w:val="auto"/>
        <w:rPr>
          <w:rFonts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ascii="Times New Roman" w:hAnsi="Times New Roman" w:eastAsia="仿宋_GB2312" w:cs="Times New Roman"/>
          <w:b/>
          <w:bCs/>
          <w:color w:val="auto"/>
          <w:sz w:val="32"/>
          <w:szCs w:val="32"/>
          <w:highlight w:val="none"/>
          <w:lang w:val="zh-CN" w:eastAsia="zh-CN"/>
        </w:rPr>
        <w:t>提升善治水平</w:t>
      </w:r>
      <w:r>
        <w:rPr>
          <w:rFonts w:hint="eastAsia" w:ascii="Times New Roman" w:hAnsi="Times New Roman" w:eastAsia="仿宋_GB2312" w:cs="Times New Roman"/>
          <w:b/>
          <w:bCs/>
          <w:color w:val="auto"/>
          <w:sz w:val="32"/>
          <w:szCs w:val="32"/>
          <w:highlight w:val="none"/>
          <w:lang w:val="zh-CN" w:eastAsia="zh-CN"/>
        </w:rPr>
        <w:t>，</w:t>
      </w:r>
      <w:r>
        <w:rPr>
          <w:rFonts w:ascii="Times New Roman" w:hAnsi="Times New Roman" w:eastAsia="仿宋_GB2312" w:cs="Times New Roman"/>
          <w:b/>
          <w:bCs/>
          <w:color w:val="auto"/>
          <w:sz w:val="32"/>
          <w:szCs w:val="32"/>
          <w:highlight w:val="none"/>
          <w:lang w:val="en-US" w:eastAsia="zh-CN"/>
        </w:rPr>
        <w:t>夯实乡村发展硬件支撑</w:t>
      </w:r>
      <w:r>
        <w:rPr>
          <w:rFonts w:ascii="Times New Roman" w:hAnsi="Times New Roman" w:eastAsia="仿宋_GB2312" w:cs="Times New Roman"/>
          <w:b/>
          <w:bCs/>
          <w:color w:val="auto"/>
          <w:sz w:val="32"/>
          <w:szCs w:val="32"/>
          <w:highlight w:val="none"/>
          <w:lang w:val="zh-CN" w:eastAsia="zh-CN"/>
        </w:rPr>
        <w:t>。</w:t>
      </w:r>
      <w:r>
        <w:rPr>
          <w:rFonts w:hint="eastAsia" w:ascii="Times New Roman" w:hAnsi="Times New Roman" w:eastAsia="仿宋_GB2312" w:cs="Times New Roman"/>
          <w:color w:val="auto"/>
          <w:sz w:val="31"/>
          <w:szCs w:val="31"/>
          <w:highlight w:val="none"/>
          <w:lang w:val="zh-CN" w:eastAsia="zh-CN"/>
        </w:rPr>
        <w:t>聚集全县</w:t>
      </w:r>
      <w:r>
        <w:rPr>
          <w:rFonts w:hint="eastAsia" w:ascii="Times New Roman" w:hAnsi="Times New Roman" w:eastAsia="仿宋_GB2312" w:cs="Times New Roman"/>
          <w:color w:val="auto"/>
          <w:sz w:val="31"/>
          <w:szCs w:val="31"/>
          <w:highlight w:val="none"/>
          <w:lang w:val="en-US" w:eastAsia="zh-CN"/>
        </w:rPr>
        <w:t>7个传统村落特色保护，成功入选省级传统村落特色保护区建设名单。</w:t>
      </w:r>
      <w:r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</w:rPr>
        <w:t>安排资金4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4</w:t>
      </w:r>
      <w:r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</w:rPr>
        <w:t>5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3</w:t>
      </w:r>
      <w:r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</w:rPr>
        <w:t>万元，足额兑付耕地保护、森林生态效益补偿、草原生态保护奖励等补助；安排资金1830万元，用于村级公共服务运行保障。</w:t>
      </w:r>
      <w:r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统筹资金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623</w:t>
      </w:r>
      <w:r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万元</w:t>
      </w:r>
      <w:r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</w:rPr>
        <w:t>开发安置公益性岗位</w:t>
      </w:r>
      <w:r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813人（脱贫劳动力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623人</w:t>
      </w:r>
      <w:r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）</w:t>
      </w:r>
      <w:r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。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安排资金195</w:t>
      </w:r>
      <w:r>
        <w:rPr>
          <w:rFonts w:hint="eastAsia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4</w:t>
      </w:r>
      <w:r>
        <w:rPr>
          <w:rFonts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万元，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支持农村</w:t>
      </w:r>
      <w:r>
        <w:rPr>
          <w:rFonts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公路养护、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农村客运发展、</w:t>
      </w:r>
      <w:r>
        <w:rPr>
          <w:rFonts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防洪水利工程及城乡排水管网改造等项目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。</w:t>
      </w:r>
    </w:p>
    <w:p w14:paraId="37B026F6">
      <w:pPr>
        <w:keepNext w:val="0"/>
        <w:keepLines w:val="0"/>
        <w:pageBreakBefore w:val="0"/>
        <w:widowControl w:val="0"/>
        <w:pBdr>
          <w:bottom w:val="single" w:color="FFFFFF" w:sz="4" w:space="13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6" w:lineRule="exact"/>
        <w:ind w:left="0" w:firstLine="643" w:firstLineChars="200"/>
        <w:textAlignment w:val="auto"/>
        <w:rPr>
          <w:rFonts w:hint="eastAsia" w:ascii="楷体_GB2312" w:eastAsia="楷体_GB2312" w:cs="楷体_GB2312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楷体_GB2312" w:eastAsia="楷体_GB2312" w:cs="楷体_GB2312"/>
          <w:b/>
          <w:bCs/>
          <w:color w:val="auto"/>
          <w:sz w:val="32"/>
          <w:szCs w:val="32"/>
          <w:highlight w:val="none"/>
          <w:lang w:val="en-US" w:eastAsia="zh-CN"/>
        </w:rPr>
        <w:t>（三）聚焦兜牢民生底线，彰显治理温暖质感。</w:t>
      </w:r>
    </w:p>
    <w:p w14:paraId="08A9E864">
      <w:pPr>
        <w:keepNext w:val="0"/>
        <w:keepLines w:val="0"/>
        <w:pageBreakBefore w:val="0"/>
        <w:widowControl w:val="0"/>
        <w:pBdr>
          <w:bottom w:val="single" w:color="FFFFFF" w:sz="4" w:space="13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6" w:lineRule="exact"/>
        <w:ind w:left="0" w:firstLine="643" w:firstLineChars="200"/>
        <w:textAlignment w:val="auto"/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ascii="Times New Roman" w:hAnsi="Times New Roman" w:eastAsia="仿宋_GB2312" w:cs="Times New Roman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执优质均衡之笔，绘就普惠教育温</w:t>
      </w:r>
      <w:r>
        <w:rPr>
          <w:rFonts w:hint="eastAsia" w:ascii="Times New Roman" w:hAnsi="Times New Roman" w:eastAsia="仿宋_GB2312" w:cs="Times New Roman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情</w:t>
      </w:r>
      <w:r>
        <w:rPr>
          <w:rFonts w:ascii="Times New Roman" w:hAnsi="Times New Roman" w:eastAsia="仿宋_GB2312" w:cs="Times New Roman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底色。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安排资金33630</w:t>
      </w:r>
      <w:r>
        <w:rPr>
          <w:rFonts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万元，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全力推进义务教育优质均衡发展县、学前教育普及普惠县创建，</w:t>
      </w:r>
      <w:r>
        <w:rPr>
          <w:rFonts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全面落实教育资助政策，持续推进“三免一补”；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推进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藏文中学综合楼、松潘中学教师周转房建设和城关幼儿园整体搬迁，</w:t>
      </w:r>
      <w:r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</w:rPr>
        <w:t>精准落实教育惠民政策，排查困难学生底数，建立动态台账，通过“一卡通”直达发放激励基金，惠及34名困难学生，构建全方位教育帮扶体系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，</w:t>
      </w:r>
      <w:r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</w:rPr>
        <w:t>实现义务教育阶段动态“零辍学”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，</w:t>
      </w:r>
      <w:r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</w:rPr>
        <w:t>全力保障中小学生“走出阿坝看世界”研学活动开展。</w:t>
      </w:r>
    </w:p>
    <w:p w14:paraId="36EB7C48">
      <w:pPr>
        <w:keepNext w:val="0"/>
        <w:keepLines w:val="0"/>
        <w:pageBreakBefore w:val="0"/>
        <w:widowControl w:val="0"/>
        <w:pBdr>
          <w:bottom w:val="single" w:color="FFFFFF" w:sz="4" w:space="13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6" w:lineRule="exact"/>
        <w:ind w:left="0" w:firstLine="643" w:firstLineChars="200"/>
        <w:textAlignment w:val="auto"/>
        <w:rPr>
          <w:rFonts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ascii="Times New Roman" w:hAnsi="Times New Roman" w:eastAsia="仿宋_GB2312" w:cs="Times New Roman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铺</w:t>
      </w:r>
      <w:r>
        <w:rPr>
          <w:rFonts w:hint="eastAsia" w:ascii="Times New Roman" w:hAnsi="Times New Roman" w:eastAsia="仿宋_GB2312" w:cs="Times New Roman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普惠共享</w:t>
      </w:r>
      <w:r>
        <w:rPr>
          <w:rFonts w:ascii="Times New Roman" w:hAnsi="Times New Roman" w:eastAsia="仿宋_GB2312" w:cs="Times New Roman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之卷，勾勒社会保障</w:t>
      </w:r>
      <w:r>
        <w:rPr>
          <w:rFonts w:hint="eastAsia" w:ascii="Times New Roman" w:hAnsi="Times New Roman" w:eastAsia="仿宋_GB2312" w:cs="Times New Roman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民生</w:t>
      </w:r>
      <w:r>
        <w:rPr>
          <w:rFonts w:ascii="Times New Roman" w:hAnsi="Times New Roman" w:eastAsia="仿宋_GB2312" w:cs="Times New Roman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线条。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安排资金45657</w:t>
      </w:r>
      <w:r>
        <w:rPr>
          <w:rFonts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万元，推进县级综合医院急诊急救等“五个中心”、高原病诊治能力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，推进</w:t>
      </w:r>
      <w:r>
        <w:rPr>
          <w:rFonts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松潘县人工智能诊疗辅助系统建设项目，大力提升医疗服务保障能力。聚焦“一老一小”，通过育儿补贴、普惠托育政策减轻家庭养育负担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。安排资金3997</w:t>
      </w:r>
      <w:r>
        <w:rPr>
          <w:rFonts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万元，落实农村低保、特困人员救助和医疗补助等政策，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解决</w:t>
      </w:r>
      <w:r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征地拆迁群众购买养老保险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遗留</w:t>
      </w:r>
      <w:r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问题</w:t>
      </w:r>
      <w:r>
        <w:rPr>
          <w:rFonts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。统筹帮扶资金聚力石榴籽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，</w:t>
      </w:r>
      <w:r>
        <w:rPr>
          <w:rFonts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精准实施“帮困助弱”“健康保障”“就业创业”“联心同行”“爱心爸妈”“宣传教育”六大行动。</w:t>
      </w:r>
      <w:r>
        <w:rPr>
          <w:rFonts w:ascii="Times New Roman" w:hAnsi="Times New Roman" w:eastAsia="仿宋_GB2312" w:cs="Times New Roman"/>
          <w:b w:val="0"/>
          <w:bCs w:val="0"/>
          <w:color w:val="auto"/>
          <w:spacing w:val="0"/>
          <w:sz w:val="32"/>
          <w:szCs w:val="32"/>
          <w:highlight w:val="none"/>
          <w:lang w:val="en-US" w:eastAsia="zh-CN"/>
        </w:rPr>
        <w:t>落实创业补贴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pacing w:val="0"/>
          <w:sz w:val="32"/>
          <w:szCs w:val="32"/>
          <w:highlight w:val="none"/>
          <w:lang w:val="en-US" w:eastAsia="zh-CN"/>
        </w:rPr>
        <w:t>985</w:t>
      </w:r>
      <w:r>
        <w:rPr>
          <w:rFonts w:ascii="Times New Roman" w:hAnsi="Times New Roman" w:eastAsia="仿宋_GB2312" w:cs="Times New Roman"/>
          <w:b w:val="0"/>
          <w:bCs w:val="0"/>
          <w:color w:val="auto"/>
          <w:spacing w:val="0"/>
          <w:sz w:val="32"/>
          <w:szCs w:val="32"/>
          <w:highlight w:val="none"/>
          <w:lang w:val="en-US" w:eastAsia="zh-CN"/>
        </w:rPr>
        <w:t>万元、</w:t>
      </w:r>
      <w:r>
        <w:rPr>
          <w:rFonts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创业担保贷款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770</w:t>
      </w:r>
      <w:r>
        <w:rPr>
          <w:rFonts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万元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pacing w:val="0"/>
          <w:sz w:val="32"/>
          <w:szCs w:val="32"/>
          <w:highlight w:val="none"/>
          <w:lang w:val="en-US" w:eastAsia="zh-CN"/>
        </w:rPr>
        <w:t>。</w:t>
      </w:r>
    </w:p>
    <w:p w14:paraId="2B25BE31">
      <w:pPr>
        <w:keepNext w:val="0"/>
        <w:keepLines w:val="0"/>
        <w:pageBreakBefore w:val="0"/>
        <w:widowControl w:val="0"/>
        <w:pBdr>
          <w:bottom w:val="single" w:color="FFFFFF" w:sz="4" w:space="13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6" w:lineRule="exact"/>
        <w:ind w:left="0" w:firstLine="643" w:firstLineChars="200"/>
        <w:textAlignment w:val="auto"/>
        <w:rPr>
          <w:rFonts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ascii="Times New Roman" w:hAnsi="Times New Roman" w:eastAsia="仿宋_GB2312" w:cs="Times New Roman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筑</w:t>
      </w:r>
      <w:r>
        <w:rPr>
          <w:rFonts w:hint="eastAsia" w:ascii="Times New Roman" w:hAnsi="Times New Roman" w:eastAsia="仿宋_GB2312" w:cs="Times New Roman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多元共治之基</w:t>
      </w:r>
      <w:r>
        <w:rPr>
          <w:rFonts w:ascii="Times New Roman" w:hAnsi="Times New Roman" w:eastAsia="仿宋_GB2312" w:cs="Times New Roman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，</w:t>
      </w:r>
      <w:r>
        <w:rPr>
          <w:rFonts w:hint="eastAsia" w:ascii="Times New Roman" w:hAnsi="Times New Roman" w:eastAsia="仿宋_GB2312" w:cs="Times New Roman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描摹</w:t>
      </w:r>
      <w:r>
        <w:rPr>
          <w:rFonts w:ascii="Times New Roman" w:hAnsi="Times New Roman" w:eastAsia="仿宋_GB2312" w:cs="Times New Roman"/>
          <w:b/>
          <w:bCs/>
          <w:color w:val="auto"/>
          <w:sz w:val="32"/>
          <w:szCs w:val="32"/>
          <w:highlight w:val="none"/>
          <w:lang w:eastAsia="zh-CN"/>
        </w:rPr>
        <w:t>社会治理</w:t>
      </w:r>
      <w:r>
        <w:rPr>
          <w:rFonts w:hint="eastAsia" w:ascii="Times New Roman" w:hAnsi="Times New Roman" w:eastAsia="仿宋_GB2312" w:cs="Times New Roman"/>
          <w:b/>
          <w:bCs/>
          <w:color w:val="auto"/>
          <w:sz w:val="32"/>
          <w:szCs w:val="32"/>
          <w:highlight w:val="none"/>
          <w:lang w:eastAsia="zh-CN"/>
        </w:rPr>
        <w:t>和谐新篇</w:t>
      </w:r>
      <w:r>
        <w:rPr>
          <w:rFonts w:ascii="Times New Roman" w:hAnsi="Times New Roman" w:eastAsia="仿宋_GB2312" w:cs="Times New Roman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。</w:t>
      </w:r>
      <w:r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</w:rPr>
        <w:t>安排资金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3876</w:t>
      </w:r>
      <w:r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</w:rPr>
        <w:t>万元，足额保障政法部门业务、装备经费等；安排资金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335</w:t>
      </w:r>
      <w:r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</w:rPr>
        <w:t>万元，用于常态维稳、寺庙基础设施建设、寺管会人员生活补助等安</w:t>
      </w:r>
      <w:r>
        <w:rPr>
          <w:rFonts w:ascii="Times New Roman" w:hAnsi="Times New Roman" w:eastAsia="仿宋_GB2312" w:cs="Times New Roman"/>
          <w:color w:val="auto"/>
          <w:spacing w:val="-6"/>
          <w:sz w:val="32"/>
          <w:szCs w:val="32"/>
          <w:highlight w:val="none"/>
        </w:rPr>
        <w:t>排资金</w:t>
      </w:r>
      <w:r>
        <w:rPr>
          <w:rFonts w:hint="eastAsia" w:ascii="Times New Roman" w:hAnsi="Times New Roman" w:eastAsia="仿宋_GB2312" w:cs="Times New Roman"/>
          <w:color w:val="auto"/>
          <w:spacing w:val="-6"/>
          <w:sz w:val="32"/>
          <w:szCs w:val="32"/>
          <w:highlight w:val="none"/>
          <w:lang w:val="en-US" w:eastAsia="zh-CN"/>
        </w:rPr>
        <w:t>407</w:t>
      </w:r>
      <w:r>
        <w:rPr>
          <w:rFonts w:ascii="Times New Roman" w:hAnsi="Times New Roman" w:eastAsia="仿宋_GB2312" w:cs="Times New Roman"/>
          <w:color w:val="auto"/>
          <w:spacing w:val="-6"/>
          <w:sz w:val="32"/>
          <w:szCs w:val="32"/>
          <w:highlight w:val="none"/>
        </w:rPr>
        <w:t>万元，</w:t>
      </w:r>
      <w:r>
        <w:rPr>
          <w:rFonts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保障应急平台建设、防灾减灾、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道路交通安全建设</w:t>
      </w:r>
      <w:r>
        <w:rPr>
          <w:rFonts w:ascii="Times New Roman" w:hAnsi="Times New Roman" w:eastAsia="仿宋_GB2312" w:cs="Times New Roman"/>
          <w:color w:val="auto"/>
          <w:spacing w:val="-6"/>
          <w:sz w:val="32"/>
          <w:szCs w:val="32"/>
          <w:highlight w:val="none"/>
          <w:lang w:eastAsia="zh-CN"/>
        </w:rPr>
        <w:t>。</w:t>
      </w:r>
      <w:r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</w:rPr>
        <w:t>安排资金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114</w:t>
      </w:r>
      <w:r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</w:rPr>
        <w:t>万元，用于网格化管理、“平安松潘”天网</w:t>
      </w:r>
      <w:r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、感知源</w:t>
      </w:r>
      <w:r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</w:rPr>
        <w:t>建设等，形成有效的社会治理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，</w:t>
      </w:r>
      <w:r>
        <w:rPr>
          <w:rFonts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人民群众安全感持续提升。</w:t>
      </w:r>
    </w:p>
    <w:p w14:paraId="220A7444">
      <w:pPr>
        <w:keepNext w:val="0"/>
        <w:keepLines w:val="0"/>
        <w:pageBreakBefore w:val="0"/>
        <w:widowControl w:val="0"/>
        <w:pBdr>
          <w:bottom w:val="single" w:color="FFFFFF" w:sz="4" w:space="13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6" w:lineRule="exact"/>
        <w:ind w:left="0" w:firstLine="643" w:firstLineChars="200"/>
        <w:textAlignment w:val="auto"/>
        <w:rPr>
          <w:rFonts w:hint="eastAsia" w:ascii="楷体_GB2312" w:eastAsia="楷体_GB2312" w:cs="楷体_GB2312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楷体_GB2312" w:eastAsia="楷体_GB2312" w:cs="楷体_GB2312"/>
          <w:b/>
          <w:bCs/>
          <w:color w:val="auto"/>
          <w:sz w:val="32"/>
          <w:szCs w:val="32"/>
          <w:highlight w:val="none"/>
          <w:lang w:val="en-US" w:eastAsia="zh-CN"/>
        </w:rPr>
        <w:t>（四）聚焦优化资源配置，提升区域发展能级。</w:t>
      </w:r>
    </w:p>
    <w:p w14:paraId="378D32E7">
      <w:pPr>
        <w:keepNext w:val="0"/>
        <w:keepLines w:val="0"/>
        <w:pageBreakBefore w:val="0"/>
        <w:widowControl w:val="0"/>
        <w:pBdr>
          <w:bottom w:val="single" w:color="FFFFFF" w:sz="4" w:space="13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6" w:lineRule="exact"/>
        <w:ind w:left="0" w:firstLine="643" w:firstLineChars="200"/>
        <w:textAlignment w:val="auto"/>
        <w:rPr>
          <w:rFonts w:ascii="Times New Roman" w:hAnsi="Times New Roman" w:eastAsia="仿宋_GB2312" w:cs="Times New Roman"/>
          <w:color w:val="auto"/>
          <w:sz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/>
          <w:bCs/>
          <w:color w:val="auto"/>
          <w:sz w:val="32"/>
          <w:highlight w:val="none"/>
          <w:lang w:val="en-US" w:eastAsia="zh-CN"/>
        </w:rPr>
        <w:t>拓展内需增长空间。</w:t>
      </w:r>
      <w:r>
        <w:rPr>
          <w:rFonts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坚持扩内需、促消费、育主体，多措并举激活城乡消费市场活力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，</w:t>
      </w:r>
      <w:r>
        <w:rPr>
          <w:rFonts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市场主体培育成效显著，完成3户商贸主体升限入统。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安排资金584万元，发放消费券</w:t>
      </w:r>
      <w:r>
        <w:rPr>
          <w:rFonts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精准落实促消费政策，扎实推进消费品以旧换新、“四好”农牧民家庭消费补贴等活动，8家商户参与家电、汽车换新，审核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944</w:t>
      </w:r>
      <w:r>
        <w:rPr>
          <w:rFonts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台，补贴核销率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100</w:t>
      </w:r>
      <w:r>
        <w:rPr>
          <w:rFonts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%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，</w:t>
      </w:r>
      <w:r>
        <w:rPr>
          <w:rFonts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直接带动社会消费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245万</w:t>
      </w:r>
      <w:r>
        <w:rPr>
          <w:rFonts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元以上。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安排资金4</w:t>
      </w:r>
      <w:r>
        <w:rPr>
          <w:rFonts w:hint="eastAsia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1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万元</w:t>
      </w:r>
      <w:r>
        <w:rPr>
          <w:rFonts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，强化工业领域政策资金保障，助力市场主体纾困发展，助推县域工业规模与质量同步提升。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安排</w:t>
      </w:r>
      <w:r>
        <w:rPr>
          <w:rFonts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建筑业高质量发展奖励资金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16</w:t>
      </w:r>
      <w:r>
        <w:rPr>
          <w:rFonts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万元，对在产能提升、资质晋升、经济贡献等方面表现优异的企业予以激励，推动建筑业持续健康发展。</w:t>
      </w:r>
    </w:p>
    <w:p w14:paraId="319562DE">
      <w:pPr>
        <w:keepNext w:val="0"/>
        <w:keepLines w:val="0"/>
        <w:pageBreakBefore w:val="0"/>
        <w:widowControl w:val="0"/>
        <w:pBdr>
          <w:bottom w:val="single" w:color="FFFFFF" w:sz="4" w:space="13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6" w:lineRule="exact"/>
        <w:ind w:left="0" w:leftChars="0" w:firstLine="643" w:firstLineChars="200"/>
        <w:textAlignment w:val="auto"/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/>
          <w:bCs/>
          <w:color w:val="auto"/>
          <w:sz w:val="32"/>
          <w:highlight w:val="none"/>
          <w:lang w:val="en-US" w:eastAsia="zh-CN"/>
        </w:rPr>
        <w:t>助力</w:t>
      </w:r>
      <w:r>
        <w:rPr>
          <w:rFonts w:ascii="Times New Roman" w:hAnsi="Times New Roman" w:eastAsia="仿宋_GB2312" w:cs="Times New Roman"/>
          <w:b/>
          <w:bCs/>
          <w:color w:val="auto"/>
          <w:sz w:val="32"/>
          <w:highlight w:val="none"/>
          <w:lang w:val="en-US" w:eastAsia="zh-CN"/>
        </w:rPr>
        <w:t>文旅融合</w:t>
      </w:r>
      <w:r>
        <w:rPr>
          <w:rFonts w:hint="eastAsia" w:ascii="Times New Roman" w:hAnsi="Times New Roman" w:eastAsia="仿宋_GB2312" w:cs="Times New Roman"/>
          <w:b/>
          <w:bCs/>
          <w:color w:val="auto"/>
          <w:sz w:val="32"/>
          <w:highlight w:val="none"/>
          <w:lang w:val="en-US" w:eastAsia="zh-CN"/>
        </w:rPr>
        <w:t>发展。</w:t>
      </w:r>
      <w:r>
        <w:rPr>
          <w:rFonts w:ascii="Times New Roman" w:hAnsi="Times New Roman" w:eastAsia="仿宋_GB2312" w:cs="Times New Roman"/>
          <w:i w:val="0"/>
          <w:iCs/>
          <w:color w:val="auto"/>
          <w:sz w:val="32"/>
          <w:szCs w:val="32"/>
          <w:highlight w:val="none"/>
          <w:lang w:val="en-US" w:eastAsia="zh-CN"/>
        </w:rPr>
        <w:t>紧扣“动车时代”千万游客流量机遇，聚力推动文旅融合</w:t>
      </w:r>
      <w:r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实现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，</w:t>
      </w:r>
      <w:r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成功举办“聚力成籽千钧重 奋斗为实万事兴”群众工作石榴籽工程主题晚会、“巾帼聚力创荣光·实干筑就新典范”三八国际妇女节专场文艺演出，同时依托妇女节活动平台，在松州广场开展非遗项目展示及农特产品展销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，举办</w:t>
      </w:r>
      <w:r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2026年第七届黄龙极限耐力赛，营造浓厚全民健身氛围。</w:t>
      </w:r>
    </w:p>
    <w:p w14:paraId="60A1107E">
      <w:pPr>
        <w:keepNext w:val="0"/>
        <w:keepLines w:val="0"/>
        <w:pageBreakBefore w:val="0"/>
        <w:widowControl w:val="0"/>
        <w:pBdr>
          <w:bottom w:val="single" w:color="FFFFFF" w:sz="4" w:space="13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6" w:lineRule="exact"/>
        <w:ind w:left="0" w:leftChars="0" w:firstLine="643" w:firstLineChars="200"/>
        <w:textAlignment w:val="auto"/>
        <w:rPr>
          <w:rFonts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/>
          <w:bCs/>
          <w:color w:val="auto"/>
          <w:sz w:val="32"/>
          <w:szCs w:val="32"/>
          <w:highlight w:val="none"/>
        </w:rPr>
        <w:t>提速加码交通建设</w:t>
      </w:r>
      <w:r>
        <w:rPr>
          <w:rFonts w:hint="eastAsia" w:ascii="Times New Roman" w:hAnsi="Times New Roman" w:eastAsia="仿宋_GB2312" w:cs="Times New Roman"/>
          <w:b/>
          <w:bCs/>
          <w:color w:val="auto"/>
          <w:sz w:val="32"/>
          <w:szCs w:val="32"/>
          <w:highlight w:val="none"/>
          <w:lang w:eastAsia="zh-CN"/>
        </w:rPr>
        <w:t>。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统筹各类资金，梳理实施续建、新建、前期储备三类交通项目22个，坚持分类管控、梯次推进，国道及岷江干流沿线生态退化区域生态修复工程全面完工，S313镇草路、S313草阿路工程有序推进，G213松潘尕力台综合服务区进入收尾阶段。城乡公交站牌升级、农村客运智能化提升、C016金瓶岩村桥等项目相继启动。有效满足旅客换乘出行需求，川青铁路松潘县境内4个站点累计到发旅客241.98万人次，公铁接驳累计服务旅客89.33万人次，接驳率达36.91% 。</w:t>
      </w:r>
    </w:p>
    <w:p w14:paraId="69E5FC15">
      <w:pPr>
        <w:keepNext w:val="0"/>
        <w:keepLines w:val="0"/>
        <w:pageBreakBefore w:val="0"/>
        <w:widowControl w:val="0"/>
        <w:pBdr>
          <w:bottom w:val="single" w:color="FFFFFF" w:sz="4" w:space="13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6" w:lineRule="exact"/>
        <w:ind w:left="0" w:firstLine="643" w:firstLineChars="200"/>
        <w:textAlignment w:val="auto"/>
        <w:rPr>
          <w:rFonts w:ascii="Times New Roman" w:hAnsi="Times New Roman" w:eastAsia="仿宋_GB2312" w:cs="Times New Roman"/>
          <w:sz w:val="32"/>
          <w:szCs w:val="32"/>
          <w:highlight w:val="none"/>
          <w:lang w:eastAsia="zh-CN"/>
        </w:rPr>
      </w:pPr>
      <w:r>
        <w:rPr>
          <w:rFonts w:hint="eastAsia" w:ascii="Times New Roman" w:hAnsi="Times New Roman" w:eastAsia="仿宋_GB2312" w:cs="仿宋_GB2312"/>
          <w:b/>
          <w:bCs/>
          <w:color w:val="auto"/>
          <w:kern w:val="0"/>
          <w:sz w:val="32"/>
          <w:szCs w:val="32"/>
          <w:highlight w:val="none"/>
          <w:lang w:val="en-US" w:eastAsia="zh-CN"/>
        </w:rPr>
        <w:t>全面推进城市更新。</w:t>
      </w:r>
      <w:r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坚持“筑巢引凤”又要“固巢养凤”的生财理念，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除已发行的古城、金坑坝专项债项目外，全力争取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松潘县川主寺镇片区老旧街区改造、松潘县东门片区老旧街区改造、松潘古城景区旅游基础设施建设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专项债项目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3个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，概算投资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31000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万元。县级投入资金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3909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万元，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推进</w:t>
      </w:r>
      <w:r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顺江至外城区域环境综合</w:t>
      </w:r>
      <w:r>
        <w:rPr>
          <w:rFonts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治理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、</w:t>
      </w:r>
      <w:r>
        <w:rPr>
          <w:rFonts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顺城北路停车场、外城区域市民活动中心等项目建设，切实将“千</w:t>
      </w:r>
      <w:r>
        <w:rPr>
          <w:rFonts w:ascii="Times New Roman" w:hAnsi="Times New Roman" w:eastAsia="仿宋_GB2312" w:cs="Times New Roman"/>
          <w:sz w:val="32"/>
          <w:szCs w:val="32"/>
          <w:highlight w:val="none"/>
          <w:lang w:eastAsia="zh-CN"/>
        </w:rPr>
        <w:t>万游客”流量变成流量资产，持续吸引更多企业和投资向松潘集聚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eastAsia="zh-CN"/>
        </w:rPr>
        <w:t>。</w:t>
      </w:r>
    </w:p>
    <w:p w14:paraId="244F16E1">
      <w:pPr>
        <w:keepNext w:val="0"/>
        <w:keepLines w:val="0"/>
        <w:pageBreakBefore w:val="0"/>
        <w:widowControl w:val="0"/>
        <w:pBdr>
          <w:bottom w:val="single" w:color="FFFFFF" w:sz="4" w:space="13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6" w:lineRule="exact"/>
        <w:ind w:left="0" w:firstLine="643" w:firstLineChars="200"/>
        <w:textAlignment w:val="auto"/>
        <w:rPr>
          <w:rFonts w:hint="eastAsia" w:ascii="楷体_GB2312" w:eastAsia="楷体_GB2312" w:cs="楷体_GB2312"/>
          <w:b/>
          <w:bCs/>
          <w:color w:val="auto"/>
          <w:sz w:val="32"/>
          <w:szCs w:val="32"/>
          <w:lang w:val="en-US" w:eastAsia="zh-CN"/>
        </w:rPr>
      </w:pPr>
      <w:r>
        <w:rPr>
          <w:rFonts w:hint="eastAsia" w:ascii="楷体_GB2312" w:eastAsia="楷体_GB2312" w:cs="楷体_GB2312"/>
          <w:b/>
          <w:bCs/>
          <w:color w:val="auto"/>
          <w:sz w:val="32"/>
          <w:szCs w:val="32"/>
          <w:lang w:val="en-US" w:eastAsia="zh-CN"/>
        </w:rPr>
        <w:t>（五）</w:t>
      </w:r>
      <w:r>
        <w:rPr>
          <w:rFonts w:hint="eastAsia" w:ascii="楷体_GB2312" w:eastAsia="楷体_GB2312" w:cs="楷体_GB2312"/>
          <w:b/>
          <w:bCs/>
          <w:color w:val="auto"/>
          <w:sz w:val="32"/>
          <w:szCs w:val="32"/>
          <w:highlight w:val="none"/>
          <w:lang w:val="en-US" w:eastAsia="zh-CN"/>
        </w:rPr>
        <w:t>聚焦</w:t>
      </w:r>
      <w:r>
        <w:rPr>
          <w:rFonts w:hint="eastAsia" w:ascii="楷体_GB2312" w:eastAsia="楷体_GB2312" w:cs="楷体_GB2312"/>
          <w:b/>
          <w:bCs/>
          <w:color w:val="auto"/>
          <w:sz w:val="32"/>
          <w:szCs w:val="32"/>
          <w:lang w:val="en-US" w:eastAsia="zh-CN"/>
        </w:rPr>
        <w:t>厚植生态本色，建设美丽宜居家园。</w:t>
      </w:r>
    </w:p>
    <w:p w14:paraId="1102763F">
      <w:pPr>
        <w:keepNext w:val="0"/>
        <w:keepLines w:val="0"/>
        <w:pageBreakBefore w:val="0"/>
        <w:widowControl w:val="0"/>
        <w:pBdr>
          <w:bottom w:val="single" w:color="FFFFFF" w:sz="4" w:space="13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6" w:lineRule="exact"/>
        <w:ind w:left="0" w:firstLine="643" w:firstLineChars="200"/>
        <w:textAlignment w:val="auto"/>
        <w:rPr>
          <w:rFonts w:ascii="Times New Roman" w:hAnsi="Times New Roman" w:eastAsia="仿宋_GB2312" w:cs="Times New Roman"/>
          <w:color w:val="auto"/>
          <w:spacing w:val="-20"/>
          <w:sz w:val="32"/>
          <w:szCs w:val="32"/>
          <w:highlight w:val="none"/>
          <w:lang w:val="en-US" w:eastAsia="zh-CN"/>
        </w:rPr>
      </w:pPr>
      <w:r>
        <w:rPr>
          <w:rFonts w:ascii="Times New Roman" w:hAnsi="Times New Roman" w:eastAsia="仿宋_GB2312" w:cs="Times New Roman"/>
          <w:b/>
          <w:bCs/>
          <w:color w:val="auto"/>
          <w:sz w:val="32"/>
          <w:szCs w:val="32"/>
          <w:highlight w:val="none"/>
        </w:rPr>
        <w:t>生态建设步伐加快</w:t>
      </w:r>
      <w:r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</w:rPr>
        <w:t>。加快森林抚育、</w:t>
      </w:r>
      <w:r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矿山保护修复、重点流域横向生态保护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，</w:t>
      </w:r>
      <w:r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</w:rPr>
        <w:t>积极统筹资金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2519</w:t>
      </w:r>
      <w:r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</w:rPr>
        <w:t>万元，着力推动草原湿地重要生态功能区保护修复提质增效建设</w:t>
      </w:r>
      <w:r>
        <w:rPr>
          <w:rFonts w:hint="eastAsia" w:eastAsia="仿宋_GB2312" w:cs="Times New Roman"/>
          <w:color w:val="auto"/>
          <w:sz w:val="32"/>
          <w:szCs w:val="32"/>
          <w:highlight w:val="none"/>
          <w:lang w:eastAsia="zh-CN"/>
        </w:rPr>
        <w:t>，</w:t>
      </w:r>
      <w:r>
        <w:rPr>
          <w:rFonts w:ascii="Times New Roman" w:hAnsi="Times New Roman" w:eastAsia="仿宋_GB2312" w:cs="Times New Roman"/>
          <w:b w:val="0"/>
          <w:bCs/>
          <w:color w:val="auto"/>
          <w:kern w:val="2"/>
          <w:sz w:val="32"/>
          <w:szCs w:val="32"/>
          <w:highlight w:val="none"/>
          <w:lang w:val="en-US" w:eastAsia="zh-CN"/>
        </w:rPr>
        <w:t>实施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zh-CN"/>
        </w:rPr>
        <w:t>松潘县2026年第二批</w:t>
      </w:r>
      <w:r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  <w:lang w:val="zh-CN"/>
        </w:rPr>
        <w:t>“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zh-CN"/>
        </w:rPr>
        <w:t>天府森林四库</w:t>
      </w:r>
      <w:r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  <w:lang w:val="zh-CN"/>
        </w:rPr>
        <w:t>”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zh-CN"/>
        </w:rPr>
        <w:t>项目实施黑土滩治理、草原虫害治理</w:t>
      </w:r>
      <w:r>
        <w:rPr>
          <w:rFonts w:hint="eastAsia" w:ascii="Times New Roman" w:hAnsi="Times New Roman" w:eastAsia="仿宋_GB2312" w:cs="Times New Roman"/>
          <w:b w:val="0"/>
          <w:bCs/>
          <w:color w:val="auto"/>
          <w:kern w:val="2"/>
          <w:sz w:val="32"/>
          <w:szCs w:val="32"/>
          <w:highlight w:val="none"/>
          <w:lang w:val="en-US" w:eastAsia="zh-CN"/>
        </w:rPr>
        <w:t>，</w:t>
      </w:r>
      <w:r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聘请湿地管护员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163</w:t>
      </w:r>
      <w:r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名，管护湿地8.24万亩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，</w:t>
      </w:r>
      <w:r>
        <w:rPr>
          <w:rFonts w:ascii="Times New Roman" w:hAnsi="Times New Roman" w:eastAsia="仿宋_GB2312" w:cs="Times New Roman"/>
          <w:color w:val="auto"/>
          <w:spacing w:val="-20"/>
          <w:sz w:val="32"/>
          <w:szCs w:val="32"/>
          <w:highlight w:val="none"/>
        </w:rPr>
        <w:t>促进生态环境持续改善。</w:t>
      </w:r>
    </w:p>
    <w:p w14:paraId="5957CD15">
      <w:pPr>
        <w:keepNext w:val="0"/>
        <w:keepLines w:val="0"/>
        <w:pageBreakBefore w:val="0"/>
        <w:widowControl w:val="0"/>
        <w:pBdr>
          <w:bottom w:val="single" w:color="FFFFFF" w:sz="4" w:space="13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6" w:lineRule="exact"/>
        <w:ind w:left="0" w:firstLine="643" w:firstLineChars="200"/>
        <w:textAlignment w:val="auto"/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ascii="Times New Roman" w:hAnsi="Times New Roman" w:eastAsia="仿宋_GB2312" w:cs="Times New Roman"/>
          <w:b/>
          <w:bCs/>
          <w:color w:val="auto"/>
          <w:sz w:val="32"/>
          <w:szCs w:val="32"/>
          <w:highlight w:val="none"/>
        </w:rPr>
        <w:t>人居环境不断改善。</w:t>
      </w:r>
      <w:r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</w:rPr>
        <w:t>综合运用财政资金引导，压实“四控”举措，全力推动农村生活污水治理“千村示范工程”，抓实排污许可、企业自行监测、土壤污染隐患排查“回头看”等工作，始终坚持问题导向，细化各领域任务目标，落实生态环境保护问题常态化排查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，</w:t>
      </w:r>
      <w:r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推进“2+5”环境专项整治和“三化、两提升”工作，扎实开展“十乱”问题整治，城镇生活垃圾无害化处理率达100%。</w:t>
      </w:r>
    </w:p>
    <w:p w14:paraId="3D010E77">
      <w:pPr>
        <w:keepNext w:val="0"/>
        <w:keepLines w:val="0"/>
        <w:pageBreakBefore w:val="0"/>
        <w:widowControl w:val="0"/>
        <w:pBdr>
          <w:bottom w:val="single" w:color="FFFFFF" w:sz="4" w:space="13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6" w:lineRule="exact"/>
        <w:ind w:left="0" w:firstLine="643" w:firstLineChars="200"/>
        <w:textAlignment w:val="auto"/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Times New Roman" w:hAnsi="Times New Roman" w:eastAsia="仿宋_GB2312" w:cs="Times New Roman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全域治理落地见效</w:t>
      </w:r>
      <w:r>
        <w:rPr>
          <w:rFonts w:ascii="Times New Roman" w:hAnsi="Times New Roman" w:eastAsia="仿宋_GB2312" w:cs="Times New Roman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。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安排资金4410</w:t>
      </w:r>
      <w:r>
        <w:rPr>
          <w:rFonts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万元，实施污水垃圾处理、地质灾害搬迁、林业保护、农村环境整治等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，</w:t>
      </w:r>
      <w:r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聚焦农业环境保护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，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zh-CN"/>
        </w:rPr>
        <w:t>污水管网建设项目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zh-CN" w:eastAsia="zh-CN"/>
        </w:rPr>
        <w:t>，污水处理设施建设运行费用等。</w:t>
      </w:r>
      <w:r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聚焦农业面源污染治理，切实强化农业环境保护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。</w:t>
      </w:r>
      <w:r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持续完善国土空间规划体系，推进国土空间动态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维护调整</w:t>
      </w:r>
      <w:r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，中心城区、川主寺城区控规及村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级片区</w:t>
      </w:r>
      <w:r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规划编制工作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，</w:t>
      </w:r>
      <w:r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稳步实施7个乡镇20个村城乡建设用地增减挂钩项目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。</w:t>
      </w:r>
    </w:p>
    <w:p w14:paraId="673C4F8F">
      <w:pPr>
        <w:keepNext w:val="0"/>
        <w:keepLines w:val="0"/>
        <w:pageBreakBefore w:val="0"/>
        <w:widowControl w:val="0"/>
        <w:pBdr>
          <w:bottom w:val="single" w:color="FFFFFF" w:sz="4" w:space="13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6" w:lineRule="exact"/>
        <w:ind w:left="0" w:firstLine="643" w:firstLineChars="200"/>
        <w:textAlignment w:val="auto"/>
        <w:rPr>
          <w:rFonts w:hint="eastAsia" w:ascii="楷体_GB2312" w:eastAsia="楷体_GB2312" w:cs="楷体_GB2312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楷体_GB2312" w:eastAsia="楷体_GB2312" w:cs="楷体_GB2312"/>
          <w:b/>
          <w:bCs/>
          <w:color w:val="auto"/>
          <w:sz w:val="32"/>
          <w:szCs w:val="32"/>
          <w:highlight w:val="none"/>
          <w:lang w:val="en-US" w:eastAsia="zh-CN"/>
        </w:rPr>
        <w:t>（六）聚焦赋能改革攻坚，精进财政治理效能。</w:t>
      </w:r>
    </w:p>
    <w:p w14:paraId="1B14E800">
      <w:pPr>
        <w:keepNext w:val="0"/>
        <w:keepLines w:val="0"/>
        <w:pageBreakBefore w:val="0"/>
        <w:widowControl w:val="0"/>
        <w:pBdr>
          <w:bottom w:val="single" w:color="FFFFFF" w:sz="4" w:space="13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6" w:lineRule="exact"/>
        <w:ind w:left="0" w:firstLine="643" w:firstLineChars="200"/>
        <w:textAlignment w:val="auto"/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shd w:val="clear" w:color="auto" w:fill="auto"/>
          <w:lang w:val="en-US" w:eastAsia="zh-CN"/>
        </w:rPr>
      </w:pPr>
      <w:r>
        <w:rPr>
          <w:rFonts w:hint="eastAsia" w:ascii="仿宋_GB2312" w:eastAsia="仿宋_GB2312" w:cs="仿宋_GB2312"/>
          <w:b/>
          <w:bCs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财政管理数字化全流程提质增效。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2026</w:t>
      </w:r>
      <w:r>
        <w:rPr>
          <w:rFonts w:hint="eastAsia" w:ascii="仿宋_GB2312" w:eastAsia="仿宋_GB2312" w:cs="仿宋_GB2312"/>
          <w:b w:val="0"/>
          <w:bCs w:val="0"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年上半年累计完成各类政府采购项目备案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89</w:t>
      </w:r>
      <w:r>
        <w:rPr>
          <w:rFonts w:hint="eastAsia" w:ascii="仿宋_GB2312" w:eastAsia="仿宋_GB2312" w:cs="仿宋_GB2312"/>
          <w:b w:val="0"/>
          <w:bCs w:val="0"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项，预算下达金额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9871</w:t>
      </w:r>
      <w:r>
        <w:rPr>
          <w:rFonts w:hint="eastAsia" w:ascii="仿宋_GB2312" w:eastAsia="仿宋_GB2312" w:cs="仿宋_GB2312"/>
          <w:b w:val="0"/>
          <w:bCs w:val="0"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万元，中标（成交）资金总额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9509</w:t>
      </w:r>
      <w:r>
        <w:rPr>
          <w:rFonts w:hint="eastAsia" w:ascii="仿宋_GB2312" w:eastAsia="仿宋_GB2312" w:cs="仿宋_GB2312"/>
          <w:b w:val="0"/>
          <w:bCs w:val="0"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万元。政府采购投诉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10</w:t>
      </w:r>
      <w:r>
        <w:rPr>
          <w:rFonts w:hint="eastAsia" w:ascii="仿宋_GB2312" w:eastAsia="仿宋_GB2312" w:cs="仿宋_GB2312"/>
          <w:b w:val="0"/>
          <w:bCs w:val="0"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件、移送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2</w:t>
      </w:r>
      <w:r>
        <w:rPr>
          <w:rFonts w:hint="eastAsia" w:ascii="仿宋_GB2312" w:eastAsia="仿宋_GB2312" w:cs="仿宋_GB2312"/>
          <w:b w:val="0"/>
          <w:bCs w:val="0"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件、举报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1</w:t>
      </w:r>
      <w:r>
        <w:rPr>
          <w:rFonts w:hint="eastAsia" w:ascii="仿宋_GB2312" w:eastAsia="仿宋_GB2312" w:cs="仿宋_GB2312"/>
          <w:b w:val="0"/>
          <w:bCs w:val="0"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件，共计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13</w:t>
      </w:r>
      <w:r>
        <w:rPr>
          <w:rFonts w:hint="eastAsia" w:ascii="仿宋_GB2312" w:eastAsia="仿宋_GB2312" w:cs="仿宋_GB2312"/>
          <w:b w:val="0"/>
          <w:bCs w:val="0"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件，其中：办结投诉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9</w:t>
      </w:r>
      <w:r>
        <w:rPr>
          <w:rFonts w:hint="eastAsia" w:ascii="仿宋_GB2312" w:eastAsia="仿宋_GB2312" w:cs="仿宋_GB2312"/>
          <w:b w:val="0"/>
          <w:bCs w:val="0"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件、移送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1</w:t>
      </w:r>
      <w:r>
        <w:rPr>
          <w:rFonts w:hint="eastAsia" w:ascii="仿宋_GB2312" w:eastAsia="仿宋_GB2312" w:cs="仿宋_GB2312"/>
          <w:b w:val="0"/>
          <w:bCs w:val="0"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件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；财政投资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评审上半年审核项目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50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个，</w:t>
      </w:r>
      <w:r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送审金额34016万元，审定金额30492万元，审减金额3524万元，审减率10.36%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；</w:t>
      </w:r>
      <w:r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受理政府性投资竣工结算审核项目16个，建设单位确认定案项目8个，送审金额9006万元，审定金额8213万元，审减金额793万元，审减率8.81%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，从源头节约政府投资成本。</w:t>
      </w:r>
    </w:p>
    <w:p w14:paraId="7FB5B97E">
      <w:pPr>
        <w:keepNext w:val="0"/>
        <w:keepLines w:val="0"/>
        <w:pageBreakBefore w:val="0"/>
        <w:widowControl w:val="0"/>
        <w:pBdr>
          <w:bottom w:val="single" w:color="FFFFFF" w:sz="4" w:space="13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6" w:lineRule="exact"/>
        <w:ind w:left="0" w:firstLine="643" w:firstLineChars="200"/>
        <w:textAlignment w:val="auto"/>
        <w:rPr>
          <w:rFonts w:hint="eastAsia" w:ascii="Times New Roman" w:hAnsi="Times New Roman" w:eastAsia="仿宋_GB2312" w:cs="Times New Roman"/>
          <w:b/>
          <w:bCs/>
          <w:color w:val="auto"/>
          <w:kern w:val="0"/>
          <w:sz w:val="32"/>
          <w:szCs w:val="32"/>
          <w:highlight w:val="none"/>
          <w:lang w:val="zh-CN" w:eastAsia="zh-CN"/>
        </w:rPr>
      </w:pPr>
      <w:r>
        <w:rPr>
          <w:rFonts w:hint="eastAsia" w:ascii="Times New Roman" w:hAnsi="Times New Roman" w:eastAsia="仿宋_GB2312" w:cs="Times New Roman"/>
          <w:b/>
          <w:bCs/>
          <w:color w:val="auto"/>
          <w:kern w:val="0"/>
          <w:sz w:val="32"/>
          <w:szCs w:val="32"/>
          <w:highlight w:val="none"/>
          <w:lang w:val="zh-CN" w:eastAsia="zh-CN"/>
        </w:rPr>
        <w:t>国企培优提质全方位蓄势赋能。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kern w:val="0"/>
          <w:sz w:val="32"/>
          <w:szCs w:val="32"/>
          <w:highlight w:val="none"/>
          <w:lang w:val="zh-CN" w:eastAsia="zh-CN"/>
        </w:rPr>
        <w:t>聚焦放权赋能，以营收增长率、资产负债率、资产闲置率等核心指标考核企业绩效，建立</w:t>
      </w:r>
      <w:r>
        <w:rPr>
          <w:rFonts w:ascii="Times New Roman" w:hAnsi="Times New Roman" w:eastAsia="仿宋_GB2312" w:cs="Times New Roman"/>
          <w:b w:val="0"/>
          <w:bCs w:val="0"/>
          <w:color w:val="auto"/>
          <w:kern w:val="0"/>
          <w:sz w:val="32"/>
          <w:szCs w:val="32"/>
          <w:highlight w:val="none"/>
          <w:lang w:val="zh-CN" w:eastAsia="zh-CN"/>
        </w:rPr>
        <w:t>“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kern w:val="0"/>
          <w:sz w:val="32"/>
          <w:szCs w:val="32"/>
          <w:highlight w:val="none"/>
          <w:lang w:val="zh-CN" w:eastAsia="zh-CN"/>
        </w:rPr>
        <w:t>业绩升、薪酬升，业绩降、薪酬降</w:t>
      </w:r>
      <w:r>
        <w:rPr>
          <w:rFonts w:ascii="Times New Roman" w:hAnsi="Times New Roman" w:eastAsia="仿宋_GB2312" w:cs="Times New Roman"/>
          <w:b w:val="0"/>
          <w:bCs w:val="0"/>
          <w:color w:val="auto"/>
          <w:kern w:val="0"/>
          <w:sz w:val="32"/>
          <w:szCs w:val="32"/>
          <w:highlight w:val="none"/>
          <w:lang w:val="zh-CN" w:eastAsia="zh-CN"/>
        </w:rPr>
        <w:t>”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kern w:val="0"/>
          <w:sz w:val="32"/>
          <w:szCs w:val="32"/>
          <w:highlight w:val="none"/>
          <w:lang w:val="zh-CN" w:eastAsia="zh-CN"/>
        </w:rPr>
        <w:t>的强激励硬约束机制。出台《松潘县县属国有企业</w:t>
      </w:r>
      <w:r>
        <w:rPr>
          <w:rFonts w:ascii="Times New Roman" w:hAnsi="Times New Roman" w:eastAsia="仿宋_GB2312" w:cs="Times New Roman"/>
          <w:b w:val="0"/>
          <w:bCs w:val="0"/>
          <w:color w:val="auto"/>
          <w:kern w:val="0"/>
          <w:sz w:val="32"/>
          <w:szCs w:val="32"/>
          <w:highlight w:val="none"/>
          <w:lang w:val="zh-CN" w:eastAsia="zh-CN"/>
        </w:rPr>
        <w:t>“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kern w:val="0"/>
          <w:sz w:val="32"/>
          <w:szCs w:val="32"/>
          <w:highlight w:val="none"/>
          <w:lang w:val="zh-CN" w:eastAsia="zh-CN"/>
        </w:rPr>
        <w:t>三重一大</w:t>
      </w:r>
      <w:r>
        <w:rPr>
          <w:rFonts w:ascii="Times New Roman" w:hAnsi="Times New Roman" w:eastAsia="仿宋_GB2312" w:cs="Times New Roman"/>
          <w:b w:val="0"/>
          <w:bCs w:val="0"/>
          <w:color w:val="auto"/>
          <w:kern w:val="0"/>
          <w:sz w:val="32"/>
          <w:szCs w:val="32"/>
          <w:highlight w:val="none"/>
          <w:lang w:val="zh-CN" w:eastAsia="zh-CN"/>
        </w:rPr>
        <w:t>”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kern w:val="0"/>
          <w:sz w:val="32"/>
          <w:szCs w:val="32"/>
          <w:highlight w:val="none"/>
          <w:lang w:val="zh-CN" w:eastAsia="zh-CN"/>
        </w:rPr>
        <w:t>决策制度实施办法》《松潘县国资监管部门和县属国有企业权责清单管理办法》及投资管理等系列</w:t>
      </w:r>
      <w:r>
        <w:rPr>
          <w:rFonts w:hint="eastAsia" w:eastAsia="仿宋_GB2312" w:cs="Times New Roman"/>
          <w:b w:val="0"/>
          <w:bCs w:val="0"/>
          <w:color w:val="auto"/>
          <w:kern w:val="0"/>
          <w:sz w:val="32"/>
          <w:szCs w:val="32"/>
          <w:highlight w:val="none"/>
          <w:lang w:val="en-US" w:eastAsia="zh-CN"/>
        </w:rPr>
        <w:t>管理办法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kern w:val="0"/>
          <w:sz w:val="32"/>
          <w:szCs w:val="32"/>
          <w:highlight w:val="none"/>
          <w:lang w:val="zh-CN" w:eastAsia="zh-CN"/>
        </w:rPr>
        <w:t>，明确企业在人员、产权、投融资等方面的主体责任，推动企业加快市场化转型，企业发展活力与内生动能持续增强。</w:t>
      </w:r>
    </w:p>
    <w:p w14:paraId="7B26C6E4">
      <w:pPr>
        <w:keepNext w:val="0"/>
        <w:keepLines w:val="0"/>
        <w:pageBreakBefore w:val="0"/>
        <w:widowControl w:val="0"/>
        <w:pBdr>
          <w:bottom w:val="single" w:color="FFFFFF" w:sz="4" w:space="13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6" w:lineRule="exact"/>
        <w:ind w:left="0" w:firstLine="643" w:firstLineChars="200"/>
        <w:textAlignment w:val="auto"/>
        <w:rPr>
          <w:rFonts w:hint="eastAsia" w:ascii="Times New Roman" w:hAnsi="Times New Roman" w:eastAsia="仿宋_GB2312" w:cs="Times New Roman"/>
          <w:b w:val="0"/>
          <w:bCs w:val="0"/>
          <w:color w:val="auto"/>
          <w:kern w:val="0"/>
          <w:sz w:val="32"/>
          <w:szCs w:val="32"/>
          <w:highlight w:val="none"/>
          <w:lang w:val="zh-CN" w:eastAsia="zh-CN"/>
        </w:rPr>
      </w:pPr>
      <w:r>
        <w:rPr>
          <w:rFonts w:hint="eastAsia" w:ascii="Times New Roman" w:hAnsi="Times New Roman" w:eastAsia="仿宋_GB2312" w:cs="Times New Roman"/>
          <w:b/>
          <w:bCs/>
          <w:color w:val="auto"/>
          <w:kern w:val="0"/>
          <w:sz w:val="32"/>
          <w:szCs w:val="32"/>
          <w:highlight w:val="none"/>
          <w:lang w:val="zh-CN" w:eastAsia="zh-CN"/>
        </w:rPr>
        <w:t>闲置低效资产全域清查盘活攻坚。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kern w:val="0"/>
          <w:sz w:val="32"/>
          <w:szCs w:val="32"/>
          <w:highlight w:val="none"/>
          <w:lang w:val="zh-CN" w:eastAsia="zh-CN"/>
        </w:rPr>
        <w:t>全面统筹推进闲置低效资产清查盘活工作，制定《松潘县闲置低效资产盘活利用工作实施方案》，聚集土地、矿产、房屋、农村经营性资产、基础设施、科研仪器设备、公益性资产等7类重点资产资源，全域开展资产清查，梳理闲置低效资产64项，资产价值为11549万元，盘活低效闲置资44项，盘活资产价值638</w:t>
      </w:r>
      <w:r>
        <w:rPr>
          <w:rFonts w:hint="eastAsia" w:eastAsia="仿宋_GB2312" w:cs="Times New Roman"/>
          <w:b w:val="0"/>
          <w:bCs w:val="0"/>
          <w:color w:val="auto"/>
          <w:kern w:val="0"/>
          <w:sz w:val="32"/>
          <w:szCs w:val="32"/>
          <w:highlight w:val="none"/>
          <w:lang w:val="en-US" w:eastAsia="zh-CN"/>
        </w:rPr>
        <w:t>5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kern w:val="0"/>
          <w:sz w:val="32"/>
          <w:szCs w:val="32"/>
          <w:highlight w:val="none"/>
          <w:lang w:val="zh-CN" w:eastAsia="zh-CN"/>
        </w:rPr>
        <w:t>万元。</w:t>
      </w:r>
    </w:p>
    <w:p w14:paraId="330D7886">
      <w:pPr>
        <w:keepNext w:val="0"/>
        <w:keepLines w:val="0"/>
        <w:pageBreakBefore w:val="0"/>
        <w:widowControl w:val="0"/>
        <w:pBdr>
          <w:bottom w:val="single" w:color="FFFFFF" w:sz="4" w:space="13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6" w:lineRule="exact"/>
        <w:ind w:left="0" w:firstLine="643" w:firstLineChars="200"/>
        <w:textAlignment w:val="auto"/>
        <w:rPr>
          <w:rFonts w:hint="eastAsia" w:ascii="楷体_GB2312" w:eastAsia="楷体_GB2312" w:cs="楷体_GB2312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楷体_GB2312" w:eastAsia="楷体_GB2312" w:cs="楷体_GB2312"/>
          <w:b/>
          <w:bCs/>
          <w:color w:val="auto"/>
          <w:sz w:val="32"/>
          <w:szCs w:val="32"/>
          <w:highlight w:val="none"/>
          <w:lang w:val="en-US" w:eastAsia="zh-CN"/>
        </w:rPr>
        <w:t>（七）聚焦夯实监管体系，筑牢依法理财防线。</w:t>
      </w:r>
    </w:p>
    <w:p w14:paraId="26E22C6E">
      <w:pPr>
        <w:keepNext w:val="0"/>
        <w:keepLines w:val="0"/>
        <w:pageBreakBefore w:val="0"/>
        <w:widowControl w:val="0"/>
        <w:pBdr>
          <w:bottom w:val="single" w:color="FFFFFF" w:sz="4" w:space="13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6" w:lineRule="exact"/>
        <w:ind w:left="0" w:firstLine="643" w:firstLineChars="200"/>
        <w:textAlignment w:val="auto"/>
        <w:rPr>
          <w:rFonts w:hint="eastAsia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筑牢财金风险防线。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坚守“三保”底线，始终坚持“三保”优先序列，实行“三保”预算全覆盖审核，到人到户资金及时足额拨付到位，全县“三保”支出拨付进度50%。严控债务红线，强化预算约束，持续强化国有企业债务管控。筑牢金融防线，</w:t>
      </w:r>
      <w:r>
        <w:rPr>
          <w:rFonts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为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42</w:t>
      </w:r>
      <w:r>
        <w:rPr>
          <w:rFonts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户中小微企业提供贷款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46</w:t>
      </w:r>
      <w:r>
        <w:rPr>
          <w:rFonts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笔，放款规模达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1502</w:t>
      </w:r>
      <w:r>
        <w:rPr>
          <w:rFonts w:hint="eastAsia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1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万</w:t>
      </w:r>
      <w:r>
        <w:rPr>
          <w:rFonts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元，建立防范和打击非法金融活动工作机制，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压实属地管理和银行机构主体责任，严厉打击非法金融活动，金融风险总体可控。</w:t>
      </w:r>
    </w:p>
    <w:p w14:paraId="107888CB">
      <w:pPr>
        <w:keepNext w:val="0"/>
        <w:keepLines w:val="0"/>
        <w:pageBreakBefore w:val="0"/>
        <w:widowControl w:val="0"/>
        <w:pBdr>
          <w:bottom w:val="single" w:color="FFFFFF" w:sz="4" w:space="13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6" w:lineRule="exact"/>
        <w:ind w:left="0" w:firstLine="643" w:firstLineChars="200"/>
        <w:textAlignment w:val="auto"/>
        <w:rPr>
          <w:rFonts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ascii="Times New Roman" w:hAnsi="Times New Roman" w:eastAsia="仿宋_GB2312" w:cs="Times New Roman"/>
          <w:b/>
          <w:bCs/>
          <w:color w:val="auto"/>
          <w:sz w:val="32"/>
          <w:szCs w:val="32"/>
          <w:highlight w:val="none"/>
          <w:lang w:val="en-US" w:eastAsia="zh-CN"/>
        </w:rPr>
        <w:t>守住财经纪律红线。</w:t>
      </w:r>
      <w:r>
        <w:rPr>
          <w:rFonts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聚焦重点领域突出问题，</w:t>
      </w:r>
      <w:r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</w:rPr>
        <w:t>严格执行《党政机关厉行节约反对浪费条例》，</w:t>
      </w:r>
      <w:r>
        <w:rPr>
          <w:rFonts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开展“三公”经费管理及严肃财经纪律专项抽查、财经纪律重点问题监督检查、乡镇财政资金使用监管方面问题专项整治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，</w:t>
      </w:r>
      <w:r>
        <w:rPr>
          <w:rFonts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推进“一卡通”基础数据核查工作，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45</w:t>
      </w:r>
      <w:r>
        <w:rPr>
          <w:rFonts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项惠民惠农补贴借助“一卡通”平台精准及时发放到位。</w:t>
      </w:r>
      <w:r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推动州县审计、巡视问题整改，</w:t>
      </w:r>
      <w:r>
        <w:rPr>
          <w:rFonts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以强有力的监督举措护航财政资金安全、规范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、</w:t>
      </w:r>
      <w:r>
        <w:rPr>
          <w:rFonts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高效运行。</w:t>
      </w:r>
    </w:p>
    <w:p w14:paraId="7C85DA3B">
      <w:pPr>
        <w:keepNext w:val="0"/>
        <w:keepLines w:val="0"/>
        <w:pageBreakBefore w:val="0"/>
        <w:widowControl w:val="0"/>
        <w:pBdr>
          <w:bottom w:val="single" w:color="FFFFFF" w:sz="4" w:space="13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6" w:lineRule="exact"/>
        <w:ind w:left="0" w:firstLine="643" w:firstLineChars="200"/>
        <w:textAlignment w:val="auto"/>
        <w:rPr>
          <w:rFonts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ascii="Times New Roman" w:hAnsi="Times New Roman" w:eastAsia="仿宋_GB2312" w:cs="Times New Roman"/>
          <w:b/>
          <w:bCs/>
          <w:color w:val="auto"/>
          <w:sz w:val="32"/>
          <w:szCs w:val="32"/>
          <w:highlight w:val="none"/>
          <w:lang w:val="en-US" w:eastAsia="zh-CN"/>
        </w:rPr>
        <w:t>紧扣绩效监管主线。</w:t>
      </w:r>
      <w:r>
        <w:rPr>
          <w:rFonts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推行“常态化监控+重点监控”双线并行，依托预算一体化平台绩效监控模块，实现对全县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72</w:t>
      </w:r>
      <w:r>
        <w:rPr>
          <w:rFonts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家预算单位共计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4080</w:t>
      </w:r>
      <w:r>
        <w:rPr>
          <w:rFonts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个项目监控全覆盖。对照项目设定的绩效目标，逐项核查项目实施进度、资金支付进度、指标完成情况，全面排查资金闲置、支出缓慢、绩效偏差等问题，组织开展财政绩效自评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、</w:t>
      </w:r>
      <w:r>
        <w:rPr>
          <w:rFonts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财政项目（政策）财政重点绩效评价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、</w:t>
      </w:r>
      <w:r>
        <w:rPr>
          <w:rFonts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部门整体支出评价。同步开展对上年度发现问题整改情况的“回头看”，全面提升绩效管理效能。</w:t>
      </w:r>
    </w:p>
    <w:p w14:paraId="56C1DD6C">
      <w:pPr>
        <w:keepNext w:val="0"/>
        <w:keepLines w:val="0"/>
        <w:pageBreakBefore w:val="0"/>
        <w:widowControl w:val="0"/>
        <w:pBdr>
          <w:bottom w:val="single" w:color="FFFFFF" w:sz="4" w:space="13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6" w:lineRule="exact"/>
        <w:ind w:left="0" w:firstLine="640" w:firstLineChars="200"/>
        <w:textAlignment w:val="auto"/>
        <w:rPr>
          <w:rFonts w:ascii="Times New Roman" w:hAnsi="Times New Roman" w:eastAsia="仿宋_GB2312" w:cs="Times New Roman"/>
          <w:bCs/>
          <w:color w:val="auto"/>
          <w:sz w:val="32"/>
          <w:szCs w:val="32"/>
          <w:highlight w:val="none"/>
          <w:shd w:val="clear" w:color="auto" w:fill="auto"/>
          <w:lang w:val="en-US"/>
        </w:rPr>
      </w:pPr>
      <w:r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上半年，财政工作取得了一定成绩，得益于县委、</w:t>
      </w:r>
      <w:r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县政府</w:t>
      </w:r>
      <w:r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统揽全局、</w:t>
      </w:r>
      <w:r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坚强</w:t>
      </w:r>
      <w:r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领导，得益于县人大及其常委会监督指导、支持关心，</w:t>
      </w:r>
      <w:r>
        <w:rPr>
          <w:rFonts w:ascii="Times New Roman" w:hAnsi="Times New Roman" w:eastAsia="仿宋_GB2312" w:cs="Times New Roman"/>
          <w:bCs/>
          <w:color w:val="auto"/>
          <w:kern w:val="2"/>
          <w:sz w:val="32"/>
          <w:szCs w:val="32"/>
          <w:highlight w:val="none"/>
          <w:lang w:val="en-US" w:eastAsia="zh-CN"/>
        </w:rPr>
        <w:t>面对新形势、新任务、新要求，预算管理和财政工作中仍存在一些困难和问题：</w:t>
      </w:r>
      <w:r>
        <w:rPr>
          <w:rFonts w:hint="eastAsia" w:ascii="Times New Roman" w:hAnsi="Times New Roman" w:eastAsia="仿宋_GB2312" w:cs="Times New Roman"/>
          <w:b/>
          <w:bCs w:val="0"/>
          <w:color w:val="auto"/>
          <w:kern w:val="2"/>
          <w:sz w:val="32"/>
          <w:szCs w:val="32"/>
          <w:highlight w:val="none"/>
          <w:lang w:val="en-US" w:eastAsia="zh-CN"/>
        </w:rPr>
        <w:t>一是</w:t>
      </w:r>
      <w:r>
        <w:rPr>
          <w:rFonts w:ascii="Times New Roman" w:hAnsi="Times New Roman" w:eastAsia="仿宋_GB2312" w:cs="Times New Roman"/>
          <w:b w:val="0"/>
          <w:bCs w:val="0"/>
          <w:color w:val="auto"/>
          <w:spacing w:val="-6"/>
          <w:kern w:val="2"/>
          <w:sz w:val="32"/>
          <w:szCs w:val="32"/>
          <w:highlight w:val="none"/>
          <w:lang w:val="en-US" w:eastAsia="zh-CN" w:bidi="ar-SA"/>
        </w:rPr>
        <w:t>支撑财政收入持续稳定增长的财源基础尚不牢固，产业转型升级步伐仍需加快；</w:t>
      </w:r>
      <w:r>
        <w:rPr>
          <w:rFonts w:hint="eastAsia" w:ascii="Times New Roman" w:hAnsi="Times New Roman" w:eastAsia="仿宋_GB2312" w:cs="Times New Roman"/>
          <w:b/>
          <w:bCs/>
          <w:color w:val="auto"/>
          <w:spacing w:val="-6"/>
          <w:kern w:val="2"/>
          <w:sz w:val="32"/>
          <w:szCs w:val="32"/>
          <w:highlight w:val="none"/>
          <w:lang w:val="en-US" w:eastAsia="zh-CN" w:bidi="ar-SA"/>
        </w:rPr>
        <w:t>二是</w:t>
      </w:r>
      <w:r>
        <w:rPr>
          <w:rFonts w:ascii="Times New Roman" w:hAnsi="Times New Roman" w:eastAsia="仿宋_GB2312" w:cs="Times New Roman"/>
          <w:bCs/>
          <w:color w:val="auto"/>
          <w:kern w:val="2"/>
          <w:sz w:val="32"/>
          <w:szCs w:val="32"/>
          <w:highlight w:val="none"/>
          <w:lang w:val="en-US" w:eastAsia="zh-CN"/>
        </w:rPr>
        <w:t>重点领域支出需求持续攀升，</w:t>
      </w:r>
      <w:r>
        <w:rPr>
          <w:rFonts w:ascii="Times New Roman" w:hAnsi="Times New Roman" w:eastAsia="仿宋_GB2312" w:cs="Times New Roman"/>
          <w:b w:val="0"/>
          <w:bCs w:val="0"/>
          <w:color w:val="auto"/>
          <w:spacing w:val="-6"/>
          <w:kern w:val="2"/>
          <w:sz w:val="32"/>
          <w:szCs w:val="32"/>
          <w:highlight w:val="none"/>
          <w:lang w:val="en-US" w:eastAsia="zh-CN" w:bidi="ar-SA"/>
        </w:rPr>
        <w:t>预算刚性约束仍有待加强，</w:t>
      </w:r>
      <w:r>
        <w:rPr>
          <w:rFonts w:ascii="Times New Roman" w:hAnsi="Times New Roman" w:eastAsia="仿宋_GB2312" w:cs="Times New Roman"/>
          <w:bCs/>
          <w:color w:val="auto"/>
          <w:kern w:val="2"/>
          <w:sz w:val="32"/>
          <w:szCs w:val="32"/>
          <w:highlight w:val="none"/>
          <w:lang w:val="en-US" w:eastAsia="zh-CN"/>
        </w:rPr>
        <w:t>财政紧平衡态势凸显；</w:t>
      </w:r>
      <w:r>
        <w:rPr>
          <w:rFonts w:hint="eastAsia" w:ascii="Times New Roman" w:hAnsi="Times New Roman" w:eastAsia="仿宋_GB2312" w:cs="Times New Roman"/>
          <w:b/>
          <w:bCs w:val="0"/>
          <w:color w:val="auto"/>
          <w:kern w:val="2"/>
          <w:sz w:val="32"/>
          <w:szCs w:val="32"/>
          <w:highlight w:val="none"/>
          <w:lang w:val="en-US" w:eastAsia="zh-CN"/>
        </w:rPr>
        <w:t>三是</w:t>
      </w:r>
      <w:r>
        <w:rPr>
          <w:rFonts w:ascii="Times New Roman" w:hAnsi="Times New Roman" w:eastAsia="仿宋_GB2312" w:cs="Times New Roman"/>
          <w:b w:val="0"/>
          <w:bCs w:val="0"/>
          <w:color w:val="auto"/>
          <w:spacing w:val="-6"/>
          <w:kern w:val="2"/>
          <w:sz w:val="32"/>
          <w:szCs w:val="32"/>
          <w:highlight w:val="none"/>
          <w:lang w:val="en-US" w:eastAsia="zh-CN" w:bidi="ar-SA"/>
        </w:rPr>
        <w:t>绩效评价结果运用还不够充分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pacing w:val="-6"/>
          <w:kern w:val="2"/>
          <w:sz w:val="32"/>
          <w:szCs w:val="32"/>
          <w:highlight w:val="none"/>
          <w:lang w:val="en-US" w:eastAsia="zh-CN" w:bidi="ar-SA"/>
        </w:rPr>
        <w:t>，</w:t>
      </w:r>
      <w:r>
        <w:rPr>
          <w:rFonts w:ascii="Times New Roman" w:hAnsi="Times New Roman" w:eastAsia="仿宋_GB2312" w:cs="Times New Roman"/>
          <w:bCs/>
          <w:color w:val="auto"/>
          <w:kern w:val="2"/>
          <w:sz w:val="32"/>
          <w:szCs w:val="32"/>
          <w:highlight w:val="none"/>
          <w:lang w:val="en-US" w:eastAsia="zh-CN"/>
        </w:rPr>
        <w:t>监督结果运用仍需深化</w:t>
      </w:r>
      <w:r>
        <w:rPr>
          <w:rFonts w:ascii="Times New Roman" w:hAnsi="Times New Roman" w:eastAsia="仿宋_GB2312" w:cs="Times New Roman"/>
          <w:b w:val="0"/>
          <w:bCs w:val="0"/>
          <w:color w:val="auto"/>
          <w:spacing w:val="-6"/>
          <w:kern w:val="2"/>
          <w:sz w:val="32"/>
          <w:szCs w:val="32"/>
          <w:highlight w:val="none"/>
          <w:lang w:val="en-US" w:eastAsia="zh-CN" w:bidi="ar-SA"/>
        </w:rPr>
        <w:t>；</w:t>
      </w:r>
      <w:r>
        <w:rPr>
          <w:rFonts w:hint="eastAsia" w:ascii="Times New Roman" w:hAnsi="Times New Roman" w:eastAsia="仿宋_GB2312" w:cs="Times New Roman"/>
          <w:b/>
          <w:bCs/>
          <w:color w:val="auto"/>
          <w:spacing w:val="-6"/>
          <w:kern w:val="2"/>
          <w:sz w:val="32"/>
          <w:szCs w:val="32"/>
          <w:highlight w:val="none"/>
          <w:lang w:val="en-US" w:eastAsia="zh-CN" w:bidi="ar-SA"/>
        </w:rPr>
        <w:t>四是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pacing w:val="-6"/>
          <w:kern w:val="2"/>
          <w:sz w:val="32"/>
          <w:szCs w:val="32"/>
          <w:highlight w:val="none"/>
          <w:lang w:val="en-US" w:eastAsia="zh-CN" w:bidi="ar-SA"/>
        </w:rPr>
        <w:t>县</w:t>
      </w:r>
      <w:r>
        <w:rPr>
          <w:rFonts w:ascii="Times New Roman" w:hAnsi="Times New Roman" w:eastAsia="仿宋_GB2312" w:cs="Times New Roman"/>
          <w:b w:val="0"/>
          <w:bCs w:val="0"/>
          <w:color w:val="auto"/>
          <w:spacing w:val="-6"/>
          <w:kern w:val="2"/>
          <w:sz w:val="32"/>
          <w:szCs w:val="32"/>
          <w:highlight w:val="none"/>
          <w:lang w:val="en-US" w:eastAsia="zh-CN" w:bidi="ar-SA"/>
        </w:rPr>
        <w:t>属国企</w:t>
      </w:r>
      <w:r>
        <w:rPr>
          <w:rFonts w:ascii="Times New Roman" w:hAnsi="Times New Roman" w:eastAsia="仿宋_GB2312" w:cs="Times New Roman"/>
          <w:bCs/>
          <w:color w:val="auto"/>
          <w:kern w:val="2"/>
          <w:sz w:val="32"/>
          <w:szCs w:val="32"/>
          <w:highlight w:val="none"/>
          <w:lang w:eastAsia="zh-CN"/>
        </w:rPr>
        <w:t>运营能力水平差，企业融资渠道</w:t>
      </w:r>
      <w:r>
        <w:rPr>
          <w:rFonts w:hint="eastAsia" w:ascii="Times New Roman" w:hAnsi="Times New Roman" w:eastAsia="仿宋_GB2312" w:cs="Times New Roman"/>
          <w:bCs/>
          <w:color w:val="auto"/>
          <w:kern w:val="2"/>
          <w:sz w:val="32"/>
          <w:szCs w:val="32"/>
          <w:highlight w:val="none"/>
          <w:lang w:eastAsia="zh-CN"/>
        </w:rPr>
        <w:t>狭窄</w:t>
      </w:r>
      <w:r>
        <w:rPr>
          <w:rFonts w:ascii="Times New Roman" w:hAnsi="Times New Roman" w:eastAsia="仿宋_GB2312" w:cs="Times New Roman"/>
          <w:bCs/>
          <w:color w:val="auto"/>
          <w:kern w:val="2"/>
          <w:sz w:val="32"/>
          <w:szCs w:val="32"/>
          <w:highlight w:val="none"/>
          <w:lang w:eastAsia="zh-CN"/>
        </w:rPr>
        <w:t>，</w:t>
      </w:r>
      <w:r>
        <w:rPr>
          <w:rFonts w:hint="eastAsia" w:ascii="Times New Roman" w:hAnsi="Times New Roman" w:eastAsia="仿宋_GB2312" w:cs="Times New Roman"/>
          <w:bCs/>
          <w:color w:val="auto"/>
          <w:kern w:val="2"/>
          <w:sz w:val="32"/>
          <w:szCs w:val="32"/>
          <w:highlight w:val="none"/>
          <w:lang w:eastAsia="zh-CN"/>
        </w:rPr>
        <w:t>内生造血能力薄弱，可持续发展能力有限。</w:t>
      </w:r>
      <w:r>
        <w:rPr>
          <w:rFonts w:ascii="Times New Roman" w:hAnsi="Times New Roman" w:eastAsia="仿宋_GB2312" w:cs="Times New Roman"/>
          <w:bCs/>
          <w:color w:val="auto"/>
          <w:kern w:val="2"/>
          <w:sz w:val="32"/>
          <w:szCs w:val="32"/>
          <w:highlight w:val="none"/>
          <w:lang w:val="en-US" w:eastAsia="zh-CN"/>
        </w:rPr>
        <w:t>对这些问题和不足，我们将</w:t>
      </w:r>
      <w:r>
        <w:rPr>
          <w:rFonts w:ascii="Times New Roman" w:hAnsi="Times New Roman" w:eastAsia="仿宋_GB2312" w:cs="Times New Roman"/>
          <w:bCs/>
          <w:color w:val="auto"/>
          <w:kern w:val="2"/>
          <w:sz w:val="32"/>
          <w:szCs w:val="32"/>
          <w:highlight w:val="none"/>
          <w:lang w:eastAsia="zh-CN"/>
        </w:rPr>
        <w:t>高度重视，</w:t>
      </w:r>
      <w:r>
        <w:rPr>
          <w:rFonts w:ascii="Times New Roman" w:hAnsi="Times New Roman" w:eastAsia="仿宋_GB2312" w:cs="Times New Roman"/>
          <w:bCs/>
          <w:color w:val="auto"/>
          <w:kern w:val="2"/>
          <w:sz w:val="32"/>
          <w:szCs w:val="32"/>
          <w:highlight w:val="none"/>
          <w:lang w:val="en-US" w:eastAsia="zh-CN"/>
        </w:rPr>
        <w:t>采取切实有效的措施，</w:t>
      </w:r>
      <w:r>
        <w:rPr>
          <w:rFonts w:ascii="Times New Roman" w:hAnsi="Times New Roman" w:eastAsia="仿宋_GB2312" w:cs="Times New Roman"/>
          <w:bCs/>
          <w:color w:val="auto"/>
          <w:kern w:val="2"/>
          <w:sz w:val="32"/>
          <w:szCs w:val="32"/>
          <w:highlight w:val="none"/>
          <w:lang w:eastAsia="zh-CN"/>
        </w:rPr>
        <w:t>科学稳妥解决。</w:t>
      </w:r>
    </w:p>
    <w:p w14:paraId="7CB5F8C9">
      <w:pPr>
        <w:keepNext w:val="0"/>
        <w:keepLines w:val="0"/>
        <w:pageBreakBefore w:val="0"/>
        <w:widowControl w:val="0"/>
        <w:pBdr>
          <w:bottom w:val="single" w:color="FFFFFF" w:sz="4" w:space="13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6" w:lineRule="exact"/>
        <w:ind w:left="0" w:firstLine="640" w:firstLineChars="200"/>
        <w:textAlignment w:val="auto"/>
        <w:rPr>
          <w:rFonts w:hint="eastAsia" w:ascii="Times New Roman" w:hAnsi="Times New Roman" w:eastAsia="黑体" w:cs="Times New Roman"/>
          <w:bCs/>
          <w:color w:val="auto"/>
          <w:sz w:val="32"/>
          <w:szCs w:val="32"/>
          <w:highlight w:val="none"/>
          <w:shd w:val="clear" w:color="auto" w:fill="auto"/>
          <w:lang w:val="en-US" w:eastAsia="zh-CN"/>
        </w:rPr>
      </w:pPr>
      <w:r>
        <w:rPr>
          <w:rFonts w:ascii="Times New Roman" w:hAnsi="Times New Roman" w:eastAsia="黑体" w:cs="Times New Roman"/>
          <w:bCs/>
          <w:color w:val="auto"/>
          <w:sz w:val="32"/>
          <w:szCs w:val="32"/>
          <w:highlight w:val="none"/>
          <w:shd w:val="clear" w:color="auto" w:fill="auto"/>
          <w:lang w:val="en-US"/>
        </w:rPr>
        <w:t>四</w:t>
      </w:r>
      <w:r>
        <w:rPr>
          <w:rFonts w:hint="eastAsia" w:ascii="Times New Roman" w:hAnsi="Times New Roman" w:eastAsia="黑体" w:cs="Times New Roman"/>
          <w:bCs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、</w:t>
      </w:r>
      <w:r>
        <w:rPr>
          <w:rFonts w:ascii="Times New Roman" w:hAnsi="Times New Roman" w:eastAsia="黑体" w:cs="Times New Roman"/>
          <w:color w:val="auto"/>
          <w:sz w:val="32"/>
          <w:szCs w:val="32"/>
          <w:highlight w:val="none"/>
          <w:shd w:val="clear" w:color="auto" w:fill="auto"/>
        </w:rPr>
        <w:t>砥砺奋进</w:t>
      </w:r>
      <w:r>
        <w:rPr>
          <w:rFonts w:ascii="Times New Roman" w:hAnsi="Times New Roman" w:eastAsia="黑体" w:cs="Times New Roman"/>
          <w:bCs/>
          <w:color w:val="auto"/>
          <w:sz w:val="32"/>
          <w:szCs w:val="32"/>
          <w:highlight w:val="none"/>
          <w:shd w:val="clear" w:color="auto" w:fill="auto"/>
          <w:lang w:val="en-US"/>
        </w:rPr>
        <w:t>，</w:t>
      </w:r>
      <w:r>
        <w:rPr>
          <w:rFonts w:hint="eastAsia" w:ascii="Times New Roman" w:hAnsi="Times New Roman" w:eastAsia="黑体" w:cs="Times New Roman"/>
          <w:bCs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笃行实干</w:t>
      </w:r>
      <w:r>
        <w:rPr>
          <w:rFonts w:ascii="Times New Roman" w:hAnsi="Times New Roman" w:eastAsia="黑体" w:cs="Times New Roman"/>
          <w:bCs/>
          <w:color w:val="auto"/>
          <w:sz w:val="32"/>
          <w:szCs w:val="32"/>
          <w:highlight w:val="none"/>
          <w:shd w:val="clear" w:color="auto" w:fill="auto"/>
          <w:lang w:val="en-US"/>
        </w:rPr>
        <w:t>，下半年财政工作</w:t>
      </w:r>
      <w:r>
        <w:rPr>
          <w:rFonts w:hint="eastAsia" w:ascii="Times New Roman" w:hAnsi="Times New Roman" w:eastAsia="黑体" w:cs="Times New Roman"/>
          <w:bCs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聚力攻坚</w:t>
      </w:r>
    </w:p>
    <w:p w14:paraId="3A68C4A8">
      <w:pPr>
        <w:keepNext w:val="0"/>
        <w:keepLines w:val="0"/>
        <w:pageBreakBefore w:val="0"/>
        <w:widowControl w:val="0"/>
        <w:pBdr>
          <w:bottom w:val="single" w:color="FFFFFF" w:sz="4" w:space="13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6" w:lineRule="exact"/>
        <w:ind w:left="0" w:firstLine="640" w:firstLineChars="200"/>
        <w:jc w:val="left"/>
        <w:textAlignment w:val="auto"/>
        <w:rPr>
          <w:rFonts w:ascii="Times New Roman" w:hAnsi="Times New Roman" w:eastAsia="仿宋_GB2312" w:cs="Times New Roman"/>
          <w:bCs/>
          <w:color w:val="auto"/>
          <w:sz w:val="32"/>
          <w:szCs w:val="32"/>
          <w:highlight w:val="none"/>
          <w:shd w:val="clear" w:color="auto" w:fill="auto"/>
          <w:lang w:val="en-US"/>
        </w:rPr>
      </w:pPr>
      <w:r>
        <w:rPr>
          <w:rFonts w:ascii="Times New Roman" w:hAnsi="Times New Roman" w:eastAsia="仿宋_GB2312" w:cs="Times New Roman"/>
          <w:bCs/>
          <w:color w:val="auto"/>
          <w:sz w:val="32"/>
          <w:szCs w:val="32"/>
          <w:highlight w:val="none"/>
          <w:shd w:val="clear" w:color="auto" w:fill="auto"/>
          <w:lang w:val="en-US"/>
        </w:rPr>
        <w:t>在下半年工作中，</w:t>
      </w:r>
      <w:r>
        <w:rPr>
          <w:rFonts w:hint="eastAsia" w:ascii="Times New Roman" w:hAnsi="Times New Roman" w:eastAsia="仿宋_GB2312" w:cs="Times New Roman"/>
          <w:bCs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财政工作持续</w:t>
      </w:r>
      <w:r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</w:rPr>
        <w:t>紧扣</w:t>
      </w:r>
      <w:r>
        <w:rPr>
          <w:rFonts w:ascii="Times New Roman" w:hAnsi="Times New Roman" w:eastAsia="仿宋_GB2312" w:cs="Times New Roman"/>
          <w:bCs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“159”系统部署，</w:t>
      </w:r>
      <w:r>
        <w:rPr>
          <w:rFonts w:ascii="Times New Roman" w:hAnsi="Times New Roman" w:eastAsia="仿宋_GB2312" w:cs="Times New Roman"/>
          <w:bCs/>
          <w:color w:val="auto"/>
          <w:sz w:val="32"/>
          <w:szCs w:val="32"/>
          <w:highlight w:val="none"/>
          <w:shd w:val="clear" w:color="auto" w:fill="auto"/>
          <w:lang w:val="en-US"/>
        </w:rPr>
        <w:t>积极发挥财政职能作用，系统谋划财政工作，全面落实积极财政政策适度加力、提质增效拉升标杆、奋力进取，持续推动经济实现质的有效提升和量的合理增长。</w:t>
      </w:r>
    </w:p>
    <w:p w14:paraId="0AAA4FFF">
      <w:pPr>
        <w:keepNext w:val="0"/>
        <w:keepLines w:val="0"/>
        <w:pageBreakBefore w:val="0"/>
        <w:widowControl w:val="0"/>
        <w:pBdr>
          <w:bottom w:val="single" w:color="FFFFFF" w:sz="4" w:space="13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6" w:lineRule="exact"/>
        <w:ind w:left="0" w:firstLine="643" w:firstLineChars="200"/>
        <w:textAlignment w:val="auto"/>
        <w:rPr>
          <w:rFonts w:hint="eastAsia" w:ascii="楷体_GB2312" w:eastAsia="楷体_GB2312" w:cs="楷体_GB2312"/>
          <w:b/>
          <w:bCs/>
          <w:color w:val="auto"/>
          <w:sz w:val="32"/>
          <w:szCs w:val="32"/>
          <w:highlight w:val="none"/>
          <w:shd w:val="clear" w:color="auto" w:fill="auto"/>
          <w:lang w:val="en-US" w:eastAsia="zh-CN"/>
        </w:rPr>
      </w:pPr>
      <w:r>
        <w:rPr>
          <w:rFonts w:hint="eastAsia" w:ascii="楷体_GB2312" w:eastAsia="楷体_GB2312" w:cs="楷体_GB2312"/>
          <w:b/>
          <w:bCs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（一）围绕</w:t>
      </w:r>
      <w:r>
        <w:rPr>
          <w:rFonts w:hint="eastAsia" w:ascii="楷体_GB2312" w:eastAsia="楷体_GB2312" w:cs="楷体_GB2312"/>
          <w:b/>
          <w:bCs/>
          <w:color w:val="auto"/>
          <w:sz w:val="32"/>
          <w:szCs w:val="32"/>
          <w:highlight w:val="none"/>
        </w:rPr>
        <w:t>财政收支稳健运行</w:t>
      </w:r>
      <w:r>
        <w:rPr>
          <w:rFonts w:hint="eastAsia" w:ascii="楷体_GB2312" w:eastAsia="楷体_GB2312" w:cs="楷体_GB2312"/>
          <w:b/>
          <w:bCs/>
          <w:color w:val="auto"/>
          <w:sz w:val="32"/>
          <w:szCs w:val="32"/>
          <w:highlight w:val="none"/>
          <w:lang w:val="en-US" w:eastAsia="zh-CN"/>
        </w:rPr>
        <w:t>，全力完成年度目标任务。</w:t>
      </w:r>
    </w:p>
    <w:p w14:paraId="3FABE6DD">
      <w:pPr>
        <w:keepNext w:val="0"/>
        <w:keepLines w:val="0"/>
        <w:pageBreakBefore w:val="0"/>
        <w:widowControl w:val="0"/>
        <w:pBdr>
          <w:bottom w:val="single" w:color="FFFFFF" w:sz="4" w:space="13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6" w:lineRule="exact"/>
        <w:ind w:left="0" w:firstLine="640" w:firstLineChars="200"/>
        <w:textAlignment w:val="auto"/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  <w:shd w:val="clear" w:color="auto" w:fill="auto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持续深化财税联动协同机制，常态化跟踪川汶、郎川高速公路、阿俄光伏等重大项目建设投产涉税情况，实现财力与支出需求的动态平衡，科学确定增收目标，全面摸排税源底数，精准测算增量潜力；动态跟踪政策影响，将税费优惠、产业扶持等政策纳入测算范围，坚持“以收定支、量入为出”，严格按照轻重缓急和优先序列安排支出，集中财力办好大事要事</w:t>
      </w:r>
      <w:r>
        <w:rPr>
          <w:rFonts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  <w:t>。</w:t>
      </w:r>
    </w:p>
    <w:p w14:paraId="0A347A94">
      <w:pPr>
        <w:keepNext w:val="0"/>
        <w:keepLines w:val="0"/>
        <w:pageBreakBefore w:val="0"/>
        <w:widowControl w:val="0"/>
        <w:pBdr>
          <w:bottom w:val="single" w:color="FFFFFF" w:sz="4" w:space="13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6" w:lineRule="exact"/>
        <w:ind w:left="0" w:firstLine="643" w:firstLineChars="200"/>
        <w:textAlignment w:val="auto"/>
        <w:rPr>
          <w:rFonts w:hint="eastAsia" w:ascii="楷体_GB2312" w:eastAsia="楷体_GB2312" w:cs="楷体_GB2312"/>
          <w:b/>
          <w:bCs/>
          <w:color w:val="auto"/>
          <w:sz w:val="32"/>
          <w:szCs w:val="32"/>
          <w:highlight w:val="none"/>
          <w:shd w:val="clear" w:color="auto" w:fill="auto"/>
          <w:lang w:val="en-US" w:eastAsia="zh-CN"/>
        </w:rPr>
      </w:pPr>
      <w:r>
        <w:rPr>
          <w:rFonts w:hint="eastAsia" w:ascii="楷体_GB2312" w:eastAsia="楷体_GB2312" w:cs="楷体_GB2312"/>
          <w:b/>
          <w:bCs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（二）围绕抢抓政策窗口契机，积极争取各类项目资金。</w:t>
      </w:r>
    </w:p>
    <w:p w14:paraId="508D274E">
      <w:pPr>
        <w:keepNext w:val="0"/>
        <w:keepLines w:val="0"/>
        <w:pageBreakBefore w:val="0"/>
        <w:widowControl w:val="0"/>
        <w:pBdr>
          <w:bottom w:val="single" w:color="FFFFFF" w:sz="4" w:space="13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6" w:lineRule="exact"/>
        <w:ind w:left="0" w:firstLine="640" w:firstLineChars="200"/>
        <w:textAlignment w:val="auto"/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shd w:val="clear" w:color="auto" w:fill="auto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紧扣国家、省州资金投向，高效推进债券项目申报落地，紧盯专项债、超长期特别国债、一般债券政策窗口期，闭环落实“政策分析—需求对接—项目生成—报审入库”工作机制，抓好联评联审储备项目债券发行对接工作，全力完成</w:t>
      </w: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22"/>
          <w:highlight w:val="none"/>
          <w:lang w:val="en-US" w:eastAsia="zh-CN" w:bidi="ar-SA"/>
        </w:rPr>
        <w:t>川主寺镇片区老旧街区改造、东门片区老旧街区改造、古城景区旅游基础设施建设3个项目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专项债申请，</w:t>
      </w:r>
      <w:r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以古城、金坑坝、川主寺基础设施等重大项目高质量建设为统揽，</w:t>
      </w:r>
      <w:r>
        <w:rPr>
          <w:rFonts w:ascii="Times New Roman" w:hAnsi="Times New Roman" w:eastAsia="仿宋_GB2312" w:cs="Times New Roman"/>
          <w:color w:val="auto"/>
          <w:sz w:val="31"/>
          <w:szCs w:val="31"/>
          <w:highlight w:val="none"/>
        </w:rPr>
        <w:t>持续</w:t>
      </w:r>
      <w:r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将“千</w:t>
      </w:r>
      <w:r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万游客”流量变成流量资产</w:t>
      </w:r>
      <w:r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</w:rPr>
        <w:t>奠定坚实基础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。</w:t>
      </w:r>
    </w:p>
    <w:p w14:paraId="161199B5">
      <w:pPr>
        <w:keepNext w:val="0"/>
        <w:keepLines w:val="0"/>
        <w:pageBreakBefore w:val="0"/>
        <w:widowControl w:val="0"/>
        <w:pBdr>
          <w:bottom w:val="single" w:color="FFFFFF" w:sz="4" w:space="13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6" w:lineRule="exact"/>
        <w:ind w:left="0" w:firstLine="643" w:firstLineChars="200"/>
        <w:textAlignment w:val="auto"/>
        <w:rPr>
          <w:rFonts w:hint="eastAsia" w:ascii="楷体_GB2312" w:eastAsia="楷体_GB2312" w:cs="楷体_GB2312"/>
          <w:b/>
          <w:bCs/>
          <w:color w:val="auto"/>
          <w:sz w:val="32"/>
          <w:szCs w:val="32"/>
          <w:highlight w:val="none"/>
          <w:shd w:val="clear" w:color="auto" w:fill="auto"/>
          <w:lang w:val="en-US" w:eastAsia="zh-CN"/>
        </w:rPr>
      </w:pPr>
      <w:r>
        <w:rPr>
          <w:rFonts w:hint="eastAsia" w:ascii="楷体_GB2312" w:eastAsia="楷体_GB2312" w:cs="楷体_GB2312"/>
          <w:b/>
          <w:bCs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（三）围绕锚定产业培育抓手，厚植夯实长效财源增长。</w:t>
      </w:r>
    </w:p>
    <w:p w14:paraId="4F73C632">
      <w:pPr>
        <w:keepNext w:val="0"/>
        <w:keepLines w:val="0"/>
        <w:pageBreakBefore w:val="0"/>
        <w:widowControl w:val="0"/>
        <w:pBdr>
          <w:bottom w:val="single" w:color="FFFFFF" w:sz="4" w:space="13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6" w:lineRule="exact"/>
        <w:ind w:left="0" w:firstLine="640" w:firstLineChars="200"/>
        <w:textAlignment w:val="auto"/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shd w:val="clear" w:color="auto" w:fill="auto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立足县域资源禀赋，聚焦文旅、清洁能源、高原特色农牧、消费经济四大方向培育新质生产力，推动产</w:t>
      </w:r>
      <w:r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业发展反哺财税增收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，</w:t>
      </w:r>
      <w:r>
        <w:rPr>
          <w:rFonts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加快东北寨金矿项目建设，实现早日“见矿出金”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，</w:t>
      </w:r>
      <w:r>
        <w:rPr>
          <w:rFonts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推动道班砂岩矿下半年投产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。</w:t>
      </w:r>
      <w:r>
        <w:rPr>
          <w:rFonts w:hint="eastAsia" w:ascii="仿宋_GB2312" w:eastAsia="仿宋_GB2312"/>
          <w:sz w:val="32"/>
          <w:lang w:val="en-US" w:eastAsia="zh-CN"/>
        </w:rPr>
        <w:t>加快四千米亚客项目分期投产和通利荣松药品资质审批，提速园区项目建设。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  <w:t>紧盯常态化帮扶项目、浙江援建项目、大邑援建项目，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依托产业发展引导资金，聚焦松贝“一县一品”培育，推进牦牛标准化养殖、蓝莓粮经复合、农特产品精深加工项目落地见效，</w:t>
      </w:r>
      <w:r>
        <w:rPr>
          <w:rFonts w:hint="eastAsia" w:eastAsia="仿宋_GB2312" w:cs="Times New Roman"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加快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  <w:t>清真牛羊屠宰场</w:t>
      </w:r>
      <w:r>
        <w:rPr>
          <w:rFonts w:hint="eastAsia" w:eastAsia="仿宋_GB2312" w:cs="Times New Roman"/>
          <w:color w:val="auto"/>
          <w:kern w:val="0"/>
          <w:sz w:val="32"/>
          <w:szCs w:val="32"/>
          <w:lang w:val="en-US" w:eastAsia="zh-CN" w:bidi="ar-SA"/>
        </w:rPr>
        <w:t>补短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  <w:t>项目</w:t>
      </w:r>
      <w:r>
        <w:rPr>
          <w:rFonts w:hint="eastAsia" w:eastAsia="仿宋_GB2312" w:cs="Times New Roman"/>
          <w:color w:val="auto"/>
          <w:kern w:val="0"/>
          <w:sz w:val="32"/>
          <w:szCs w:val="32"/>
          <w:lang w:val="en-US" w:eastAsia="zh-CN" w:bidi="ar-SA"/>
        </w:rPr>
        <w:t>进度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  <w:t>，完善屠宰、冷链、加工配套设施，延伸牦牛产业链条。</w:t>
      </w:r>
    </w:p>
    <w:p w14:paraId="6B49476E">
      <w:pPr>
        <w:keepNext w:val="0"/>
        <w:keepLines w:val="0"/>
        <w:pageBreakBefore w:val="0"/>
        <w:widowControl w:val="0"/>
        <w:pBdr>
          <w:bottom w:val="single" w:color="FFFFFF" w:sz="4" w:space="13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6" w:lineRule="exact"/>
        <w:ind w:left="0" w:firstLine="643" w:firstLineChars="200"/>
        <w:textAlignment w:val="auto"/>
        <w:rPr>
          <w:rFonts w:hint="eastAsia" w:ascii="楷体_GB2312" w:eastAsia="楷体_GB2312" w:cs="楷体_GB2312"/>
          <w:b/>
          <w:bCs/>
          <w:color w:val="auto"/>
          <w:sz w:val="32"/>
          <w:szCs w:val="32"/>
          <w:highlight w:val="none"/>
          <w:shd w:val="clear" w:color="auto" w:fill="auto"/>
          <w:lang w:val="en-US" w:eastAsia="zh-CN"/>
        </w:rPr>
      </w:pPr>
      <w:r>
        <w:rPr>
          <w:rFonts w:hint="eastAsia" w:ascii="楷体_GB2312" w:eastAsia="楷体_GB2312" w:cs="楷体_GB2312"/>
          <w:b/>
          <w:bCs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（四）围绕攻坚闲置资产盘活，纵深推进</w:t>
      </w:r>
      <w:r>
        <w:rPr>
          <w:rFonts w:hint="eastAsia" w:ascii="楷体_GB2312" w:eastAsia="楷体_GB2312" w:cs="楷体_GB2312"/>
          <w:b/>
          <w:bCs/>
          <w:color w:val="auto"/>
          <w:sz w:val="32"/>
          <w:szCs w:val="32"/>
          <w:highlight w:val="none"/>
          <w:u w:val="none"/>
          <w:shd w:val="clear" w:color="auto" w:fill="auto"/>
          <w:lang w:val="en-US" w:eastAsia="zh-CN"/>
        </w:rPr>
        <w:t>国资国企改革</w:t>
      </w:r>
      <w:r>
        <w:rPr>
          <w:rFonts w:hint="eastAsia" w:ascii="楷体_GB2312" w:eastAsia="楷体_GB2312" w:cs="楷体_GB2312"/>
          <w:b/>
          <w:bCs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。</w:t>
      </w:r>
    </w:p>
    <w:p w14:paraId="149EDAAE">
      <w:pPr>
        <w:keepNext w:val="0"/>
        <w:keepLines w:val="0"/>
        <w:pageBreakBefore w:val="0"/>
        <w:widowControl w:val="0"/>
        <w:pBdr>
          <w:bottom w:val="single" w:color="FFFFFF" w:sz="4" w:space="13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6" w:lineRule="exact"/>
        <w:ind w:left="0" w:firstLine="640" w:firstLineChars="200"/>
        <w:textAlignment w:val="auto"/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shd w:val="clear" w:color="auto" w:fill="auto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严格按照时间节点，在底前完成全县行政事业单位、县属国有企业闲置低效资产线上录入，搭建动态更新、实时预警、在线监管的数字化管理系统，同步建立资产配置前置审批机制，严控超标配置、盲目购置，从源头遏制新增闲置资产，形成清查、确权、运营、监管一体化长效机制。按照“1+3”改革方案推进四家县属平台公司组建运行，全面厘清国企业存量债务，按照投融资、人员管理、“三重一大”决策等监管制度，完善绩效考核体系，</w:t>
      </w:r>
      <w:r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全面提升主营业务效能，</w:t>
      </w:r>
      <w:r>
        <w:rPr>
          <w:rFonts w:ascii="Times New Roman" w:hAnsi="Times New Roman" w:eastAsia="仿宋_GB2312" w:cs="Times New Roman"/>
          <w:color w:val="auto"/>
          <w:spacing w:val="8"/>
          <w:sz w:val="32"/>
          <w:szCs w:val="32"/>
          <w:highlight w:val="none"/>
        </w:rPr>
        <w:t>推进国资反哺财政</w:t>
      </w:r>
      <w:r>
        <w:rPr>
          <w:rFonts w:ascii="Times New Roman" w:hAnsi="Times New Roman" w:eastAsia="仿宋_GB2312" w:cs="Times New Roman"/>
          <w:color w:val="auto"/>
          <w:spacing w:val="8"/>
          <w:sz w:val="32"/>
          <w:szCs w:val="32"/>
          <w:highlight w:val="none"/>
          <w:lang w:eastAsia="zh-CN"/>
        </w:rPr>
        <w:t>的聚财能力。</w:t>
      </w:r>
    </w:p>
    <w:p w14:paraId="59002040">
      <w:pPr>
        <w:keepNext w:val="0"/>
        <w:keepLines w:val="0"/>
        <w:pageBreakBefore w:val="0"/>
        <w:widowControl w:val="0"/>
        <w:pBdr>
          <w:bottom w:val="single" w:color="FFFFFF" w:sz="4" w:space="13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6" w:lineRule="exact"/>
        <w:ind w:left="0" w:firstLine="643" w:firstLineChars="200"/>
        <w:textAlignment w:val="auto"/>
        <w:rPr>
          <w:rFonts w:hint="eastAsia" w:ascii="楷体_GB2312" w:eastAsia="楷体_GB2312" w:cs="楷体_GB2312"/>
          <w:b/>
          <w:bCs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</w:pPr>
      <w:r>
        <w:rPr>
          <w:rFonts w:hint="eastAsia" w:ascii="楷体_GB2312" w:eastAsia="楷体_GB2312" w:cs="楷体_GB2312"/>
          <w:b/>
          <w:bCs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（五）</w:t>
      </w:r>
      <w:r>
        <w:rPr>
          <w:rFonts w:hint="eastAsia" w:ascii="楷体_GB2312" w:eastAsia="楷体_GB2312" w:cs="楷体_GB2312"/>
          <w:b/>
          <w:bCs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围绕</w:t>
      </w:r>
      <w:r>
        <w:rPr>
          <w:rFonts w:hint="eastAsia" w:ascii="楷体_GB2312" w:eastAsia="楷体_GB2312" w:cs="楷体_GB2312"/>
          <w:b/>
          <w:bCs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提升财政监管水平，持续强化财政绩效管理。</w:t>
      </w:r>
    </w:p>
    <w:p w14:paraId="428893AE">
      <w:pPr>
        <w:keepNext w:val="0"/>
        <w:keepLines w:val="0"/>
        <w:pageBreakBefore w:val="0"/>
        <w:widowControl w:val="0"/>
        <w:pBdr>
          <w:bottom w:val="single" w:color="FFFFFF" w:sz="4" w:space="13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6" w:lineRule="exact"/>
        <w:ind w:left="0" w:firstLine="640" w:firstLineChars="200"/>
        <w:textAlignment w:val="auto"/>
        <w:rPr>
          <w:rFonts w:hint="eastAsia" w:ascii="Times New Roman" w:hAnsi="Times New Roman" w:eastAsia="仿宋_GB2312" w:cs="Times New Roman"/>
          <w:color w:val="000000"/>
          <w:sz w:val="32"/>
          <w:szCs w:val="32"/>
          <w:lang w:eastAsia="zh-CN"/>
        </w:rPr>
      </w:pPr>
      <w:r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</w:rPr>
        <w:t>持续完善预算管理一体化运行机制，纵深推进零基预算改革，优化预算编制、执行、监管全流程管控，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建立项目预算体系。</w:t>
      </w:r>
      <w:r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</w:rPr>
        <w:t>落实项目建设事前监督，控制项目建设事中变更，服务项目建设事后管理，按照限时办结制优化流程，提升项目评审、结算审核、竣工财务决算效率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。</w:t>
      </w:r>
      <w:r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</w:rPr>
        <w:t>压实各预算单位绩效管理主体责任，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</w:rPr>
        <w:t>扎实推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</w:rPr>
        <w:t>进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eastAsia="zh-CN"/>
        </w:rPr>
        <w:t>绩效管理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</w:rPr>
        <w:t>“三管三必须”机制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eastAsia="zh-CN"/>
        </w:rPr>
        <w:t>，</w:t>
      </w:r>
      <w:r>
        <w:rPr>
          <w:rFonts w:ascii="Times New Roman" w:hAnsi="Times New Roman" w:eastAsia="仿宋_GB2312" w:cs="Times New Roman"/>
          <w:i w:val="0"/>
          <w:iCs w:val="0"/>
          <w:caps w:val="0"/>
          <w:smallCaps w:val="0"/>
          <w:color w:val="auto"/>
          <w:spacing w:val="0"/>
          <w:sz w:val="32"/>
          <w:szCs w:val="32"/>
          <w:highlight w:val="none"/>
          <w:shd w:val="clear" w:color="auto" w:fill="FFFFFF"/>
        </w:rPr>
        <w:t>将绩效管理和财会监督作为财政管理的两大抓手，</w:t>
      </w:r>
      <w:r>
        <w:rPr>
          <w:rFonts w:ascii="Times New Roman" w:hAnsi="Times New Roman" w:eastAsia="仿宋_GB2312" w:cs="Times New Roman"/>
          <w:sz w:val="32"/>
          <w:szCs w:val="32"/>
          <w:highlight w:val="none"/>
        </w:rPr>
        <w:t>开展财会监督检查</w:t>
      </w:r>
      <w:r>
        <w:rPr>
          <w:rFonts w:ascii="Times New Roman" w:hAnsi="Times New Roman" w:eastAsia="仿宋_GB2312" w:cs="Times New Roman"/>
          <w:sz w:val="32"/>
          <w:szCs w:val="32"/>
          <w:highlight w:val="none"/>
          <w:lang w:eastAsia="zh-CN"/>
        </w:rPr>
        <w:t>、</w:t>
      </w:r>
      <w:r>
        <w:rPr>
          <w:rFonts w:ascii="Times New Roman" w:hAnsi="Times New Roman" w:eastAsia="仿宋_GB2312" w:cs="Times New Roman"/>
          <w:sz w:val="32"/>
          <w:szCs w:val="32"/>
          <w:highlight w:val="none"/>
        </w:rPr>
        <w:t>财经纪律专项整治、政府采购领域专项检查和绩效评价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eastAsia="zh-CN"/>
        </w:rPr>
        <w:t>。</w:t>
      </w:r>
    </w:p>
    <w:p w14:paraId="56348A4C">
      <w:pPr>
        <w:keepNext w:val="0"/>
        <w:keepLines w:val="0"/>
        <w:pageBreakBefore w:val="0"/>
        <w:widowControl w:val="0"/>
        <w:pBdr>
          <w:bottom w:val="single" w:color="FFFFFF" w:sz="4" w:space="13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6" w:lineRule="exact"/>
        <w:ind w:left="0" w:firstLine="640" w:firstLineChars="200"/>
        <w:rPr>
          <w:rFonts w:ascii="Times New Roman" w:hAnsi="Times New Roman" w:cs="Times New Roman"/>
          <w:lang w:val="en-US" w:eastAsia="zh-CN"/>
        </w:rPr>
      </w:pPr>
      <w:r>
        <w:rPr>
          <w:rFonts w:ascii="Times New Roman" w:hAnsi="Times New Roman" w:eastAsia="仿宋_GB2312" w:cs="Times New Roman"/>
          <w:sz w:val="32"/>
          <w:szCs w:val="32"/>
          <w:lang w:val="en-US" w:eastAsia="zh-CN"/>
        </w:rPr>
        <w:t>上半年，我县财政工作在攻坚克难中扎实推进，实现了阶段性目标，但下半年任务更加艰巨。</w:t>
      </w:r>
      <w:r>
        <w:rPr>
          <w:rFonts w:ascii="Times New Roman" w:hAnsi="Times New Roman" w:eastAsia="仿宋_GB2312" w:cs="Times New Roman"/>
          <w:sz w:val="32"/>
          <w:szCs w:val="32"/>
          <w:shd w:val="clear" w:color="auto" w:fill="auto"/>
        </w:rPr>
        <w:t>我们将继续在县委的坚强领导下，在县人大及其常委会、县政协的监督指导下，</w:t>
      </w:r>
      <w:r>
        <w:rPr>
          <w:rFonts w:ascii="Times New Roman" w:hAnsi="Times New Roman" w:eastAsia="仿宋_GB2312" w:cs="Times New Roman"/>
          <w:sz w:val="32"/>
          <w:szCs w:val="32"/>
          <w:highlight w:val="none"/>
          <w:shd w:val="clear" w:color="auto" w:fill="auto"/>
          <w:lang w:val="en-US" w:bidi="ar-SA"/>
        </w:rPr>
        <w:t>以更加积极的态度、更加务实的作风、更加有为的担当，</w:t>
      </w:r>
      <w:r>
        <w:rPr>
          <w:rFonts w:ascii="Times New Roman" w:hAnsi="Times New Roman" w:eastAsia="仿宋_GB2312" w:cs="Times New Roman"/>
          <w:sz w:val="32"/>
          <w:szCs w:val="32"/>
          <w:shd w:val="clear" w:color="auto" w:fill="auto"/>
          <w:lang w:val="en-US"/>
        </w:rPr>
        <w:t>躬身实践、破解难题</w:t>
      </w:r>
      <w:r>
        <w:rPr>
          <w:rFonts w:hint="eastAsia" w:eastAsia="仿宋_GB2312" w:cs="Times New Roman"/>
          <w:sz w:val="32"/>
          <w:szCs w:val="32"/>
          <w:shd w:val="clear" w:color="auto" w:fill="auto"/>
          <w:lang w:val="en-US" w:eastAsia="zh-CN"/>
        </w:rPr>
        <w:t>，奋力谱写民族地区高质量发展阿坝典范松潘篇章！</w:t>
      </w:r>
    </w:p>
    <w:sectPr>
      <w:headerReference r:id="rId6" w:type="first"/>
      <w:footerReference r:id="rId8" w:type="first"/>
      <w:headerReference r:id="rId5" w:type="default"/>
      <w:footerReference r:id="rId7" w:type="default"/>
      <w:pgSz w:w="11905" w:h="16837"/>
      <w:pgMar w:top="2098" w:right="1474" w:bottom="1984" w:left="1587" w:header="851" w:footer="1474" w:gutter="0"/>
      <w:pgNumType w:start="1"/>
      <w:cols w:space="720" w:num="1"/>
      <w:titlePg/>
      <w:rtlGutter w:val="1"/>
      <w:docGrid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4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小标宋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??">
    <w:altName w:val="Arial Unicode MS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大标宋简体">
    <w:altName w:val="微软雅黑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Microsoft Himalaya">
    <w:panose1 w:val="01010100010101010101"/>
    <w:charset w:val="00"/>
    <w:family w:val="auto"/>
    <w:pitch w:val="default"/>
    <w:sig w:usb0="80000003" w:usb1="00010000" w:usb2="00000040" w:usb3="00000000" w:csb0="0000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27ECD8">
    <w:pPr>
      <w:spacing w:line="1" w:lineRule="atLeast"/>
      <w:ind w:right="360" w:firstLine="360"/>
    </w:pPr>
    <w:r>
      <mc:AlternateContent>
        <mc:Choice Requires="wps">
          <w:drawing>
            <wp:inline distT="0" distB="0" distL="113665" distR="113665">
              <wp:extent cx="5579745" cy="283845"/>
              <wp:effectExtent l="0" t="0" r="0" b="0"/>
              <wp:docPr id="24" name="矩形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579745" cy="283845"/>
                      </a:xfrm>
                      <a:prstGeom prst="rect">
                        <a:avLst/>
                      </a:prstGeom>
                      <a:noFill/>
                      <a:ln w="9525" cap="flat" cmpd="sng">
                        <a:noFill/>
                        <a:prstDash val="solid"/>
                        <a:round/>
                      </a:ln>
                    </wps:spPr>
                    <wps:txbx>
                      <w:txbxContent>
                        <w:p w14:paraId="384F7A72"/>
                      </w:txbxContent>
                    </wps:txbx>
                    <wps:bodyPr vert="horz" wrap="square" lIns="0" tIns="0" rIns="0" bIns="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id="矩形" o:spid="_x0000_s1026" o:spt="1" style="height:22.35pt;width:439.35pt;" filled="f" stroked="f" coordsize="21600,21600" o:gfxdata="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O8eVLrXAAAABAEAAA8AAAAAAAAAAQAgAAAAIgAAAGRycy9kb3du&#10;cmV2LnhtbFBLAQIUABQAAAAIAIdO4kCyrO77AAIAAPMDAAAOAAAAAAAAAAEAIAAAACYBAABkcnMv&#10;ZTJvRG9jLnhtbFBLBQYAAAAABgAGAFkBAACYBQAAAAA=&#10;">
              <v:fill on="f" focussize="0,0"/>
              <v:stroke on="f" joinstyle="round"/>
              <v:imagedata o:title=""/>
              <o:lock v:ext="edit" aspectratio="f"/>
              <v:textbox inset="0mm,0mm,0mm,0mm">
                <w:txbxContent>
                  <w:p w14:paraId="384F7A72"/>
                </w:txbxContent>
              </v:textbox>
              <w10:wrap type="none"/>
              <w10:anchorlock/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4084EA">
    <w:pPr>
      <w:pStyle w:val="13"/>
      <w:ind w:left="0" w:firstLine="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17A654">
    <w:pPr>
      <w:spacing w:line="1" w:lineRule="atLeast"/>
      <w:ind w:left="0"/>
      <w:rPr>
        <w:rFonts w:hint="eastAsia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186962">
    <w:pPr>
      <w:pStyle w:val="1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dit="readOnly" w:enforcement="0"/>
  <w:defaultTabStop w:val="420"/>
  <w:drawingGridHorizontalSpacing w:val="10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</w:compat>
  <w:rsids>
    <w:rsidRoot w:val="00000000"/>
    <w:rsid w:val="07415074"/>
    <w:rsid w:val="091C73C8"/>
    <w:rsid w:val="09AB561D"/>
    <w:rsid w:val="0C4275C1"/>
    <w:rsid w:val="1D471F43"/>
    <w:rsid w:val="1EA90CE7"/>
    <w:rsid w:val="202C3CBF"/>
    <w:rsid w:val="22B32C9F"/>
    <w:rsid w:val="22E5250A"/>
    <w:rsid w:val="23007C75"/>
    <w:rsid w:val="24B7449F"/>
    <w:rsid w:val="279D33D4"/>
    <w:rsid w:val="32093CA2"/>
    <w:rsid w:val="32AB6377"/>
    <w:rsid w:val="398725B2"/>
    <w:rsid w:val="3A013246"/>
    <w:rsid w:val="45221A61"/>
    <w:rsid w:val="45880898"/>
    <w:rsid w:val="55D23DB9"/>
    <w:rsid w:val="5B9848F4"/>
    <w:rsid w:val="623A4C6D"/>
    <w:rsid w:val="68A11FFC"/>
    <w:rsid w:val="6A05722B"/>
    <w:rsid w:val="6A7A2B04"/>
    <w:rsid w:val="6E236CF0"/>
    <w:rsid w:val="708E3D32"/>
    <w:rsid w:val="748A7DE8"/>
    <w:rsid w:val="770C5B6F"/>
    <w:rsid w:val="793F73F3"/>
    <w:rsid w:val="7A9E45ED"/>
    <w:rsid w:val="7ADD75EF"/>
    <w:rsid w:val="7EB45B9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qFormat="1" w:unhideWhenUsed="0" w:uiPriority="0" w:semiHidden="0" w:name="index 5"/>
    <w:lsdException w:qFormat="1"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qFormat="1"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qFormat="1"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qFormat="1"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365" w:lineRule="atLeast"/>
      <w:ind w:left="1"/>
      <w:jc w:val="both"/>
      <w:textAlignment w:val="bottom"/>
    </w:pPr>
    <w:rPr>
      <w:rFonts w:ascii="Times New Roman" w:hAnsi="Times New Roman" w:eastAsia="宋体" w:cs="Times New Roman"/>
      <w:sz w:val="20"/>
      <w:szCs w:val="20"/>
      <w:lang w:val="en-US" w:eastAsia="zh-CN" w:bidi="ar-SA"/>
    </w:rPr>
  </w:style>
  <w:style w:type="paragraph" w:styleId="4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</w:rPr>
  </w:style>
  <w:style w:type="paragraph" w:styleId="5">
    <w:name w:val="heading 2"/>
    <w:basedOn w:val="1"/>
    <w:next w:val="1"/>
    <w:qFormat/>
    <w:uiPriority w:val="0"/>
    <w:pPr>
      <w:keepNext/>
      <w:keepLines/>
      <w:widowControl w:val="0"/>
      <w:spacing w:before="260" w:after="260" w:line="415" w:lineRule="auto"/>
      <w:outlineLvl w:val="1"/>
    </w:pPr>
    <w:rPr>
      <w:rFonts w:ascii="Times New Roman" w:hAnsi="Times New Roman" w:eastAsia="黑体"/>
      <w:b/>
      <w:sz w:val="32"/>
    </w:rPr>
  </w:style>
  <w:style w:type="paragraph" w:styleId="6">
    <w:name w:val="heading 3"/>
    <w:basedOn w:val="1"/>
    <w:next w:val="1"/>
    <w:qFormat/>
    <w:uiPriority w:val="0"/>
    <w:pPr>
      <w:keepNext/>
      <w:keepLines/>
      <w:spacing w:before="260" w:after="260" w:line="415" w:lineRule="auto"/>
      <w:outlineLvl w:val="2"/>
    </w:pPr>
    <w:rPr>
      <w:b/>
      <w:sz w:val="32"/>
    </w:rPr>
  </w:style>
  <w:style w:type="character" w:default="1" w:styleId="20">
    <w:name w:val="Default Paragraph Font"/>
    <w:qFormat/>
    <w:uiPriority w:val="0"/>
  </w:style>
  <w:style w:type="table" w:default="1" w:styleId="1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qFormat/>
    <w:uiPriority w:val="0"/>
    <w:pPr>
      <w:ind w:firstLine="200" w:firstLineChars="200"/>
    </w:pPr>
  </w:style>
  <w:style w:type="paragraph" w:styleId="3">
    <w:name w:val="Body Text Indent"/>
    <w:basedOn w:val="1"/>
    <w:next w:val="2"/>
    <w:qFormat/>
    <w:uiPriority w:val="0"/>
    <w:pPr>
      <w:spacing w:line="240" w:lineRule="auto"/>
      <w:ind w:left="0" w:right="-159" w:rightChars="-159" w:firstLine="200" w:firstLineChars="200"/>
      <w:jc w:val="left"/>
      <w:textAlignment w:val="auto"/>
    </w:pPr>
    <w:rPr>
      <w:rFonts w:ascii="仿宋_GB2312" w:eastAsia="仿宋_GB2312"/>
      <w:kern w:val="2"/>
      <w:sz w:val="32"/>
      <w:szCs w:val="32"/>
    </w:rPr>
  </w:style>
  <w:style w:type="paragraph" w:styleId="7">
    <w:name w:val="Normal Indent"/>
    <w:basedOn w:val="1"/>
    <w:qFormat/>
    <w:uiPriority w:val="0"/>
    <w:pPr>
      <w:ind w:firstLine="200" w:firstLineChars="200"/>
    </w:pPr>
  </w:style>
  <w:style w:type="paragraph" w:styleId="8">
    <w:name w:val="index 5"/>
    <w:basedOn w:val="1"/>
    <w:next w:val="1"/>
    <w:qFormat/>
    <w:uiPriority w:val="0"/>
    <w:pPr>
      <w:ind w:left="2037"/>
    </w:pPr>
  </w:style>
  <w:style w:type="paragraph" w:styleId="9">
    <w:name w:val="index 6"/>
    <w:basedOn w:val="1"/>
    <w:next w:val="1"/>
    <w:qFormat/>
    <w:uiPriority w:val="0"/>
    <w:pPr>
      <w:ind w:left="2100"/>
    </w:pPr>
  </w:style>
  <w:style w:type="paragraph" w:styleId="10">
    <w:name w:val="Body Text"/>
    <w:basedOn w:val="1"/>
    <w:qFormat/>
    <w:uiPriority w:val="0"/>
    <w:pPr>
      <w:spacing w:line="240" w:lineRule="atLeast"/>
    </w:pPr>
    <w:rPr>
      <w:rFonts w:ascii="Calibri" w:hAnsi="Calibri" w:eastAsia="小标宋"/>
      <w:sz w:val="44"/>
      <w:szCs w:val="44"/>
    </w:rPr>
  </w:style>
  <w:style w:type="paragraph" w:styleId="11">
    <w:name w:val="toc 3"/>
    <w:next w:val="1"/>
    <w:qFormat/>
    <w:uiPriority w:val="0"/>
    <w:pPr>
      <w:wordWrap w:val="0"/>
      <w:ind w:left="425"/>
      <w:jc w:val="both"/>
    </w:pPr>
    <w:rPr>
      <w:rFonts w:ascii="Times New Roman" w:hAnsi="Times New Roman" w:eastAsia="宋体" w:cs="Times New Roman"/>
      <w:sz w:val="21"/>
      <w:szCs w:val="20"/>
      <w:lang w:val="en-US" w:eastAsia="zh-CN" w:bidi="ar-SA"/>
    </w:rPr>
  </w:style>
  <w:style w:type="paragraph" w:styleId="12">
    <w:name w:val="Plain Text"/>
    <w:basedOn w:val="1"/>
    <w:next w:val="8"/>
    <w:qFormat/>
    <w:uiPriority w:val="0"/>
    <w:pPr>
      <w:spacing w:line="240" w:lineRule="auto"/>
      <w:ind w:left="0"/>
      <w:textAlignment w:val="auto"/>
    </w:pPr>
    <w:rPr>
      <w:rFonts w:ascii="宋体" w:cs="Courier New"/>
      <w:kern w:val="2"/>
      <w:sz w:val="21"/>
      <w:szCs w:val="21"/>
      <w:lang w:bidi="ar-SA"/>
    </w:rPr>
  </w:style>
  <w:style w:type="paragraph" w:styleId="1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14">
    <w:name w:val="header"/>
    <w:basedOn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5">
    <w:name w:val="footnote text"/>
    <w:basedOn w:val="1"/>
    <w:qFormat/>
    <w:uiPriority w:val="0"/>
    <w:pPr>
      <w:snapToGrid w:val="0"/>
      <w:jc w:val="left"/>
    </w:pPr>
    <w:rPr>
      <w:sz w:val="18"/>
      <w:szCs w:val="18"/>
    </w:rPr>
  </w:style>
  <w:style w:type="paragraph" w:styleId="16">
    <w:name w:val="table of figures"/>
    <w:basedOn w:val="1"/>
    <w:next w:val="1"/>
    <w:qFormat/>
    <w:uiPriority w:val="0"/>
    <w:pPr>
      <w:ind w:left="400" w:leftChars="200" w:hanging="200" w:hangingChars="200"/>
    </w:pPr>
    <w:rPr>
      <w:rFonts w:ascii="Times New Roman" w:hAnsi="Times New Roman" w:eastAsia="宋体" w:cs="Times New Roman"/>
    </w:rPr>
  </w:style>
  <w:style w:type="paragraph" w:styleId="17">
    <w:name w:val="Normal (Web)"/>
    <w:basedOn w:val="1"/>
    <w:next w:val="2"/>
    <w:qFormat/>
    <w:uiPriority w:val="0"/>
    <w:pPr>
      <w:widowControl/>
      <w:spacing w:before="100" w:beforeAutospacing="1" w:after="100" w:afterAutospacing="1"/>
      <w:jc w:val="left"/>
    </w:pPr>
    <w:rPr>
      <w:rFonts w:ascii="宋体" w:eastAsia="宋体" w:cs="宋体"/>
      <w:kern w:val="0"/>
      <w:sz w:val="24"/>
      <w:szCs w:val="24"/>
    </w:rPr>
  </w:style>
  <w:style w:type="paragraph" w:styleId="18">
    <w:name w:val="Body Text First Indent"/>
    <w:basedOn w:val="10"/>
    <w:qFormat/>
    <w:uiPriority w:val="0"/>
    <w:pPr>
      <w:ind w:firstLine="100" w:firstLineChars="100"/>
    </w:pPr>
  </w:style>
  <w:style w:type="character" w:styleId="21">
    <w:name w:val="Strong"/>
    <w:basedOn w:val="20"/>
    <w:qFormat/>
    <w:uiPriority w:val="0"/>
    <w:rPr>
      <w:b/>
    </w:rPr>
  </w:style>
  <w:style w:type="paragraph" w:customStyle="1" w:styleId="22">
    <w:name w:val="四号正文"/>
    <w:basedOn w:val="1"/>
    <w:qFormat/>
    <w:uiPriority w:val="0"/>
    <w:pPr>
      <w:spacing w:line="360" w:lineRule="auto"/>
    </w:pPr>
    <w:rPr>
      <w:rFonts w:ascii="??" w:hAnsi="??" w:cs="宋体"/>
      <w:color w:val="000000"/>
      <w:kern w:val="0"/>
      <w:sz w:val="28"/>
      <w:szCs w:val="21"/>
    </w:rPr>
  </w:style>
  <w:style w:type="paragraph" w:customStyle="1" w:styleId="23">
    <w:name w:val="文档正文"/>
    <w:basedOn w:val="1"/>
    <w:qFormat/>
    <w:uiPriority w:val="0"/>
    <w:pPr>
      <w:adjustRightInd w:val="0"/>
      <w:spacing w:line="480" w:lineRule="atLeast"/>
      <w:textAlignment w:val="baseline"/>
    </w:pPr>
    <w:rPr>
      <w:rFonts w:ascii="Arial" w:hAnsi="Arial"/>
      <w:kern w:val="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2.xml"/><Relationship Id="rId7" Type="http://schemas.openxmlformats.org/officeDocument/2006/relationships/footer" Target="footer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Normal.eit</Template>
  <Pages>13</Pages>
  <Words>11215</Words>
  <Characters>12161</Characters>
  <Lines>1115</Lines>
  <Paragraphs>391</Paragraphs>
  <TotalTime>10</TotalTime>
  <ScaleCrop>false</ScaleCrop>
  <LinksUpToDate>false</LinksUpToDate>
  <CharactersWithSpaces>12405</CharactersWithSpaces>
  <Application>WPS Office_12.1.0.20305_F1E327BC-269C-435d-A152-05C5408002CA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2025-05-21T08:44:00Z</dcterms:created>
  <dc:creator>shirley</dc:creator>
  <cp:lastModifiedBy>Administrator</cp:lastModifiedBy>
  <cp:lastPrinted>2026-01-20T03:08:00Z</cp:lastPrinted>
  <dcterms:modified xsi:type="dcterms:W3CDTF">2026-10-10T02:50:20Z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128DD572039C4300B36F1BEE5905C922_13</vt:lpwstr>
  </property>
  <property fmtid="{D5CDD505-2E9C-101B-9397-08002B2CF9AE}" pid="4" name="KSOTemplateDocerSaveRecord">
    <vt:lpwstr>eyJoZGlkIjoiYmZiYzA3ZjE4YjgyYzU5MDJiYTg3ZjhiYjI2M2IxZDkifQ==</vt:lpwstr>
  </property>
</Properties>
</file>