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A41D05">
      <w:pPr>
        <w:pStyle w:val="2"/>
        <w:rPr>
          <w:rFonts w:hint="eastAsia" w:ascii="黑体" w:hAnsi="黑体" w:eastAsia="黑体" w:cs="黑体"/>
          <w:color w:val="auto"/>
          <w:kern w:val="2"/>
          <w:sz w:val="32"/>
          <w:szCs w:val="32"/>
          <w:highlight w:val="none"/>
          <w:lang w:val="en-US" w:eastAsia="zh-CN" w:bidi="ar-SA"/>
        </w:rPr>
      </w:pPr>
      <w:bookmarkStart w:id="0" w:name="_Toc15378441"/>
      <w:bookmarkStart w:id="1" w:name="_Toc15377425"/>
      <w:bookmarkStart w:id="2" w:name="_Toc15377193"/>
      <w:bookmarkStart w:id="3" w:name="_Toc15396597"/>
      <w:bookmarkStart w:id="4" w:name="_Toc15396475"/>
      <w:bookmarkStart w:id="5" w:name="_Toc15306267"/>
      <w:r>
        <w:rPr>
          <w:rFonts w:hint="eastAsia" w:ascii="黑体" w:hAnsi="黑体" w:eastAsia="黑体" w:cs="黑体"/>
          <w:color w:val="auto"/>
          <w:kern w:val="2"/>
          <w:sz w:val="32"/>
          <w:szCs w:val="32"/>
          <w:highlight w:val="none"/>
          <w:lang w:val="en-US" w:eastAsia="zh-CN" w:bidi="ar-SA"/>
        </w:rPr>
        <w:t>附件4</w:t>
      </w:r>
    </w:p>
    <w:p w14:paraId="7F920451">
      <w:pPr>
        <w:pStyle w:val="2"/>
        <w:rPr>
          <w:rFonts w:hint="eastAsia" w:ascii="Times New Roman" w:hAnsi="Times New Roman" w:eastAsia="方正小标宋简体" w:cs="Times New Roman"/>
          <w:color w:val="auto"/>
          <w:kern w:val="2"/>
          <w:sz w:val="72"/>
          <w:szCs w:val="72"/>
          <w:highlight w:val="none"/>
          <w:lang w:val="en-US" w:eastAsia="zh-CN" w:bidi="ar-SA"/>
        </w:rPr>
      </w:pPr>
    </w:p>
    <w:p w14:paraId="1CBDABCD">
      <w:pPr>
        <w:pStyle w:val="2"/>
        <w:rPr>
          <w:rFonts w:hint="eastAsia" w:ascii="Times New Roman" w:hAnsi="Times New Roman" w:eastAsia="方正小标宋简体" w:cs="Times New Roman"/>
          <w:color w:val="auto"/>
          <w:kern w:val="2"/>
          <w:sz w:val="72"/>
          <w:szCs w:val="72"/>
          <w:highlight w:val="none"/>
          <w:lang w:val="en-US" w:eastAsia="zh-CN" w:bidi="ar-SA"/>
        </w:rPr>
      </w:pPr>
    </w:p>
    <w:p w14:paraId="02011CED">
      <w:pPr>
        <w:pStyle w:val="2"/>
        <w:rPr>
          <w:rFonts w:hint="eastAsia" w:ascii="Times New Roman" w:hAnsi="Times New Roman" w:eastAsia="方正小标宋简体" w:cs="Times New Roman"/>
          <w:color w:val="auto"/>
          <w:kern w:val="2"/>
          <w:sz w:val="72"/>
          <w:szCs w:val="72"/>
          <w:highlight w:val="none"/>
          <w:lang w:val="en-US" w:eastAsia="zh-CN" w:bidi="ar-SA"/>
        </w:rPr>
      </w:pPr>
    </w:p>
    <w:p w14:paraId="2046301F">
      <w:pPr>
        <w:pStyle w:val="2"/>
        <w:rPr>
          <w:rFonts w:hint="eastAsia" w:ascii="Times New Roman" w:hAnsi="Times New Roman" w:eastAsia="方正小标宋简体" w:cs="Times New Roman"/>
          <w:color w:val="auto"/>
          <w:kern w:val="2"/>
          <w:sz w:val="72"/>
          <w:szCs w:val="72"/>
          <w:highlight w:val="none"/>
          <w:lang w:val="en-US" w:eastAsia="zh-CN" w:bidi="ar-SA"/>
        </w:rPr>
      </w:pPr>
    </w:p>
    <w:p w14:paraId="23E454F8">
      <w:pPr>
        <w:pStyle w:val="2"/>
        <w:jc w:val="center"/>
        <w:rPr>
          <w:rFonts w:hint="default" w:ascii="Times New Roman" w:hAnsi="Times New Roman" w:eastAsia="方正小标宋简体" w:cs="Times New Roman"/>
          <w:color w:val="auto"/>
          <w:kern w:val="2"/>
          <w:sz w:val="44"/>
          <w:szCs w:val="44"/>
          <w:highlight w:val="none"/>
          <w:lang w:val="en-US" w:eastAsia="zh-CN" w:bidi="ar-SA"/>
        </w:rPr>
      </w:pPr>
      <w:r>
        <w:rPr>
          <w:rFonts w:hint="eastAsia" w:ascii="Times New Roman" w:eastAsia="方正小标宋简体" w:cs="Times New Roman"/>
          <w:color w:val="auto"/>
          <w:kern w:val="2"/>
          <w:sz w:val="44"/>
          <w:szCs w:val="44"/>
          <w:highlight w:val="none"/>
          <w:lang w:val="en-US" w:eastAsia="zh-CN" w:bidi="ar-SA"/>
        </w:rPr>
        <w:t>2025年度</w:t>
      </w:r>
      <w:r>
        <w:rPr>
          <w:rFonts w:hint="eastAsia" w:ascii="方正小标宋简体" w:hAnsi="宋体" w:eastAsia="方正小标宋简体" w:cs="Times New Roman"/>
          <w:color w:val="auto"/>
          <w:kern w:val="2"/>
          <w:sz w:val="44"/>
          <w:szCs w:val="44"/>
          <w:highlight w:val="none"/>
          <w:lang w:val="en-US" w:eastAsia="zh-CN" w:bidi="ar-SA"/>
        </w:rPr>
        <w:t>四川省阿坝州松潘县国防动员事务中心单位决算公开</w:t>
      </w:r>
      <w:r>
        <w:rPr>
          <w:rFonts w:hint="eastAsia" w:ascii="Times New Roman" w:hAnsi="Times New Roman" w:eastAsia="方正小标宋简体" w:cs="Times New Roman"/>
          <w:color w:val="auto"/>
          <w:kern w:val="2"/>
          <w:sz w:val="44"/>
          <w:szCs w:val="44"/>
          <w:highlight w:val="none"/>
          <w:lang w:val="en-US" w:eastAsia="zh-CN" w:bidi="ar-SA"/>
        </w:rPr>
        <w:t>文字说明</w:t>
      </w:r>
      <w:r>
        <w:rPr>
          <w:rFonts w:hint="eastAsia" w:ascii="Times New Roman" w:eastAsia="方正小标宋简体" w:cs="Times New Roman"/>
          <w:color w:val="auto"/>
          <w:kern w:val="2"/>
          <w:sz w:val="44"/>
          <w:szCs w:val="44"/>
          <w:highlight w:val="none"/>
          <w:lang w:val="en-US" w:eastAsia="zh-CN" w:bidi="ar-SA"/>
        </w:rPr>
        <w:t>及样表</w:t>
      </w:r>
    </w:p>
    <w:p w14:paraId="7430E6C3">
      <w:pPr>
        <w:spacing w:line="600" w:lineRule="exact"/>
        <w:jc w:val="center"/>
        <w:outlineLvl w:val="0"/>
        <w:rPr>
          <w:rFonts w:ascii="Times New Roman" w:hAnsi="Times New Roman" w:eastAsia="方正小标宋简体"/>
          <w:color w:val="auto"/>
          <w:sz w:val="72"/>
          <w:szCs w:val="72"/>
          <w:highlight w:val="none"/>
        </w:rPr>
      </w:pPr>
    </w:p>
    <w:p w14:paraId="30C8D9F2">
      <w:pPr>
        <w:pStyle w:val="19"/>
        <w:rPr>
          <w:rFonts w:ascii="Times New Roman" w:hAnsi="Times New Roman"/>
        </w:rPr>
        <w:sectPr>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p>
    <w:p w14:paraId="13715FB0">
      <w:pPr>
        <w:rPr>
          <w:rFonts w:ascii="Times New Roman" w:hAnsi="Times New Roman"/>
        </w:rPr>
      </w:pPr>
    </w:p>
    <w:p w14:paraId="774860D7">
      <w:pPr>
        <w:pStyle w:val="2"/>
        <w:jc w:val="center"/>
        <w:rPr>
          <w:rFonts w:hint="eastAsia" w:ascii="Times New Roman" w:hAnsi="Times New Roman" w:eastAsia="方正小标宋简体" w:cs="Times New Roman"/>
          <w:color w:val="auto"/>
          <w:kern w:val="2"/>
          <w:sz w:val="44"/>
          <w:szCs w:val="44"/>
          <w:highlight w:val="none"/>
          <w:lang w:val="en-US" w:eastAsia="zh-CN" w:bidi="ar-SA"/>
        </w:rPr>
      </w:pPr>
    </w:p>
    <w:p w14:paraId="1B3888D8">
      <w:pPr>
        <w:pStyle w:val="2"/>
        <w:jc w:val="center"/>
        <w:rPr>
          <w:rFonts w:hint="eastAsia" w:ascii="Times New Roman" w:hAnsi="Times New Roman" w:eastAsia="方正小标宋简体" w:cs="Times New Roman"/>
          <w:color w:val="auto"/>
          <w:kern w:val="2"/>
          <w:sz w:val="44"/>
          <w:szCs w:val="44"/>
          <w:highlight w:val="none"/>
          <w:lang w:val="en-US" w:eastAsia="zh-CN" w:bidi="ar-SA"/>
        </w:rPr>
      </w:pPr>
    </w:p>
    <w:p w14:paraId="305B4EEE">
      <w:pPr>
        <w:pStyle w:val="2"/>
        <w:jc w:val="center"/>
        <w:rPr>
          <w:rFonts w:hint="eastAsia" w:ascii="Times New Roman" w:hAnsi="Times New Roman" w:eastAsia="方正小标宋简体" w:cs="Times New Roman"/>
          <w:color w:val="auto"/>
          <w:kern w:val="2"/>
          <w:sz w:val="44"/>
          <w:szCs w:val="44"/>
          <w:highlight w:val="none"/>
          <w:lang w:val="en-US" w:eastAsia="zh-CN" w:bidi="ar-SA"/>
        </w:rPr>
      </w:pPr>
    </w:p>
    <w:p w14:paraId="29487490">
      <w:pPr>
        <w:pStyle w:val="2"/>
        <w:jc w:val="center"/>
        <w:rPr>
          <w:rFonts w:hint="eastAsia" w:ascii="Times New Roman" w:hAnsi="Times New Roman" w:eastAsia="方正小标宋简体" w:cs="Times New Roman"/>
          <w:color w:val="auto"/>
          <w:kern w:val="2"/>
          <w:sz w:val="44"/>
          <w:szCs w:val="44"/>
          <w:highlight w:val="none"/>
          <w:lang w:val="en-US" w:eastAsia="zh-CN" w:bidi="ar-SA"/>
        </w:rPr>
      </w:pPr>
    </w:p>
    <w:p w14:paraId="134C0EA2">
      <w:pPr>
        <w:pStyle w:val="2"/>
        <w:jc w:val="center"/>
        <w:rPr>
          <w:rFonts w:hint="eastAsia" w:ascii="Times New Roman" w:hAnsi="Times New Roman" w:eastAsia="方正小标宋简体" w:cs="Times New Roman"/>
          <w:color w:val="auto"/>
          <w:kern w:val="2"/>
          <w:sz w:val="44"/>
          <w:szCs w:val="44"/>
          <w:highlight w:val="none"/>
          <w:lang w:val="en-US" w:eastAsia="zh-CN" w:bidi="ar-SA"/>
        </w:rPr>
      </w:pPr>
    </w:p>
    <w:bookmarkEnd w:id="0"/>
    <w:bookmarkEnd w:id="1"/>
    <w:bookmarkEnd w:id="2"/>
    <w:bookmarkEnd w:id="3"/>
    <w:bookmarkEnd w:id="4"/>
    <w:p w14:paraId="1418B1F1">
      <w:pPr>
        <w:pStyle w:val="2"/>
        <w:jc w:val="center"/>
        <w:rPr>
          <w:rFonts w:hint="eastAsia" w:ascii="Times New Roman" w:hAnsi="Times New Roman" w:eastAsia="方正小标宋简体" w:cs="Times New Roman"/>
          <w:color w:val="auto"/>
          <w:kern w:val="2"/>
          <w:sz w:val="44"/>
          <w:szCs w:val="44"/>
          <w:highlight w:val="none"/>
          <w:lang w:val="en-US" w:eastAsia="zh-CN" w:bidi="ar-SA"/>
        </w:rPr>
      </w:pPr>
      <w:bookmarkStart w:id="6" w:name="_Toc15396476"/>
      <w:bookmarkStart w:id="7" w:name="_Toc15377426"/>
      <w:bookmarkStart w:id="8" w:name="_Toc15378442"/>
      <w:bookmarkStart w:id="9" w:name="_Toc15377194"/>
      <w:bookmarkStart w:id="10" w:name="_Toc15396598"/>
      <w:r>
        <w:rPr>
          <w:rFonts w:hint="eastAsia" w:ascii="Times New Roman" w:eastAsia="方正小标宋简体" w:cs="Times New Roman"/>
          <w:color w:val="auto"/>
          <w:kern w:val="2"/>
          <w:sz w:val="44"/>
          <w:szCs w:val="44"/>
          <w:highlight w:val="none"/>
          <w:lang w:val="en-US" w:eastAsia="zh-CN" w:bidi="ar-SA"/>
        </w:rPr>
        <w:t>2025年度</w:t>
      </w:r>
      <w:bookmarkEnd w:id="5"/>
      <w:bookmarkEnd w:id="6"/>
      <w:bookmarkEnd w:id="7"/>
      <w:bookmarkEnd w:id="8"/>
      <w:bookmarkEnd w:id="9"/>
      <w:bookmarkEnd w:id="10"/>
      <w:r>
        <w:rPr>
          <w:rFonts w:hint="eastAsia" w:ascii="方正小标宋简体" w:hAnsi="宋体" w:eastAsia="方正小标宋简体" w:cs="Times New Roman"/>
          <w:color w:val="auto"/>
          <w:kern w:val="2"/>
          <w:sz w:val="44"/>
          <w:szCs w:val="44"/>
          <w:highlight w:val="none"/>
          <w:lang w:val="en-US" w:eastAsia="zh-CN" w:bidi="ar-SA"/>
        </w:rPr>
        <w:t>四川省阿坝州松潘县国防动员事务中心决算公开</w:t>
      </w:r>
    </w:p>
    <w:p w14:paraId="51D2AD52">
      <w:pPr>
        <w:widowControl/>
        <w:jc w:val="center"/>
        <w:rPr>
          <w:rFonts w:hint="eastAsia" w:ascii="Times New Roman" w:hAnsi="Times New Roman" w:eastAsia="黑体"/>
          <w:color w:val="auto"/>
          <w:sz w:val="48"/>
          <w:szCs w:val="48"/>
          <w:highlight w:val="none"/>
        </w:rPr>
      </w:pPr>
    </w:p>
    <w:p w14:paraId="0CCBDA26">
      <w:pPr>
        <w:widowControl/>
        <w:jc w:val="center"/>
        <w:rPr>
          <w:rFonts w:hint="eastAsia" w:ascii="Times New Roman" w:hAnsi="Times New Roman" w:eastAsia="黑体"/>
          <w:color w:val="auto"/>
          <w:sz w:val="48"/>
          <w:szCs w:val="48"/>
          <w:highlight w:val="none"/>
        </w:rPr>
      </w:pPr>
    </w:p>
    <w:p w14:paraId="09980277">
      <w:pPr>
        <w:widowControl/>
        <w:jc w:val="center"/>
        <w:rPr>
          <w:rFonts w:hint="eastAsia" w:ascii="Times New Roman" w:hAnsi="Times New Roman" w:eastAsia="黑体"/>
          <w:color w:val="auto"/>
          <w:sz w:val="48"/>
          <w:szCs w:val="48"/>
          <w:highlight w:val="none"/>
        </w:rPr>
      </w:pPr>
    </w:p>
    <w:p w14:paraId="3953F011">
      <w:pPr>
        <w:widowControl/>
        <w:jc w:val="center"/>
        <w:rPr>
          <w:rFonts w:hint="eastAsia" w:ascii="Times New Roman" w:hAnsi="Times New Roman" w:eastAsia="黑体"/>
          <w:color w:val="auto"/>
          <w:sz w:val="48"/>
          <w:szCs w:val="48"/>
          <w:highlight w:val="none"/>
        </w:rPr>
      </w:pPr>
    </w:p>
    <w:p w14:paraId="35AF4C72">
      <w:pPr>
        <w:widowControl/>
        <w:jc w:val="center"/>
        <w:rPr>
          <w:rFonts w:hint="eastAsia" w:ascii="Times New Roman" w:hAnsi="Times New Roman" w:eastAsia="黑体"/>
          <w:color w:val="auto"/>
          <w:sz w:val="48"/>
          <w:szCs w:val="48"/>
          <w:highlight w:val="none"/>
        </w:rPr>
      </w:pPr>
    </w:p>
    <w:p w14:paraId="7DC5C243">
      <w:pPr>
        <w:widowControl/>
        <w:jc w:val="center"/>
        <w:rPr>
          <w:rFonts w:hint="eastAsia" w:ascii="Times New Roman" w:hAnsi="Times New Roman" w:eastAsia="黑体"/>
          <w:color w:val="auto"/>
          <w:sz w:val="48"/>
          <w:szCs w:val="48"/>
          <w:highlight w:val="none"/>
        </w:rPr>
      </w:pPr>
    </w:p>
    <w:p w14:paraId="05F0C12F">
      <w:pPr>
        <w:widowControl/>
        <w:jc w:val="center"/>
        <w:rPr>
          <w:rFonts w:hint="eastAsia" w:ascii="Times New Roman" w:hAnsi="Times New Roman" w:eastAsia="黑体"/>
          <w:color w:val="auto"/>
          <w:sz w:val="48"/>
          <w:szCs w:val="48"/>
          <w:highlight w:val="none"/>
        </w:rPr>
      </w:pPr>
    </w:p>
    <w:p w14:paraId="25830659">
      <w:pPr>
        <w:widowControl/>
        <w:jc w:val="center"/>
        <w:rPr>
          <w:rFonts w:hint="eastAsia" w:ascii="Times New Roman" w:hAnsi="Times New Roman" w:eastAsia="黑体"/>
          <w:color w:val="auto"/>
          <w:sz w:val="48"/>
          <w:szCs w:val="48"/>
          <w:highlight w:val="none"/>
        </w:rPr>
      </w:pPr>
    </w:p>
    <w:p w14:paraId="3C966B29">
      <w:pPr>
        <w:widowControl/>
        <w:jc w:val="center"/>
        <w:rPr>
          <w:rFonts w:hint="eastAsia" w:ascii="Times New Roman" w:hAnsi="Times New Roman" w:eastAsia="黑体"/>
          <w:color w:val="auto"/>
          <w:sz w:val="48"/>
          <w:szCs w:val="48"/>
          <w:highlight w:val="none"/>
        </w:rPr>
      </w:pPr>
    </w:p>
    <w:p w14:paraId="0ABCFF85">
      <w:pPr>
        <w:widowControl/>
        <w:jc w:val="center"/>
        <w:rPr>
          <w:rFonts w:hint="eastAsia" w:ascii="Times New Roman" w:hAnsi="Times New Roman" w:eastAsia="黑体"/>
          <w:color w:val="auto"/>
          <w:sz w:val="48"/>
          <w:szCs w:val="48"/>
          <w:highlight w:val="none"/>
        </w:rPr>
      </w:pPr>
    </w:p>
    <w:p w14:paraId="3AED53D1">
      <w:pPr>
        <w:widowControl/>
        <w:jc w:val="center"/>
        <w:rPr>
          <w:rFonts w:hint="eastAsia" w:ascii="Times New Roman" w:hAnsi="Times New Roman" w:eastAsia="黑体"/>
          <w:color w:val="auto"/>
          <w:sz w:val="48"/>
          <w:szCs w:val="48"/>
          <w:highlight w:val="none"/>
        </w:rPr>
      </w:pPr>
    </w:p>
    <w:p w14:paraId="6BF0FC0E">
      <w:pPr>
        <w:widowControl/>
        <w:jc w:val="center"/>
        <w:rPr>
          <w:rFonts w:hint="eastAsia" w:ascii="Times New Roman" w:hAnsi="Times New Roman" w:eastAsia="黑体"/>
          <w:color w:val="auto"/>
          <w:sz w:val="48"/>
          <w:szCs w:val="48"/>
          <w:highlight w:val="none"/>
        </w:rPr>
      </w:pPr>
    </w:p>
    <w:p w14:paraId="1E753903">
      <w:pPr>
        <w:widowControl/>
        <w:jc w:val="center"/>
        <w:rPr>
          <w:rFonts w:hint="eastAsia" w:ascii="Times New Roman" w:hAnsi="Times New Roman" w:eastAsia="黑体"/>
          <w:color w:val="auto"/>
          <w:sz w:val="48"/>
          <w:szCs w:val="48"/>
          <w:highlight w:val="none"/>
        </w:rPr>
      </w:pPr>
    </w:p>
    <w:p w14:paraId="2F195DFD">
      <w:pPr>
        <w:widowControl/>
        <w:jc w:val="center"/>
        <w:rPr>
          <w:rFonts w:hint="eastAsia" w:ascii="Times New Roman" w:hAnsi="Times New Roman" w:eastAsia="黑体"/>
          <w:color w:val="auto"/>
          <w:sz w:val="48"/>
          <w:szCs w:val="48"/>
          <w:highlight w:val="none"/>
        </w:rPr>
      </w:pPr>
    </w:p>
    <w:p w14:paraId="69D0C130">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14:paraId="65301FB0">
      <w:pPr>
        <w:widowControl/>
        <w:jc w:val="center"/>
        <w:rPr>
          <w:rFonts w:ascii="Times New Roman" w:hAnsi="Times New Roman" w:eastAsia="黑体" w:cstheme="minorBidi"/>
          <w:color w:val="auto"/>
          <w:sz w:val="28"/>
          <w:szCs w:val="28"/>
          <w:highlight w:val="none"/>
        </w:rPr>
      </w:pPr>
    </w:p>
    <w:p w14:paraId="160E22AC">
      <w:pPr>
        <w:pStyle w:val="12"/>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 xml:space="preserve"> 10 </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 xml:space="preserve"> 9 </w:t>
      </w:r>
      <w:r>
        <w:rPr>
          <w:rFonts w:hint="eastAsia" w:ascii="Times New Roman" w:hAnsi="Times New Roman" w:eastAsia="仿宋_GB2312" w:cs="仿宋_GB2312"/>
          <w:color w:val="auto"/>
          <w:sz w:val="32"/>
          <w:szCs w:val="32"/>
          <w:highlight w:val="none"/>
        </w:rPr>
        <w:t>日</w:t>
      </w:r>
    </w:p>
    <w:p w14:paraId="3F098270">
      <w:pPr>
        <w:rPr>
          <w:rFonts w:ascii="Times New Roman" w:hAnsi="Times New Roman"/>
          <w:color w:val="auto"/>
          <w:highlight w:val="none"/>
        </w:rPr>
      </w:pPr>
    </w:p>
    <w:p w14:paraId="42A86429">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第一部分 部门概况</w:t>
      </w:r>
    </w:p>
    <w:p w14:paraId="27E5DD8C">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w:t>
      </w:r>
      <w:r>
        <w:rPr>
          <w:rFonts w:hint="eastAsia" w:ascii="Times New Roman" w:hAnsi="Times New Roman" w:eastAsia="仿宋_GB2312" w:cs="仿宋_GB2312"/>
          <w:color w:val="auto"/>
          <w:sz w:val="32"/>
          <w:szCs w:val="32"/>
          <w:highlight w:val="none"/>
          <w:lang w:eastAsia="zh-CN"/>
        </w:rPr>
        <w:t>部门职责</w:t>
      </w:r>
    </w:p>
    <w:p w14:paraId="64588994">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二、机构设置</w:t>
      </w:r>
    </w:p>
    <w:p w14:paraId="5DFE3B5C">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2025年度</w:t>
      </w:r>
      <w:r>
        <w:rPr>
          <w:rFonts w:hint="eastAsia" w:ascii="Times New Roman" w:hAnsi="Times New Roman" w:eastAsia="黑体" w:cs="黑体"/>
          <w:color w:val="auto"/>
          <w:sz w:val="32"/>
          <w:szCs w:val="32"/>
          <w:highlight w:val="none"/>
        </w:rPr>
        <w:t>部门决算情况说明</w:t>
      </w:r>
    </w:p>
    <w:p w14:paraId="4A6FDFBB">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一、收入支出决算总体情况说明</w:t>
      </w:r>
    </w:p>
    <w:p w14:paraId="17419B7F">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二、收入决算情况说明</w:t>
      </w:r>
    </w:p>
    <w:p w14:paraId="7DB81837">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三、支出决算情况说明</w:t>
      </w:r>
    </w:p>
    <w:p w14:paraId="5E74C4BD">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四、财政拨款收入支出决算总体情况说明</w:t>
      </w:r>
    </w:p>
    <w:p w14:paraId="74103B1E">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五、一般公共预算财政拨款支出决算情况说明</w:t>
      </w:r>
    </w:p>
    <w:p w14:paraId="59FBEDC0">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六、一般公共预算财政拨款基本支出决算情况说明</w:t>
      </w:r>
    </w:p>
    <w:p w14:paraId="206A948B">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七、财政拨款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三公”经费支出决算情况说明</w:t>
      </w:r>
    </w:p>
    <w:p w14:paraId="494241E3">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八、政府性基金预算支出决算情况说明</w:t>
      </w:r>
    </w:p>
    <w:p w14:paraId="57CF0FA9">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w:t>
      </w:r>
      <w:r>
        <w:rPr>
          <w:rFonts w:hint="eastAsia" w:ascii="Times New Roman" w:hAnsi="Times New Roman" w:eastAsia="仿宋_GB2312" w:cs="仿宋_GB2312"/>
          <w:color w:val="auto"/>
          <w:sz w:val="32"/>
          <w:szCs w:val="32"/>
          <w:highlight w:val="none"/>
          <w:lang w:eastAsia="zh-CN"/>
        </w:rPr>
        <w:t>国</w:t>
      </w:r>
      <w:r>
        <w:rPr>
          <w:rFonts w:hint="eastAsia" w:ascii="Times New Roman" w:hAnsi="Times New Roman" w:eastAsia="仿宋_GB2312" w:cs="仿宋_GB2312"/>
          <w:color w:val="auto"/>
          <w:sz w:val="32"/>
          <w:szCs w:val="32"/>
          <w:highlight w:val="none"/>
        </w:rPr>
        <w:t>有资本经营预算支出决算情况说明</w:t>
      </w:r>
    </w:p>
    <w:p w14:paraId="2F3DC46F">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p>
    <w:p w14:paraId="680DCC8F">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第三部分 名词解释</w:t>
      </w:r>
    </w:p>
    <w:p w14:paraId="4929D7E7">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w:t>
      </w:r>
      <w:r>
        <w:rPr>
          <w:rFonts w:hint="eastAsia" w:ascii="Times New Roman" w:hAnsi="Times New Roman" w:eastAsia="黑体" w:cs="黑体"/>
          <w:color w:val="auto"/>
          <w:sz w:val="32"/>
          <w:szCs w:val="32"/>
          <w:highlight w:val="none"/>
          <w:lang w:val="en-US" w:eastAsia="zh-CN"/>
        </w:rPr>
        <w:t>四</w:t>
      </w:r>
      <w:r>
        <w:rPr>
          <w:rFonts w:hint="eastAsia" w:ascii="Times New Roman" w:hAnsi="Times New Roman" w:eastAsia="黑体" w:cs="黑体"/>
          <w:color w:val="auto"/>
          <w:sz w:val="32"/>
          <w:szCs w:val="32"/>
          <w:highlight w:val="none"/>
        </w:rPr>
        <w:t>部分 附表</w:t>
      </w:r>
    </w:p>
    <w:p w14:paraId="78CFD06F">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p>
    <w:p w14:paraId="19D53D1E">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二、收入决算表</w:t>
      </w:r>
    </w:p>
    <w:p w14:paraId="61028EF4">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三、支出决算表</w:t>
      </w:r>
    </w:p>
    <w:p w14:paraId="3BC99E35">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四、财政拨款收入支出决算总表</w:t>
      </w:r>
    </w:p>
    <w:p w14:paraId="5B629297">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五、财政拨款支出决算明细表</w:t>
      </w:r>
    </w:p>
    <w:p w14:paraId="2BD25E48">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p>
    <w:p w14:paraId="451F2E56">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七、一般公共预算财政拨款支出决算明细表</w:t>
      </w:r>
    </w:p>
    <w:p w14:paraId="3D55A7F9">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p>
    <w:p w14:paraId="065508F4">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九、一般公共预算财政拨款项目支出决算表</w:t>
      </w:r>
    </w:p>
    <w:p w14:paraId="66C51FF6">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十、政府性基金预算财政拨款收入支出决算表</w:t>
      </w:r>
    </w:p>
    <w:p w14:paraId="66D3A8C5">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十一、国有资本经营预算财政拨款收入支出决算表</w:t>
      </w:r>
    </w:p>
    <w:p w14:paraId="3F0ACA29">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p>
    <w:p w14:paraId="5C3CD71F">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十三、财政拨款“三公”经费支出决算表</w:t>
      </w:r>
    </w:p>
    <w:p w14:paraId="03EEA861">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eastAsia="仿宋_GB2312" w:cs="仿宋_GB2312"/>
          <w:bCs/>
          <w:color w:val="auto"/>
          <w:kern w:val="44"/>
          <w:sz w:val="32"/>
          <w:szCs w:val="32"/>
          <w:highlight w:val="none"/>
        </w:rPr>
      </w:pPr>
      <w:bookmarkStart w:id="11" w:name="_Toc15396599"/>
      <w:bookmarkStart w:id="12" w:name="_Toc15377196"/>
      <w:r>
        <w:rPr>
          <w:rFonts w:hint="eastAsia" w:ascii="Times New Roman" w:hAnsi="Times New Roman" w:eastAsia="仿宋_GB2312" w:cs="仿宋_GB2312"/>
          <w:b/>
          <w:color w:val="auto"/>
          <w:sz w:val="32"/>
          <w:szCs w:val="32"/>
          <w:highlight w:val="none"/>
        </w:rPr>
        <w:br w:type="page"/>
      </w:r>
    </w:p>
    <w:p w14:paraId="1A56571D">
      <w:pPr>
        <w:pStyle w:val="3"/>
        <w:jc w:val="center"/>
        <w:rPr>
          <w:rFonts w:ascii="Times New Roman" w:hAnsi="Times New Roman" w:eastAsia="黑体"/>
          <w:color w:val="auto"/>
          <w:sz w:val="32"/>
          <w:szCs w:val="32"/>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8"/>
          <w:rFonts w:hint="eastAsia" w:ascii="Times New Roman" w:hAnsi="Times New Roman" w:eastAsia="方正小标宋简体" w:cs="方正小标宋简体"/>
          <w:b w:val="0"/>
          <w:bCs w:val="0"/>
          <w:color w:val="auto"/>
          <w:highlight w:val="none"/>
        </w:rPr>
        <w:t>部门概况</w:t>
      </w:r>
      <w:bookmarkEnd w:id="11"/>
      <w:bookmarkEnd w:id="12"/>
    </w:p>
    <w:p w14:paraId="52D4421A">
      <w:pPr>
        <w:pStyle w:val="4"/>
        <w:numPr>
          <w:ilvl w:val="0"/>
          <w:numId w:val="1"/>
        </w:numPr>
        <w:rPr>
          <w:rFonts w:hint="eastAsia" w:ascii="Times New Roman" w:hAnsi="Times New Roman" w:eastAsia="黑体"/>
          <w:b w:val="0"/>
          <w:color w:val="auto"/>
          <w:highlight w:val="none"/>
          <w:lang w:eastAsia="zh-CN"/>
        </w:rPr>
      </w:pPr>
      <w:r>
        <w:rPr>
          <w:rFonts w:hint="eastAsia" w:ascii="Times New Roman" w:hAnsi="Times New Roman" w:eastAsia="黑体"/>
          <w:b w:val="0"/>
          <w:color w:val="auto"/>
          <w:highlight w:val="none"/>
          <w:lang w:eastAsia="zh-CN"/>
        </w:rPr>
        <w:t>部门职责</w:t>
      </w:r>
    </w:p>
    <w:p w14:paraId="3C1E758C">
      <w:pPr>
        <w:keepNext w:val="0"/>
        <w:keepLines w:val="0"/>
        <w:pageBreakBefore w:val="0"/>
        <w:widowControl w:val="0"/>
        <w:numPr>
          <w:ilvl w:val="0"/>
          <w:numId w:val="0"/>
        </w:numPr>
        <w:suppressAutoHyphens/>
        <w:kinsoku/>
        <w:wordWrap/>
        <w:overflowPunct/>
        <w:topLinePunct w:val="0"/>
        <w:autoSpaceDE/>
        <w:autoSpaceDN/>
        <w:bidi w:val="0"/>
        <w:adjustRightInd/>
        <w:snapToGrid/>
        <w:spacing w:before="0" w:beforeAutospacing="0" w:after="0" w:afterAutospacing="0" w:line="576" w:lineRule="exact"/>
        <w:ind w:left="0" w:right="0" w:firstLine="640" w:firstLineChars="200"/>
        <w:jc w:val="both"/>
        <w:textAlignment w:val="auto"/>
        <w:rPr>
          <w:rFonts w:hint="eastAsia" w:ascii="仿宋_GB2312" w:hAnsi="仿宋_GB2312" w:eastAsia="仿宋_GB2312" w:cs="仿宋_GB2312"/>
          <w:color w:val="auto"/>
          <w:kern w:val="0"/>
          <w:sz w:val="32"/>
          <w:szCs w:val="32"/>
          <w:lang w:eastAsia="zh-CN" w:bidi="ar"/>
        </w:rPr>
      </w:pPr>
      <w:r>
        <w:rPr>
          <w:rFonts w:hint="eastAsia" w:ascii="仿宋_GB2312" w:hAnsi="仿宋_GB2312" w:eastAsia="仿宋_GB2312" w:cs="仿宋_GB2312"/>
          <w:color w:val="auto"/>
          <w:kern w:val="0"/>
          <w:sz w:val="32"/>
          <w:szCs w:val="32"/>
          <w:lang w:eastAsia="zh-CN" w:bidi="ar"/>
        </w:rPr>
        <w:t xml:space="preserve">1.负责县政府人民防空和民防工作，指导全县人民防空和民防工作。 </w:t>
      </w:r>
    </w:p>
    <w:p w14:paraId="4DF90F6A">
      <w:pPr>
        <w:keepNext w:val="0"/>
        <w:keepLines w:val="0"/>
        <w:pageBreakBefore w:val="0"/>
        <w:widowControl w:val="0"/>
        <w:numPr>
          <w:ilvl w:val="0"/>
          <w:numId w:val="0"/>
        </w:numPr>
        <w:suppressAutoHyphens/>
        <w:kinsoku/>
        <w:wordWrap/>
        <w:overflowPunct/>
        <w:topLinePunct w:val="0"/>
        <w:autoSpaceDE/>
        <w:autoSpaceDN/>
        <w:bidi w:val="0"/>
        <w:adjustRightInd/>
        <w:snapToGrid/>
        <w:spacing w:before="0" w:beforeAutospacing="0" w:after="0" w:afterAutospacing="0" w:line="576" w:lineRule="exact"/>
        <w:ind w:left="0" w:right="0" w:firstLine="640" w:firstLineChars="200"/>
        <w:jc w:val="both"/>
        <w:textAlignment w:val="auto"/>
        <w:rPr>
          <w:rFonts w:hint="eastAsia" w:ascii="仿宋_GB2312" w:hAnsi="仿宋_GB2312" w:eastAsia="仿宋_GB2312" w:cs="仿宋_GB2312"/>
          <w:color w:val="auto"/>
          <w:kern w:val="0"/>
          <w:sz w:val="32"/>
          <w:szCs w:val="32"/>
          <w:lang w:eastAsia="zh-CN" w:bidi="ar"/>
        </w:rPr>
      </w:pPr>
      <w:r>
        <w:rPr>
          <w:rFonts w:hint="eastAsia" w:ascii="仿宋_GB2312" w:hAnsi="仿宋_GB2312" w:eastAsia="仿宋_GB2312" w:cs="仿宋_GB2312"/>
          <w:color w:val="auto"/>
          <w:kern w:val="0"/>
          <w:sz w:val="32"/>
          <w:szCs w:val="32"/>
          <w:lang w:eastAsia="zh-CN" w:bidi="ar"/>
        </w:rPr>
        <w:t xml:space="preserve">2.负责县机关事务工作，指导全县办公用房、公务用车平台管理等工作。 </w:t>
      </w:r>
    </w:p>
    <w:p w14:paraId="4B6C1C84">
      <w:pPr>
        <w:numPr>
          <w:ilvl w:val="0"/>
          <w:numId w:val="0"/>
        </w:numPr>
        <w:rPr>
          <w:rFonts w:hint="eastAsia"/>
          <w:lang w:eastAsia="zh-CN"/>
        </w:rPr>
      </w:pPr>
      <w:r>
        <w:rPr>
          <w:rFonts w:hint="eastAsia" w:ascii="仿宋_GB2312" w:hAnsi="仿宋_GB2312" w:eastAsia="仿宋_GB2312" w:cs="仿宋_GB2312"/>
          <w:color w:val="auto"/>
          <w:kern w:val="0"/>
          <w:sz w:val="32"/>
          <w:szCs w:val="32"/>
          <w:lang w:eastAsia="zh-CN" w:bidi="ar"/>
        </w:rPr>
        <w:t>3.</w:t>
      </w:r>
      <w:r>
        <w:rPr>
          <w:rFonts w:hint="eastAsia" w:ascii="仿宋_GB2312" w:hAnsi="仿宋_GB2312" w:eastAsia="仿宋_GB2312" w:cs="仿宋_GB2312"/>
          <w:color w:val="auto"/>
          <w:kern w:val="0"/>
          <w:sz w:val="32"/>
          <w:szCs w:val="32"/>
          <w:lang w:val="en-US" w:eastAsia="zh-CN" w:bidi="ar"/>
        </w:rPr>
        <w:t>指导、监督全县政府信息公开工作和机关行政效能建设工作，指导、监督全县政府系统电子政务工作和政府网络建设</w:t>
      </w:r>
    </w:p>
    <w:p w14:paraId="6CC9EB82">
      <w:pPr>
        <w:pStyle w:val="4"/>
        <w:rPr>
          <w:rStyle w:val="29"/>
          <w:rFonts w:ascii="Times New Roman" w:hAnsi="Times New Roman"/>
          <w:b w:val="0"/>
          <w:bCs w:val="0"/>
          <w:color w:val="auto"/>
          <w:highlight w:val="none"/>
        </w:rPr>
      </w:pPr>
      <w:bookmarkStart w:id="13" w:name="_Toc15377200"/>
      <w:bookmarkStart w:id="14" w:name="_Toc15396601"/>
      <w:r>
        <w:rPr>
          <w:rFonts w:hint="eastAsia" w:ascii="Times New Roman" w:hAnsi="Times New Roman" w:eastAsia="黑体"/>
          <w:b w:val="0"/>
          <w:color w:val="auto"/>
          <w:highlight w:val="none"/>
        </w:rPr>
        <w:t>二、机</w:t>
      </w:r>
      <w:r>
        <w:rPr>
          <w:rStyle w:val="29"/>
          <w:rFonts w:hint="eastAsia" w:ascii="Times New Roman" w:hAnsi="Times New Roman" w:eastAsia="黑体"/>
          <w:b w:val="0"/>
          <w:bCs w:val="0"/>
          <w:color w:val="auto"/>
          <w:highlight w:val="none"/>
        </w:rPr>
        <w:t>构设置</w:t>
      </w:r>
      <w:bookmarkEnd w:id="13"/>
      <w:bookmarkEnd w:id="14"/>
    </w:p>
    <w:p w14:paraId="2211BA35">
      <w:pPr>
        <w:keepNext w:val="0"/>
        <w:keepLines w:val="0"/>
        <w:pageBreakBefore w:val="0"/>
        <w:widowControl w:val="0"/>
        <w:numPr>
          <w:ilvl w:val="0"/>
          <w:numId w:val="0"/>
        </w:numPr>
        <w:suppressAutoHyphens/>
        <w:kinsoku/>
        <w:wordWrap/>
        <w:overflowPunct/>
        <w:topLinePunct w:val="0"/>
        <w:autoSpaceDE/>
        <w:autoSpaceDN/>
        <w:bidi w:val="0"/>
        <w:adjustRightInd/>
        <w:snapToGrid/>
        <w:spacing w:before="0" w:beforeAutospacing="0" w:after="0" w:afterAutospacing="0" w:line="576" w:lineRule="exact"/>
        <w:ind w:left="0" w:right="0" w:firstLine="643" w:firstLineChars="200"/>
        <w:jc w:val="both"/>
        <w:textAlignment w:val="auto"/>
        <w:rPr>
          <w:rFonts w:hint="eastAsia" w:ascii="楷体_GB2312" w:hAnsi="楷体_GB2312" w:eastAsia="楷体_GB2312" w:cs="楷体_GB2312"/>
          <w:b/>
          <w:bCs/>
          <w:color w:val="auto"/>
          <w:kern w:val="0"/>
          <w:sz w:val="32"/>
          <w:szCs w:val="32"/>
          <w:lang w:val="en-US" w:eastAsia="zh-CN" w:bidi="ar"/>
        </w:rPr>
      </w:pPr>
      <w:bookmarkStart w:id="15" w:name="_Toc18707"/>
      <w:r>
        <w:rPr>
          <w:rFonts w:hint="eastAsia" w:ascii="楷体_GB2312" w:hAnsi="楷体_GB2312" w:eastAsia="楷体_GB2312" w:cs="楷体_GB2312"/>
          <w:b/>
          <w:bCs/>
          <w:color w:val="auto"/>
          <w:kern w:val="0"/>
          <w:sz w:val="32"/>
          <w:szCs w:val="32"/>
          <w:lang w:val="en-US" w:eastAsia="zh-CN" w:bidi="ar"/>
        </w:rPr>
        <w:t>1.信息</w:t>
      </w:r>
      <w:bookmarkEnd w:id="15"/>
      <w:r>
        <w:rPr>
          <w:rFonts w:hint="eastAsia" w:ascii="楷体_GB2312" w:hAnsi="楷体_GB2312" w:eastAsia="楷体_GB2312" w:cs="楷体_GB2312"/>
          <w:b/>
          <w:bCs/>
          <w:color w:val="auto"/>
          <w:kern w:val="0"/>
          <w:sz w:val="32"/>
          <w:szCs w:val="32"/>
          <w:lang w:val="en-US" w:eastAsia="zh-CN" w:bidi="ar"/>
        </w:rPr>
        <w:t>公开工作中心</w:t>
      </w:r>
    </w:p>
    <w:p w14:paraId="50B01543">
      <w:pPr>
        <w:keepNext w:val="0"/>
        <w:keepLines w:val="0"/>
        <w:pageBreakBefore w:val="0"/>
        <w:widowControl w:val="0"/>
        <w:numPr>
          <w:ilvl w:val="0"/>
          <w:numId w:val="0"/>
        </w:numPr>
        <w:suppressAutoHyphens/>
        <w:kinsoku/>
        <w:wordWrap/>
        <w:overflowPunct/>
        <w:topLinePunct w:val="0"/>
        <w:autoSpaceDE/>
        <w:autoSpaceDN/>
        <w:bidi w:val="0"/>
        <w:adjustRightInd/>
        <w:snapToGrid/>
        <w:spacing w:before="0" w:beforeAutospacing="0" w:after="0" w:afterAutospacing="0" w:line="576" w:lineRule="exact"/>
        <w:ind w:left="0" w:right="0" w:firstLine="640" w:firstLineChars="200"/>
        <w:jc w:val="both"/>
        <w:textAlignment w:val="auto"/>
        <w:rPr>
          <w:rFonts w:hint="eastAsia" w:ascii="仿宋_GB2312" w:hAnsi="仿宋_GB2312" w:eastAsia="仿宋_GB2312" w:cs="仿宋_GB2312"/>
          <w:color w:val="auto"/>
          <w:kern w:val="0"/>
          <w:sz w:val="32"/>
          <w:szCs w:val="32"/>
          <w:lang w:eastAsia="zh-CN" w:bidi="ar"/>
        </w:rPr>
      </w:pPr>
      <w:r>
        <w:rPr>
          <w:rFonts w:hint="eastAsia" w:ascii="仿宋_GB2312" w:hAnsi="仿宋_GB2312" w:eastAsia="仿宋_GB2312" w:cs="仿宋_GB2312"/>
          <w:color w:val="auto"/>
          <w:kern w:val="0"/>
          <w:sz w:val="32"/>
          <w:szCs w:val="32"/>
          <w:lang w:val="en-US" w:eastAsia="zh-CN" w:bidi="ar"/>
        </w:rPr>
        <w:t>指导、监督全县政府信息公开工作和机关行政效能建设工作，指导、监督全县政府系统电子政务工作和政府网络建设。</w:t>
      </w:r>
    </w:p>
    <w:p w14:paraId="31FF6D31">
      <w:pPr>
        <w:keepNext w:val="0"/>
        <w:keepLines w:val="0"/>
        <w:pageBreakBefore w:val="0"/>
        <w:widowControl w:val="0"/>
        <w:numPr>
          <w:ilvl w:val="0"/>
          <w:numId w:val="0"/>
        </w:numPr>
        <w:suppressAutoHyphens/>
        <w:kinsoku/>
        <w:wordWrap/>
        <w:overflowPunct/>
        <w:topLinePunct w:val="0"/>
        <w:autoSpaceDE/>
        <w:autoSpaceDN/>
        <w:bidi w:val="0"/>
        <w:adjustRightInd/>
        <w:snapToGrid/>
        <w:spacing w:before="0" w:beforeAutospacing="0" w:after="0" w:afterAutospacing="0" w:line="576" w:lineRule="exact"/>
        <w:ind w:left="0" w:right="0" w:firstLine="643" w:firstLineChars="200"/>
        <w:jc w:val="both"/>
        <w:textAlignment w:val="auto"/>
        <w:rPr>
          <w:rFonts w:hint="eastAsia" w:ascii="楷体_GB2312" w:hAnsi="楷体_GB2312" w:eastAsia="楷体_GB2312" w:cs="楷体_GB2312"/>
          <w:b/>
          <w:bCs/>
          <w:color w:val="auto"/>
          <w:kern w:val="0"/>
          <w:sz w:val="32"/>
          <w:szCs w:val="32"/>
          <w:lang w:val="en-US" w:eastAsia="zh-CN" w:bidi="ar"/>
        </w:rPr>
      </w:pPr>
      <w:bookmarkStart w:id="16" w:name="_Toc21516"/>
      <w:r>
        <w:rPr>
          <w:rFonts w:hint="eastAsia" w:ascii="楷体_GB2312" w:hAnsi="楷体_GB2312" w:eastAsia="楷体_GB2312" w:cs="楷体_GB2312"/>
          <w:b/>
          <w:bCs/>
          <w:color w:val="auto"/>
          <w:kern w:val="0"/>
          <w:sz w:val="32"/>
          <w:szCs w:val="32"/>
          <w:lang w:val="en-US" w:eastAsia="zh-CN" w:bidi="ar"/>
        </w:rPr>
        <w:t>2.机关事务服务中心</w:t>
      </w:r>
      <w:bookmarkEnd w:id="16"/>
    </w:p>
    <w:p w14:paraId="5DDC39D7">
      <w:pPr>
        <w:keepNext w:val="0"/>
        <w:keepLines w:val="0"/>
        <w:pageBreakBefore w:val="0"/>
        <w:widowControl/>
        <w:kinsoku/>
        <w:wordWrap/>
        <w:overflowPunct/>
        <w:topLinePunct w:val="0"/>
        <w:autoSpaceDE/>
        <w:autoSpaceDN/>
        <w:bidi w:val="0"/>
        <w:adjustRightInd/>
        <w:snapToGrid/>
        <w:ind w:firstLine="640" w:firstLineChars="200"/>
        <w:jc w:val="left"/>
        <w:textAlignment w:val="auto"/>
        <w:rPr>
          <w:rFonts w:ascii="Times New Roman" w:hAnsi="Times New Roman" w:eastAsia="仿宋"/>
          <w:color w:val="auto"/>
          <w:kern w:val="0"/>
          <w:sz w:val="32"/>
          <w:szCs w:val="32"/>
          <w:highlight w:val="none"/>
        </w:rPr>
      </w:pPr>
      <w:r>
        <w:rPr>
          <w:rFonts w:hint="eastAsia" w:ascii="仿宋_GB2312" w:hAnsi="仿宋_GB2312" w:eastAsia="仿宋_GB2312" w:cs="仿宋_GB2312"/>
          <w:color w:val="auto"/>
          <w:kern w:val="0"/>
          <w:sz w:val="32"/>
          <w:szCs w:val="32"/>
          <w:lang w:val="en-US" w:eastAsia="zh-CN" w:bidi="ar"/>
        </w:rPr>
        <w:t>负责县直机关事务的管理、保障、服务工作；负责县直行政事业单位国有资产管理工作；负责拟定全县党政机关和事业单位公务车辆管理办法并组织实施；负责县直行政事业单位办公用房管理等工作；负责全县公共机构节能等工作；负责县直机关办公区的安保、消防、绿化、卫生等工作；负责机关运行成本等工作。</w:t>
      </w:r>
      <w:r>
        <w:rPr>
          <w:rFonts w:ascii="Times New Roman" w:hAnsi="Times New Roman" w:eastAsia="仿宋"/>
          <w:color w:val="auto"/>
          <w:sz w:val="32"/>
          <w:szCs w:val="32"/>
          <w:highlight w:val="none"/>
        </w:rPr>
        <w:br w:type="page"/>
      </w:r>
    </w:p>
    <w:p w14:paraId="7CBA4651">
      <w:pPr>
        <w:pStyle w:val="3"/>
        <w:jc w:val="center"/>
        <w:rPr>
          <w:rFonts w:hint="eastAsia" w:ascii="Times New Roman" w:hAnsi="Times New Roman" w:eastAsia="方正小标宋简体" w:cs="方正小标宋简体"/>
          <w:b w:val="0"/>
          <w:color w:val="auto"/>
          <w:highlight w:val="none"/>
        </w:rPr>
      </w:pPr>
      <w:bookmarkStart w:id="17" w:name="_Toc15396602"/>
      <w:bookmarkStart w:id="18" w:name="_Toc15377204"/>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17"/>
      <w:bookmarkEnd w:id="18"/>
    </w:p>
    <w:p w14:paraId="6FD1CC3E">
      <w:pPr>
        <w:rPr>
          <w:rFonts w:ascii="Times New Roman" w:hAnsi="Times New Roman"/>
          <w:color w:val="auto"/>
          <w:highlight w:val="none"/>
        </w:rPr>
      </w:pPr>
    </w:p>
    <w:p w14:paraId="5712E67B">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bookmarkStart w:id="19" w:name="_Toc15377205"/>
      <w:bookmarkStart w:id="20" w:name="_Toc15396603"/>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29"/>
          <w:rFonts w:hint="eastAsia" w:ascii="Times New Roman" w:hAnsi="Times New Roman" w:eastAsia="黑体"/>
          <w:b w:val="0"/>
          <w:color w:val="auto"/>
          <w:highlight w:val="none"/>
        </w:rPr>
        <w:t>入支出决算总体情况说明</w:t>
      </w:r>
      <w:bookmarkEnd w:id="19"/>
      <w:bookmarkEnd w:id="20"/>
    </w:p>
    <w:p w14:paraId="326E335A">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仿宋_GB2312" w:hAnsi="仿宋_GB2312" w:eastAsia="仿宋_GB2312" w:cs="仿宋_GB2312"/>
          <w:sz w:val="32"/>
          <w:szCs w:val="32"/>
        </w:rPr>
        <w:t>288.91</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总计各增加</w:t>
      </w:r>
      <w:r>
        <w:rPr>
          <w:rFonts w:hint="eastAsia" w:eastAsia="仿宋_GB2312" w:cs="仿宋_GB2312"/>
          <w:color w:val="auto"/>
          <w:sz w:val="32"/>
          <w:szCs w:val="32"/>
          <w:highlight w:val="none"/>
          <w:lang w:val="en-US" w:eastAsia="zh-CN"/>
        </w:rPr>
        <w:t>45.13</w:t>
      </w:r>
      <w:r>
        <w:rPr>
          <w:rFonts w:hint="eastAsia" w:ascii="Times New Roman" w:hAnsi="Times New Roman" w:eastAsia="仿宋_GB2312" w:cs="仿宋_GB2312"/>
          <w:color w:val="auto"/>
          <w:sz w:val="32"/>
          <w:szCs w:val="32"/>
          <w:highlight w:val="none"/>
        </w:rPr>
        <w:t>万元，增长</w:t>
      </w:r>
      <w:r>
        <w:rPr>
          <w:rFonts w:hint="eastAsia" w:eastAsia="仿宋_GB2312" w:cs="仿宋_GB2312"/>
          <w:color w:val="auto"/>
          <w:sz w:val="32"/>
          <w:szCs w:val="32"/>
          <w:highlight w:val="none"/>
          <w:lang w:val="en-US" w:eastAsia="zh-CN"/>
        </w:rPr>
        <w:t>18.51</w:t>
      </w:r>
      <w:r>
        <w:rPr>
          <w:rFonts w:hint="eastAsia" w:ascii="Times New Roman" w:hAnsi="Times New Roman" w:eastAsia="仿宋_GB2312" w:cs="仿宋_GB2312"/>
          <w:color w:val="auto"/>
          <w:sz w:val="32"/>
          <w:szCs w:val="32"/>
          <w:highlight w:val="none"/>
        </w:rPr>
        <w:t>%。主要变动原因是</w:t>
      </w:r>
      <w:r>
        <w:rPr>
          <w:rFonts w:hint="eastAsia" w:eastAsia="仿宋_GB2312" w:cs="仿宋_GB2312"/>
          <w:color w:val="auto"/>
          <w:sz w:val="32"/>
          <w:szCs w:val="32"/>
          <w:highlight w:val="none"/>
          <w:lang w:val="en-US" w:eastAsia="zh-CN"/>
        </w:rPr>
        <w:t>本年度人员增加，经费增加。</w:t>
      </w:r>
    </w:p>
    <w:p w14:paraId="314ECE28">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21" w:name="_Toc15396604"/>
      <w:bookmarkStart w:id="22" w:name="_Toc15377206"/>
      <w:r>
        <w:rPr>
          <w:rFonts w:hint="eastAsia" w:ascii="Times New Roman" w:hAnsi="Times New Roman" w:eastAsia="黑体"/>
          <w:color w:val="auto"/>
          <w:sz w:val="32"/>
          <w:szCs w:val="32"/>
          <w:highlight w:val="none"/>
          <w:lang w:eastAsia="zh-CN"/>
        </w:rPr>
        <w:t>二、收入决算情况说明</w:t>
      </w:r>
      <w:bookmarkEnd w:id="21"/>
      <w:bookmarkEnd w:id="22"/>
    </w:p>
    <w:p w14:paraId="0540D061">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b/>
          <w:bCs/>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ascii="仿宋_GB2312" w:hAnsi="仿宋_GB2312" w:eastAsia="仿宋_GB2312" w:cs="仿宋_GB2312"/>
          <w:sz w:val="32"/>
          <w:szCs w:val="32"/>
        </w:rPr>
        <w:t>288.91</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ascii="仿宋_GB2312" w:hAnsi="仿宋_GB2312" w:eastAsia="仿宋_GB2312" w:cs="仿宋_GB2312"/>
          <w:sz w:val="32"/>
          <w:szCs w:val="32"/>
        </w:rPr>
        <w:t>288.91</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100</w:t>
      </w:r>
      <w:r>
        <w:rPr>
          <w:rFonts w:hint="eastAsia" w:ascii="Times New Roman" w:hAnsi="Times New Roman" w:eastAsia="仿宋_GB2312" w:cs="仿宋_GB2312"/>
          <w:color w:val="auto"/>
          <w:sz w:val="32"/>
          <w:szCs w:val="32"/>
          <w:highlight w:val="none"/>
          <w:lang w:eastAsia="zh-CN"/>
        </w:rPr>
        <w:t>%；政府性基金预算财政拨款收入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%；国有资本经营预算财政拨款收入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%；上级补助收入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%；事业收入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%；经营收入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%；附属单位上缴收入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%；其他收入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w:t>
      </w:r>
    </w:p>
    <w:p w14:paraId="71A6BE55">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bookmarkStart w:id="23" w:name="_Toc15377207"/>
      <w:bookmarkStart w:id="24" w:name="_Toc15396605"/>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29"/>
          <w:rFonts w:hint="eastAsia" w:ascii="Times New Roman" w:hAnsi="Times New Roman" w:eastAsia="黑体"/>
          <w:b w:val="0"/>
          <w:color w:val="auto"/>
          <w:highlight w:val="none"/>
        </w:rPr>
        <w:t>出决算情况说明</w:t>
      </w:r>
      <w:bookmarkEnd w:id="23"/>
      <w:bookmarkEnd w:id="24"/>
    </w:p>
    <w:p w14:paraId="24C1E438">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ascii="仿宋_GB2312" w:hAnsi="仿宋_GB2312" w:eastAsia="仿宋_GB2312" w:cs="仿宋_GB2312"/>
          <w:sz w:val="32"/>
          <w:szCs w:val="32"/>
        </w:rPr>
        <w:t>288.91</w:t>
      </w:r>
      <w:r>
        <w:rPr>
          <w:rFonts w:hint="eastAsia" w:ascii="Times New Roman" w:hAnsi="Times New Roman" w:eastAsia="仿宋_GB2312" w:cs="仿宋_GB2312"/>
          <w:color w:val="auto"/>
          <w:sz w:val="32"/>
          <w:szCs w:val="32"/>
          <w:highlight w:val="none"/>
          <w:lang w:eastAsia="zh-CN"/>
        </w:rPr>
        <w:t>万元，其中：基本支出</w:t>
      </w:r>
      <w:r>
        <w:rPr>
          <w:rFonts w:hint="eastAsia" w:ascii="仿宋_GB2312" w:hAnsi="仿宋_GB2312" w:eastAsia="仿宋_GB2312" w:cs="仿宋_GB2312"/>
          <w:sz w:val="32"/>
          <w:szCs w:val="32"/>
        </w:rPr>
        <w:t>288.91</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100</w:t>
      </w:r>
      <w:r>
        <w:rPr>
          <w:rFonts w:hint="eastAsia" w:ascii="Times New Roman" w:hAnsi="Times New Roman" w:eastAsia="仿宋_GB2312" w:cs="仿宋_GB2312"/>
          <w:color w:val="auto"/>
          <w:sz w:val="32"/>
          <w:szCs w:val="32"/>
          <w:highlight w:val="none"/>
          <w:lang w:eastAsia="zh-CN"/>
        </w:rPr>
        <w:t>%；项目支出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%；上缴上级支出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%；经营支出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%；对附属单位补助支出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w:t>
      </w:r>
    </w:p>
    <w:p w14:paraId="31C41E59">
      <w:pPr>
        <w:spacing w:line="600" w:lineRule="exact"/>
        <w:ind w:firstLine="640" w:firstLineChars="200"/>
        <w:outlineLvl w:val="1"/>
        <w:rPr>
          <w:rStyle w:val="29"/>
          <w:rFonts w:ascii="Times New Roman" w:hAnsi="Times New Roman" w:eastAsia="黑体"/>
          <w:b w:val="0"/>
          <w:color w:val="auto"/>
          <w:highlight w:val="none"/>
        </w:rPr>
      </w:pPr>
      <w:bookmarkStart w:id="25" w:name="_Toc15396606"/>
      <w:bookmarkStart w:id="26" w:name="_Toc15377208"/>
      <w:r>
        <w:rPr>
          <w:rFonts w:hint="eastAsia" w:ascii="Times New Roman" w:hAnsi="Times New Roman" w:eastAsia="黑体"/>
          <w:color w:val="auto"/>
          <w:sz w:val="32"/>
          <w:szCs w:val="32"/>
          <w:highlight w:val="none"/>
        </w:rPr>
        <w:t>四、财</w:t>
      </w:r>
      <w:r>
        <w:rPr>
          <w:rStyle w:val="29"/>
          <w:rFonts w:hint="eastAsia" w:ascii="Times New Roman" w:hAnsi="Times New Roman" w:eastAsia="黑体"/>
          <w:b w:val="0"/>
          <w:color w:val="auto"/>
          <w:highlight w:val="none"/>
        </w:rPr>
        <w:t>政拨款收入支出决算总体情况说明</w:t>
      </w:r>
      <w:bookmarkEnd w:id="25"/>
      <w:bookmarkEnd w:id="26"/>
    </w:p>
    <w:p w14:paraId="1F6BC49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w:t>
      </w:r>
      <w:r>
        <w:rPr>
          <w:rFonts w:hint="eastAsia" w:ascii="仿宋_GB2312" w:hAnsi="仿宋_GB2312" w:eastAsia="仿宋_GB2312" w:cs="仿宋_GB2312"/>
          <w:sz w:val="32"/>
          <w:szCs w:val="32"/>
        </w:rPr>
        <w:t>288.91</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年度相比，财政拨款收入、支出总计各增加</w:t>
      </w:r>
      <w:r>
        <w:rPr>
          <w:rFonts w:hint="eastAsia" w:eastAsia="仿宋_GB2312" w:cs="仿宋_GB2312"/>
          <w:color w:val="auto"/>
          <w:sz w:val="32"/>
          <w:szCs w:val="32"/>
          <w:highlight w:val="none"/>
          <w:lang w:val="en-US" w:eastAsia="zh-CN"/>
        </w:rPr>
        <w:t>45.13</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18.51</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sz w:val="32"/>
          <w:szCs w:val="32"/>
          <w:highlight w:val="none"/>
          <w:lang w:val="en-US" w:eastAsia="zh-CN"/>
        </w:rPr>
        <w:t>本年度人员增加，经费增加。</w:t>
      </w:r>
    </w:p>
    <w:p w14:paraId="2774E4EE">
      <w:pPr>
        <w:spacing w:line="600" w:lineRule="exact"/>
        <w:ind w:firstLine="640" w:firstLineChars="200"/>
        <w:outlineLvl w:val="1"/>
        <w:rPr>
          <w:rStyle w:val="29"/>
          <w:rFonts w:ascii="Times New Roman" w:hAnsi="Times New Roman" w:eastAsia="黑体"/>
          <w:b w:val="0"/>
          <w:color w:val="auto"/>
          <w:highlight w:val="none"/>
        </w:rPr>
      </w:pPr>
      <w:bookmarkStart w:id="27" w:name="_Toc15396607"/>
      <w:bookmarkStart w:id="28" w:name="_Toc15377209"/>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般公共预算财政拨款支出决算情况说明</w:t>
      </w:r>
      <w:bookmarkEnd w:id="27"/>
      <w:bookmarkEnd w:id="28"/>
    </w:p>
    <w:p w14:paraId="2B130400">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9"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29"/>
    </w:p>
    <w:p w14:paraId="03D9863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288.91</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100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年度相比，一般公共预算财政拨款支出增加</w:t>
      </w:r>
      <w:r>
        <w:rPr>
          <w:rFonts w:hint="eastAsia" w:eastAsia="仿宋_GB2312" w:cs="仿宋_GB2312"/>
          <w:color w:val="auto"/>
          <w:kern w:val="2"/>
          <w:sz w:val="32"/>
          <w:szCs w:val="32"/>
          <w:highlight w:val="none"/>
          <w:lang w:val="en-US" w:eastAsia="zh-CN" w:bidi="ar-SA"/>
        </w:rPr>
        <w:t>45.13</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18.51</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sz w:val="32"/>
          <w:szCs w:val="32"/>
          <w:highlight w:val="none"/>
          <w:lang w:val="en-US" w:eastAsia="zh-CN"/>
        </w:rPr>
        <w:t>本年度人员增加，经费增加。</w:t>
      </w:r>
    </w:p>
    <w:p w14:paraId="4E5944D7">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0"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30"/>
    </w:p>
    <w:p w14:paraId="2AE3BAA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288.91</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一般公共服务支出</w:t>
      </w:r>
      <w:r>
        <w:rPr>
          <w:rFonts w:hint="eastAsia" w:eastAsia="仿宋_GB2312" w:cs="仿宋_GB2312"/>
          <w:color w:val="auto"/>
          <w:kern w:val="2"/>
          <w:sz w:val="32"/>
          <w:szCs w:val="32"/>
          <w:highlight w:val="none"/>
          <w:lang w:val="en-US" w:eastAsia="zh-CN" w:bidi="ar-SA"/>
        </w:rPr>
        <w:t>210.54</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72.87</w:t>
      </w:r>
      <w:r>
        <w:rPr>
          <w:rFonts w:hint="eastAsia" w:ascii="Times New Roman" w:hAnsi="Times New Roman" w:eastAsia="仿宋_GB2312" w:cs="仿宋_GB2312"/>
          <w:color w:val="auto"/>
          <w:kern w:val="2"/>
          <w:sz w:val="32"/>
          <w:szCs w:val="32"/>
          <w:highlight w:val="none"/>
          <w:lang w:val="en-US" w:eastAsia="zh-CN" w:bidi="ar-SA"/>
        </w:rPr>
        <w:t>%；教育支出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%；科学技术支出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%；文化旅游体育与传媒支出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40.15</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13.88</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eastAsia="仿宋_GB2312" w:cs="仿宋_GB2312"/>
          <w:color w:val="auto"/>
          <w:kern w:val="2"/>
          <w:sz w:val="32"/>
          <w:szCs w:val="32"/>
          <w:highlight w:val="none"/>
          <w:lang w:val="en-US" w:eastAsia="zh-CN" w:bidi="ar-SA"/>
        </w:rPr>
        <w:t>15.6</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5.4</w:t>
      </w:r>
      <w:r>
        <w:rPr>
          <w:rFonts w:hint="eastAsia" w:ascii="Times New Roman" w:hAnsi="Times New Roman" w:eastAsia="仿宋_GB2312" w:cs="仿宋_GB2312"/>
          <w:color w:val="auto"/>
          <w:kern w:val="2"/>
          <w:sz w:val="32"/>
          <w:szCs w:val="32"/>
          <w:highlight w:val="none"/>
          <w:lang w:val="en-US" w:eastAsia="zh-CN" w:bidi="ar-SA"/>
        </w:rPr>
        <w:t>%；住房保障支出</w:t>
      </w:r>
      <w:r>
        <w:rPr>
          <w:rFonts w:hint="eastAsia" w:eastAsia="仿宋_GB2312" w:cs="仿宋_GB2312"/>
          <w:color w:val="auto"/>
          <w:kern w:val="2"/>
          <w:sz w:val="32"/>
          <w:szCs w:val="32"/>
          <w:highlight w:val="none"/>
          <w:lang w:val="en-US" w:eastAsia="zh-CN" w:bidi="ar-SA"/>
        </w:rPr>
        <w:t>22.62</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7.83</w:t>
      </w:r>
      <w:r>
        <w:rPr>
          <w:rFonts w:hint="eastAsia" w:ascii="Times New Roman" w:hAnsi="Times New Roman" w:eastAsia="仿宋_GB2312" w:cs="仿宋_GB2312"/>
          <w:color w:val="auto"/>
          <w:kern w:val="2"/>
          <w:sz w:val="32"/>
          <w:szCs w:val="32"/>
          <w:highlight w:val="none"/>
          <w:lang w:val="en-US" w:eastAsia="zh-CN" w:bidi="ar-SA"/>
        </w:rPr>
        <w:t>%；</w:t>
      </w:r>
    </w:p>
    <w:p w14:paraId="3876E674">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1"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31"/>
    </w:p>
    <w:p w14:paraId="181E19E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32" w:name="_Toc15378460"/>
      <w:bookmarkStart w:id="33" w:name="_Toc15377213"/>
      <w:bookmarkStart w:id="34" w:name="_Toc15377444"/>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ascii="仿宋_GB2312" w:hAnsi="仿宋_GB2312" w:eastAsia="仿宋_GB2312" w:cs="仿宋_GB2312"/>
          <w:sz w:val="32"/>
          <w:szCs w:val="32"/>
        </w:rPr>
        <w:t>288.91</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32"/>
      <w:bookmarkEnd w:id="33"/>
      <w:bookmarkEnd w:id="34"/>
    </w:p>
    <w:p w14:paraId="69B7814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一般公共服务（类）</w:t>
      </w:r>
      <w:r>
        <w:rPr>
          <w:rFonts w:hint="eastAsia" w:eastAsia="仿宋_GB2312" w:cs="仿宋_GB2312"/>
          <w:color w:val="auto"/>
          <w:kern w:val="2"/>
          <w:sz w:val="32"/>
          <w:szCs w:val="32"/>
          <w:highlight w:val="none"/>
          <w:lang w:val="en-US" w:eastAsia="zh-CN" w:bidi="ar-SA"/>
        </w:rPr>
        <w:t>201</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03</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50</w:t>
      </w:r>
      <w:r>
        <w:rPr>
          <w:rStyle w:val="17"/>
          <w:rFonts w:hint="eastAsia" w:ascii="仿宋_GB2312" w:hAnsi="仿宋_GB2312" w:eastAsia="仿宋_GB2312" w:cs="仿宋_GB2312"/>
          <w:b w:val="0"/>
          <w:bCs w:val="0"/>
          <w:color w:val="auto"/>
          <w:sz w:val="32"/>
          <w:szCs w:val="32"/>
          <w:highlight w:val="none"/>
          <w:lang w:val="en-US" w:eastAsia="zh-CN"/>
        </w:rPr>
        <w:t>（事业运行）</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210.54</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Style w:val="17"/>
          <w:rFonts w:hint="eastAsia" w:ascii="仿宋_GB2312" w:hAnsi="仿宋_GB2312" w:eastAsia="仿宋_GB2312" w:cs="仿宋_GB2312"/>
          <w:b w:val="0"/>
          <w:bCs/>
          <w:color w:val="auto"/>
          <w:sz w:val="32"/>
          <w:szCs w:val="32"/>
          <w:highlight w:val="none"/>
        </w:rPr>
        <w:t>决算数等于预算数</w:t>
      </w:r>
      <w:r>
        <w:rPr>
          <w:rStyle w:val="17"/>
          <w:rFonts w:hint="eastAsia" w:ascii="仿宋_GB2312" w:hAnsi="仿宋_GB2312" w:eastAsia="仿宋_GB2312" w:cs="仿宋_GB2312"/>
          <w:b w:val="0"/>
          <w:bCs/>
          <w:color w:val="auto"/>
          <w:sz w:val="32"/>
          <w:szCs w:val="32"/>
          <w:highlight w:val="none"/>
          <w:lang w:eastAsia="zh-CN"/>
        </w:rPr>
        <w:t>。</w:t>
      </w:r>
    </w:p>
    <w:p w14:paraId="40B10CA7">
      <w:pPr>
        <w:spacing w:line="600" w:lineRule="exact"/>
        <w:ind w:firstLine="640"/>
        <w:rPr>
          <w:rStyle w:val="17"/>
          <w:rFonts w:hint="eastAsia" w:ascii="仿宋_GB2312" w:hAnsi="仿宋_GB2312" w:eastAsia="仿宋_GB2312" w:cs="仿宋_GB2312"/>
          <w:b w:val="0"/>
          <w:bCs/>
          <w:color w:val="auto"/>
          <w:sz w:val="32"/>
          <w:szCs w:val="32"/>
          <w:highlight w:val="none"/>
          <w:lang w:eastAsia="zh-CN"/>
        </w:rPr>
      </w:pP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color w:val="auto"/>
          <w:sz w:val="32"/>
          <w:szCs w:val="32"/>
          <w:lang w:eastAsia="zh-CN"/>
        </w:rPr>
        <w:t>社会保障和就业（类）208（款）05（项）05（机关事业单位基本养老保险缴费支出）： 支出决算为</w:t>
      </w:r>
      <w:r>
        <w:rPr>
          <w:rFonts w:hint="eastAsia" w:ascii="仿宋_GB2312" w:hAnsi="仿宋_GB2312" w:eastAsia="仿宋_GB2312" w:cs="仿宋_GB2312"/>
          <w:color w:val="auto"/>
          <w:sz w:val="32"/>
          <w:szCs w:val="32"/>
          <w:lang w:val="en-US" w:eastAsia="zh-CN"/>
        </w:rPr>
        <w:t>26.81</w:t>
      </w:r>
      <w:r>
        <w:rPr>
          <w:rFonts w:hint="eastAsia" w:ascii="仿宋_GB2312" w:hAnsi="仿宋_GB2312" w:eastAsia="仿宋_GB2312" w:cs="仿宋_GB2312"/>
          <w:color w:val="auto"/>
          <w:sz w:val="32"/>
          <w:szCs w:val="32"/>
          <w:lang w:eastAsia="zh-CN"/>
        </w:rPr>
        <w:t>万元，完成预算</w:t>
      </w:r>
      <w:r>
        <w:rPr>
          <w:rFonts w:hint="eastAsia" w:ascii="仿宋_GB2312" w:hAnsi="仿宋_GB2312" w:eastAsia="仿宋_GB2312" w:cs="仿宋_GB2312"/>
          <w:color w:val="auto"/>
          <w:sz w:val="32"/>
          <w:szCs w:val="32"/>
          <w:lang w:val="en-US" w:eastAsia="zh-CN"/>
        </w:rPr>
        <w:t>100</w:t>
      </w:r>
      <w:r>
        <w:rPr>
          <w:rFonts w:hint="eastAsia" w:ascii="仿宋_GB2312" w:hAnsi="仿宋_GB2312" w:eastAsia="仿宋_GB2312" w:cs="仿宋_GB2312"/>
          <w:color w:val="auto"/>
          <w:sz w:val="32"/>
          <w:szCs w:val="32"/>
          <w:lang w:eastAsia="zh-CN"/>
        </w:rPr>
        <w:t>%。</w:t>
      </w:r>
      <w:r>
        <w:rPr>
          <w:rStyle w:val="17"/>
          <w:rFonts w:hint="eastAsia" w:ascii="仿宋_GB2312" w:hAnsi="仿宋_GB2312" w:eastAsia="仿宋_GB2312" w:cs="仿宋_GB2312"/>
          <w:b w:val="0"/>
          <w:bCs/>
          <w:color w:val="auto"/>
          <w:sz w:val="32"/>
          <w:szCs w:val="32"/>
          <w:highlight w:val="none"/>
        </w:rPr>
        <w:t>决算数等于预算数</w:t>
      </w:r>
      <w:r>
        <w:rPr>
          <w:rStyle w:val="17"/>
          <w:rFonts w:hint="eastAsia" w:ascii="仿宋_GB2312" w:hAnsi="仿宋_GB2312" w:eastAsia="仿宋_GB2312" w:cs="仿宋_GB2312"/>
          <w:b w:val="0"/>
          <w:bCs/>
          <w:color w:val="auto"/>
          <w:sz w:val="32"/>
          <w:szCs w:val="32"/>
          <w:highlight w:val="none"/>
          <w:lang w:eastAsia="zh-CN"/>
        </w:rPr>
        <w:t>。</w:t>
      </w:r>
    </w:p>
    <w:p w14:paraId="7E171887">
      <w:pPr>
        <w:pStyle w:val="2"/>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lang w:val="en-US" w:eastAsia="zh-CN"/>
        </w:rPr>
      </w:pPr>
      <w:r>
        <w:rPr>
          <w:rStyle w:val="17"/>
          <w:rFonts w:hint="eastAsia" w:hAnsi="仿宋_GB2312" w:cs="仿宋_GB2312"/>
          <w:b w:val="0"/>
          <w:bCs/>
          <w:color w:val="auto"/>
          <w:sz w:val="32"/>
          <w:szCs w:val="32"/>
          <w:highlight w:val="none"/>
          <w:lang w:val="en-US" w:eastAsia="zh-CN"/>
        </w:rPr>
        <w:t>3.</w:t>
      </w:r>
      <w:r>
        <w:rPr>
          <w:rFonts w:hint="eastAsia" w:ascii="仿宋_GB2312" w:hAnsi="仿宋_GB2312" w:eastAsia="仿宋_GB2312" w:cs="仿宋_GB2312"/>
          <w:color w:val="auto"/>
          <w:sz w:val="32"/>
          <w:szCs w:val="32"/>
          <w:lang w:eastAsia="zh-CN"/>
        </w:rPr>
        <w:t>社会保障和就业（类）208（款）05（项）06（机关事业单位职业年金缴费支出）： 支出决算为</w:t>
      </w:r>
      <w:r>
        <w:rPr>
          <w:rFonts w:hint="eastAsia" w:hAnsi="仿宋_GB2312" w:cs="仿宋_GB2312"/>
          <w:color w:val="auto"/>
          <w:sz w:val="32"/>
          <w:szCs w:val="32"/>
          <w:lang w:val="en-US" w:eastAsia="zh-CN"/>
        </w:rPr>
        <w:t>13.34</w:t>
      </w:r>
      <w:r>
        <w:rPr>
          <w:rFonts w:hint="eastAsia" w:ascii="仿宋_GB2312" w:hAnsi="仿宋_GB2312" w:eastAsia="仿宋_GB2312" w:cs="仿宋_GB2312"/>
          <w:color w:val="auto"/>
          <w:sz w:val="32"/>
          <w:szCs w:val="32"/>
          <w:lang w:eastAsia="zh-CN"/>
        </w:rPr>
        <w:t>万元，完成预算</w:t>
      </w:r>
      <w:r>
        <w:rPr>
          <w:rFonts w:hint="eastAsia" w:ascii="仿宋_GB2312" w:hAnsi="仿宋_GB2312" w:eastAsia="仿宋_GB2312" w:cs="仿宋_GB2312"/>
          <w:color w:val="auto"/>
          <w:sz w:val="32"/>
          <w:szCs w:val="32"/>
          <w:lang w:val="en-US" w:eastAsia="zh-CN"/>
        </w:rPr>
        <w:t>100</w:t>
      </w:r>
      <w:r>
        <w:rPr>
          <w:rFonts w:hint="eastAsia" w:ascii="仿宋_GB2312" w:hAnsi="仿宋_GB2312" w:eastAsia="仿宋_GB2312" w:cs="仿宋_GB2312"/>
          <w:color w:val="auto"/>
          <w:sz w:val="32"/>
          <w:szCs w:val="32"/>
          <w:lang w:eastAsia="zh-CN"/>
        </w:rPr>
        <w:t>%，</w:t>
      </w:r>
      <w:r>
        <w:rPr>
          <w:rStyle w:val="17"/>
          <w:rFonts w:hint="eastAsia" w:ascii="仿宋_GB2312" w:hAnsi="仿宋_GB2312" w:eastAsia="仿宋_GB2312" w:cs="仿宋_GB2312"/>
          <w:b w:val="0"/>
          <w:bCs/>
          <w:color w:val="auto"/>
          <w:sz w:val="32"/>
          <w:szCs w:val="32"/>
          <w:highlight w:val="none"/>
        </w:rPr>
        <w:t>决算数等于预算数</w:t>
      </w:r>
      <w:r>
        <w:rPr>
          <w:rStyle w:val="17"/>
          <w:rFonts w:hint="eastAsia" w:ascii="仿宋_GB2312" w:hAnsi="仿宋_GB2312" w:eastAsia="仿宋_GB2312" w:cs="仿宋_GB2312"/>
          <w:b w:val="0"/>
          <w:bCs/>
          <w:color w:val="auto"/>
          <w:sz w:val="32"/>
          <w:szCs w:val="32"/>
          <w:highlight w:val="none"/>
          <w:lang w:eastAsia="zh-CN"/>
        </w:rPr>
        <w:t>。</w:t>
      </w:r>
    </w:p>
    <w:p w14:paraId="114CC99F">
      <w:pPr>
        <w:spacing w:line="600" w:lineRule="exact"/>
        <w:ind w:firstLine="640"/>
        <w:rPr>
          <w:rStyle w:val="17"/>
          <w:rFonts w:hint="eastAsia" w:ascii="仿宋_GB2312" w:hAnsi="仿宋_GB2312" w:eastAsia="仿宋_GB2312" w:cs="仿宋_GB2312"/>
          <w:b w:val="0"/>
          <w:bCs/>
          <w:color w:val="auto"/>
          <w:sz w:val="32"/>
          <w:szCs w:val="32"/>
          <w:highlight w:val="none"/>
          <w:lang w:eastAsia="zh-CN"/>
        </w:rPr>
      </w:pP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color w:val="auto"/>
          <w:sz w:val="32"/>
          <w:szCs w:val="32"/>
          <w:lang w:eastAsia="zh-CN"/>
        </w:rPr>
        <w:t>卫生健康（类）210（款）11（项）02（事业单位医疗）： 支出决算为</w:t>
      </w:r>
      <w:r>
        <w:rPr>
          <w:rFonts w:hint="eastAsia" w:ascii="仿宋_GB2312" w:hAnsi="仿宋_GB2312" w:eastAsia="仿宋_GB2312" w:cs="仿宋_GB2312"/>
          <w:color w:val="auto"/>
          <w:sz w:val="32"/>
          <w:szCs w:val="32"/>
          <w:lang w:val="en-US" w:eastAsia="zh-CN"/>
        </w:rPr>
        <w:t>13.14</w:t>
      </w:r>
      <w:r>
        <w:rPr>
          <w:rFonts w:hint="eastAsia" w:ascii="仿宋_GB2312" w:hAnsi="仿宋_GB2312" w:eastAsia="仿宋_GB2312" w:cs="仿宋_GB2312"/>
          <w:color w:val="auto"/>
          <w:sz w:val="32"/>
          <w:szCs w:val="32"/>
          <w:lang w:eastAsia="zh-CN"/>
        </w:rPr>
        <w:t>万元，完成预算</w:t>
      </w:r>
      <w:r>
        <w:rPr>
          <w:rFonts w:hint="eastAsia" w:ascii="仿宋_GB2312" w:hAnsi="仿宋_GB2312" w:eastAsia="仿宋_GB2312" w:cs="仿宋_GB2312"/>
          <w:color w:val="auto"/>
          <w:sz w:val="32"/>
          <w:szCs w:val="32"/>
          <w:lang w:val="en-US" w:eastAsia="zh-CN"/>
        </w:rPr>
        <w:t>100</w:t>
      </w:r>
      <w:r>
        <w:rPr>
          <w:rFonts w:hint="eastAsia" w:ascii="仿宋_GB2312" w:hAnsi="仿宋_GB2312" w:eastAsia="仿宋_GB2312" w:cs="仿宋_GB2312"/>
          <w:color w:val="auto"/>
          <w:sz w:val="32"/>
          <w:szCs w:val="32"/>
          <w:lang w:eastAsia="zh-CN"/>
        </w:rPr>
        <w:t>%，</w:t>
      </w:r>
      <w:r>
        <w:rPr>
          <w:rStyle w:val="17"/>
          <w:rFonts w:hint="eastAsia" w:ascii="仿宋_GB2312" w:hAnsi="仿宋_GB2312" w:eastAsia="仿宋_GB2312" w:cs="仿宋_GB2312"/>
          <w:b w:val="0"/>
          <w:bCs/>
          <w:color w:val="auto"/>
          <w:sz w:val="32"/>
          <w:szCs w:val="32"/>
          <w:highlight w:val="none"/>
        </w:rPr>
        <w:t>决算数等于预算数</w:t>
      </w:r>
      <w:r>
        <w:rPr>
          <w:rStyle w:val="17"/>
          <w:rFonts w:hint="eastAsia" w:ascii="仿宋_GB2312" w:hAnsi="仿宋_GB2312" w:eastAsia="仿宋_GB2312" w:cs="仿宋_GB2312"/>
          <w:b w:val="0"/>
          <w:bCs/>
          <w:color w:val="auto"/>
          <w:sz w:val="32"/>
          <w:szCs w:val="32"/>
          <w:highlight w:val="none"/>
          <w:lang w:eastAsia="zh-CN"/>
        </w:rPr>
        <w:t>。</w:t>
      </w:r>
    </w:p>
    <w:p w14:paraId="016E168E">
      <w:pPr>
        <w:keepNext w:val="0"/>
        <w:keepLines w:val="0"/>
        <w:pageBreakBefore w:val="0"/>
        <w:widowControl w:val="0"/>
        <w:numPr>
          <w:ilvl w:val="0"/>
          <w:numId w:val="0"/>
        </w:numPr>
        <w:kinsoku/>
        <w:wordWrap/>
        <w:overflowPunct/>
        <w:topLinePunct w:val="0"/>
        <w:autoSpaceDE/>
        <w:autoSpaceDN/>
        <w:bidi w:val="0"/>
        <w:snapToGrid/>
        <w:spacing w:before="0" w:beforeAutospacing="0" w:after="0" w:afterAutospacing="0" w:line="576" w:lineRule="exact"/>
        <w:ind w:right="0"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val="en-US" w:eastAsia="zh-CN"/>
        </w:rPr>
        <w:t>5.</w:t>
      </w:r>
      <w:r>
        <w:rPr>
          <w:rFonts w:hint="eastAsia" w:ascii="仿宋_GB2312" w:hAnsi="仿宋_GB2312" w:eastAsia="仿宋_GB2312" w:cs="仿宋_GB2312"/>
          <w:color w:val="auto"/>
          <w:sz w:val="32"/>
          <w:szCs w:val="32"/>
          <w:lang w:eastAsia="zh-CN"/>
        </w:rPr>
        <w:t>卫生健康（类）210（款）11（项）</w:t>
      </w:r>
      <w:r>
        <w:rPr>
          <w:rFonts w:hint="eastAsia" w:ascii="仿宋_GB2312" w:hAnsi="仿宋_GB2312" w:eastAsia="仿宋_GB2312" w:cs="仿宋_GB2312"/>
          <w:color w:val="auto"/>
          <w:sz w:val="32"/>
          <w:szCs w:val="32"/>
          <w:lang w:val="en-US" w:eastAsia="zh-CN"/>
        </w:rPr>
        <w:t>99</w:t>
      </w:r>
      <w:r>
        <w:rPr>
          <w:rFonts w:hint="eastAsia" w:ascii="仿宋_GB2312" w:hAnsi="仿宋_GB2312" w:eastAsia="仿宋_GB2312" w:cs="仿宋_GB2312"/>
          <w:color w:val="auto"/>
          <w:sz w:val="32"/>
          <w:szCs w:val="32"/>
          <w:lang w:eastAsia="zh-CN"/>
        </w:rPr>
        <w:t>（其他行政事业单位医疗支出）： 支出决算为</w:t>
      </w:r>
      <w:r>
        <w:rPr>
          <w:rFonts w:hint="eastAsia" w:ascii="仿宋_GB2312" w:hAnsi="仿宋_GB2312" w:eastAsia="仿宋_GB2312" w:cs="仿宋_GB2312"/>
          <w:color w:val="auto"/>
          <w:sz w:val="32"/>
          <w:szCs w:val="32"/>
          <w:lang w:val="en-US" w:eastAsia="zh-CN"/>
        </w:rPr>
        <w:t>2.47</w:t>
      </w:r>
      <w:r>
        <w:rPr>
          <w:rFonts w:hint="eastAsia" w:ascii="仿宋_GB2312" w:hAnsi="仿宋_GB2312" w:eastAsia="仿宋_GB2312" w:cs="仿宋_GB2312"/>
          <w:color w:val="auto"/>
          <w:sz w:val="32"/>
          <w:szCs w:val="32"/>
          <w:lang w:eastAsia="zh-CN"/>
        </w:rPr>
        <w:t>万元，完成预算</w:t>
      </w:r>
      <w:r>
        <w:rPr>
          <w:rFonts w:hint="eastAsia" w:ascii="仿宋_GB2312" w:hAnsi="仿宋_GB2312" w:eastAsia="仿宋_GB2312" w:cs="仿宋_GB2312"/>
          <w:color w:val="auto"/>
          <w:sz w:val="32"/>
          <w:szCs w:val="32"/>
          <w:lang w:val="en-US" w:eastAsia="zh-CN"/>
        </w:rPr>
        <w:t>100</w:t>
      </w:r>
      <w:r>
        <w:rPr>
          <w:rFonts w:hint="eastAsia" w:ascii="仿宋_GB2312" w:hAnsi="仿宋_GB2312" w:eastAsia="仿宋_GB2312" w:cs="仿宋_GB2312"/>
          <w:color w:val="auto"/>
          <w:sz w:val="32"/>
          <w:szCs w:val="32"/>
          <w:lang w:eastAsia="zh-CN"/>
        </w:rPr>
        <w:t>%，</w:t>
      </w:r>
      <w:r>
        <w:rPr>
          <w:rStyle w:val="17"/>
          <w:rFonts w:hint="eastAsia" w:ascii="仿宋_GB2312" w:hAnsi="仿宋_GB2312" w:eastAsia="仿宋_GB2312" w:cs="仿宋_GB2312"/>
          <w:b w:val="0"/>
          <w:bCs/>
          <w:color w:val="auto"/>
          <w:sz w:val="32"/>
          <w:szCs w:val="32"/>
          <w:highlight w:val="none"/>
        </w:rPr>
        <w:t>决算数等于预算数</w:t>
      </w:r>
      <w:r>
        <w:rPr>
          <w:rStyle w:val="17"/>
          <w:rFonts w:hint="eastAsia" w:ascii="仿宋_GB2312" w:hAnsi="仿宋_GB2312" w:eastAsia="仿宋_GB2312" w:cs="仿宋_GB2312"/>
          <w:b w:val="0"/>
          <w:bCs/>
          <w:color w:val="auto"/>
          <w:sz w:val="32"/>
          <w:szCs w:val="32"/>
          <w:highlight w:val="none"/>
          <w:lang w:eastAsia="zh-CN"/>
        </w:rPr>
        <w:t>。</w:t>
      </w:r>
    </w:p>
    <w:p w14:paraId="2CE7DD8C">
      <w:pPr>
        <w:pStyle w:val="2"/>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bookmarkStart w:id="35" w:name="_Toc26375"/>
      <w:r>
        <w:rPr>
          <w:rFonts w:hint="eastAsia" w:ascii="仿宋_GB2312" w:hAnsi="仿宋_GB2312" w:eastAsia="仿宋_GB2312" w:cs="仿宋_GB2312"/>
          <w:color w:val="auto"/>
          <w:sz w:val="32"/>
          <w:szCs w:val="32"/>
          <w:lang w:val="en-US" w:eastAsia="zh-CN"/>
        </w:rPr>
        <w:t>6.</w:t>
      </w:r>
      <w:r>
        <w:rPr>
          <w:rFonts w:hint="eastAsia" w:ascii="仿宋_GB2312" w:hAnsi="仿宋_GB2312" w:eastAsia="仿宋_GB2312" w:cs="仿宋_GB2312"/>
          <w:color w:val="auto"/>
          <w:sz w:val="32"/>
          <w:szCs w:val="32"/>
          <w:lang w:eastAsia="zh-CN"/>
        </w:rPr>
        <w:t>住房保障（类）221（款）02</w:t>
      </w:r>
      <w:r>
        <w:rPr>
          <w:rFonts w:hint="eastAsia" w:hAnsi="仿宋_GB2312" w:cs="仿宋_GB2312"/>
          <w:color w:val="auto"/>
          <w:sz w:val="32"/>
          <w:szCs w:val="32"/>
          <w:lang w:eastAsia="zh-CN"/>
        </w:rPr>
        <w:t>（</w:t>
      </w:r>
      <w:r>
        <w:rPr>
          <w:rFonts w:hint="eastAsia" w:ascii="仿宋_GB2312" w:hAnsi="仿宋_GB2312" w:eastAsia="仿宋_GB2312" w:cs="仿宋_GB2312"/>
          <w:color w:val="auto"/>
          <w:sz w:val="32"/>
          <w:szCs w:val="32"/>
          <w:lang w:eastAsia="zh-CN"/>
        </w:rPr>
        <w:t>项</w:t>
      </w:r>
      <w:r>
        <w:rPr>
          <w:rFonts w:hint="eastAsia" w:hAnsi="仿宋_GB2312" w:cs="仿宋_GB2312"/>
          <w:color w:val="auto"/>
          <w:sz w:val="32"/>
          <w:szCs w:val="32"/>
          <w:lang w:eastAsia="zh-CN"/>
        </w:rPr>
        <w:t>）</w:t>
      </w:r>
      <w:r>
        <w:rPr>
          <w:rFonts w:hint="eastAsia" w:ascii="仿宋_GB2312" w:hAnsi="仿宋_GB2312" w:eastAsia="仿宋_GB2312" w:cs="仿宋_GB2312"/>
          <w:color w:val="auto"/>
          <w:sz w:val="32"/>
          <w:szCs w:val="32"/>
          <w:lang w:eastAsia="zh-CN"/>
        </w:rPr>
        <w:t>01（住房公积金）： 支出决算为</w:t>
      </w:r>
      <w:r>
        <w:rPr>
          <w:rFonts w:hint="eastAsia" w:hAnsi="仿宋_GB2312" w:cs="仿宋_GB2312"/>
          <w:color w:val="auto"/>
          <w:sz w:val="32"/>
          <w:szCs w:val="32"/>
          <w:lang w:val="en-US" w:eastAsia="zh-CN"/>
        </w:rPr>
        <w:t>22.62</w:t>
      </w:r>
      <w:r>
        <w:rPr>
          <w:rFonts w:hint="eastAsia" w:ascii="仿宋_GB2312" w:hAnsi="仿宋_GB2312" w:eastAsia="仿宋_GB2312" w:cs="仿宋_GB2312"/>
          <w:color w:val="auto"/>
          <w:sz w:val="32"/>
          <w:szCs w:val="32"/>
          <w:lang w:eastAsia="zh-CN"/>
        </w:rPr>
        <w:t>万元，完成预算</w:t>
      </w:r>
      <w:r>
        <w:rPr>
          <w:rFonts w:hint="eastAsia" w:ascii="仿宋_GB2312" w:hAnsi="仿宋_GB2312" w:eastAsia="仿宋_GB2312" w:cs="仿宋_GB2312"/>
          <w:color w:val="auto"/>
          <w:sz w:val="32"/>
          <w:szCs w:val="32"/>
          <w:lang w:val="en-US" w:eastAsia="zh-CN"/>
        </w:rPr>
        <w:t>100</w:t>
      </w:r>
      <w:r>
        <w:rPr>
          <w:rFonts w:hint="eastAsia" w:ascii="仿宋_GB2312" w:hAnsi="仿宋_GB2312" w:eastAsia="仿宋_GB2312" w:cs="仿宋_GB2312"/>
          <w:color w:val="auto"/>
          <w:sz w:val="32"/>
          <w:szCs w:val="32"/>
          <w:lang w:eastAsia="zh-CN"/>
        </w:rPr>
        <w:t>%，</w:t>
      </w:r>
      <w:r>
        <w:rPr>
          <w:rStyle w:val="17"/>
          <w:rFonts w:hint="eastAsia" w:ascii="仿宋_GB2312" w:hAnsi="仿宋_GB2312" w:eastAsia="仿宋_GB2312" w:cs="仿宋_GB2312"/>
          <w:b w:val="0"/>
          <w:bCs/>
          <w:color w:val="auto"/>
          <w:sz w:val="32"/>
          <w:szCs w:val="32"/>
          <w:highlight w:val="none"/>
        </w:rPr>
        <w:t>决算数等于预算数</w:t>
      </w:r>
      <w:r>
        <w:rPr>
          <w:rStyle w:val="17"/>
          <w:rFonts w:hint="eastAsia" w:ascii="仿宋_GB2312" w:hAnsi="仿宋_GB2312" w:eastAsia="仿宋_GB2312" w:cs="仿宋_GB2312"/>
          <w:b w:val="0"/>
          <w:bCs/>
          <w:color w:val="auto"/>
          <w:sz w:val="32"/>
          <w:szCs w:val="32"/>
          <w:highlight w:val="none"/>
          <w:lang w:eastAsia="zh-CN"/>
        </w:rPr>
        <w:t>。</w:t>
      </w:r>
      <w:bookmarkEnd w:id="35"/>
    </w:p>
    <w:p w14:paraId="0F822EBB">
      <w:pPr>
        <w:tabs>
          <w:tab w:val="right" w:pos="8306"/>
        </w:tabs>
        <w:spacing w:line="600" w:lineRule="exact"/>
        <w:ind w:firstLine="640"/>
        <w:outlineLvl w:val="1"/>
        <w:rPr>
          <w:rStyle w:val="29"/>
          <w:rFonts w:ascii="Times New Roman" w:hAnsi="Times New Roman"/>
          <w:color w:val="auto"/>
          <w:highlight w:val="none"/>
        </w:rPr>
      </w:pPr>
      <w:bookmarkStart w:id="36" w:name="_Toc15377214"/>
      <w:bookmarkStart w:id="37" w:name="_Toc15396608"/>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般公共预算财政拨款基本支出决算情况说明</w:t>
      </w:r>
      <w:bookmarkEnd w:id="36"/>
      <w:bookmarkEnd w:id="37"/>
      <w:r>
        <w:rPr>
          <w:rStyle w:val="29"/>
          <w:rFonts w:ascii="Times New Roman" w:hAnsi="Times New Roman" w:eastAsia="黑体"/>
          <w:b w:val="0"/>
          <w:color w:val="auto"/>
          <w:highlight w:val="none"/>
        </w:rPr>
        <w:tab/>
      </w:r>
    </w:p>
    <w:p w14:paraId="43B4139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ascii="仿宋_GB2312" w:hAnsi="仿宋_GB2312" w:eastAsia="仿宋_GB2312" w:cs="仿宋_GB2312"/>
          <w:sz w:val="32"/>
          <w:szCs w:val="32"/>
        </w:rPr>
        <w:t>288.91</w:t>
      </w:r>
      <w:r>
        <w:rPr>
          <w:rFonts w:hint="eastAsia" w:ascii="Times New Roman" w:hAnsi="Times New Roman" w:eastAsia="仿宋_GB2312" w:cs="仿宋_GB2312"/>
          <w:color w:val="auto"/>
          <w:kern w:val="2"/>
          <w:sz w:val="32"/>
          <w:szCs w:val="32"/>
          <w:highlight w:val="none"/>
          <w:lang w:val="en-US" w:eastAsia="zh-CN" w:bidi="ar-SA"/>
        </w:rPr>
        <w:t>万元，其中：</w:t>
      </w:r>
    </w:p>
    <w:p w14:paraId="0C98B72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ascii="仿宋_GB2312" w:hAnsi="仿宋_GB2312" w:eastAsia="仿宋_GB2312" w:cs="仿宋_GB2312"/>
          <w:sz w:val="32"/>
          <w:szCs w:val="32"/>
        </w:rPr>
        <w:t>280.55</w:t>
      </w:r>
      <w:r>
        <w:rPr>
          <w:rFonts w:hint="eastAsia" w:ascii="Times New Roman" w:hAnsi="Times New Roman" w:eastAsia="仿宋_GB2312" w:cs="仿宋_GB2312"/>
          <w:color w:val="auto"/>
          <w:kern w:val="2"/>
          <w:sz w:val="32"/>
          <w:szCs w:val="32"/>
          <w:highlight w:val="none"/>
          <w:lang w:val="en-US" w:eastAsia="zh-CN" w:bidi="ar-SA"/>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ascii="仿宋_GB2312" w:hAnsi="仿宋_GB2312" w:eastAsia="仿宋_GB2312" w:cs="仿宋_GB2312"/>
          <w:sz w:val="32"/>
          <w:szCs w:val="32"/>
        </w:rPr>
        <w:t>8.36</w:t>
      </w:r>
      <w:r>
        <w:rPr>
          <w:rFonts w:hint="eastAsia" w:ascii="Times New Roman" w:hAnsi="Times New Roman" w:eastAsia="仿宋_GB2312" w:cs="仿宋_GB2312"/>
          <w:color w:val="auto"/>
          <w:kern w:val="2"/>
          <w:sz w:val="32"/>
          <w:szCs w:val="32"/>
          <w:highlight w:val="none"/>
          <w:lang w:val="en-US" w:eastAsia="zh-CN" w:bidi="ar-SA"/>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5BABFB38">
      <w:pPr>
        <w:spacing w:line="600" w:lineRule="exact"/>
        <w:ind w:firstLine="640"/>
        <w:outlineLvl w:val="1"/>
        <w:rPr>
          <w:rStyle w:val="29"/>
          <w:rFonts w:ascii="Times New Roman" w:hAnsi="Times New Roman" w:eastAsia="黑体"/>
          <w:b w:val="0"/>
          <w:color w:val="auto"/>
          <w:highlight w:val="none"/>
        </w:rPr>
      </w:pPr>
      <w:bookmarkStart w:id="38" w:name="_Toc15396609"/>
      <w:bookmarkStart w:id="39" w:name="_Toc15377215"/>
      <w:r>
        <w:rPr>
          <w:rFonts w:hint="eastAsia" w:ascii="Times New Roman" w:hAnsi="Times New Roman" w:eastAsia="黑体"/>
          <w:color w:val="auto"/>
          <w:sz w:val="32"/>
          <w:szCs w:val="32"/>
          <w:highlight w:val="none"/>
        </w:rPr>
        <w:t>七、</w:t>
      </w:r>
      <w:r>
        <w:rPr>
          <w:rStyle w:val="29"/>
          <w:rFonts w:hint="eastAsia" w:ascii="Times New Roman" w:hAnsi="Times New Roman" w:eastAsia="黑体"/>
          <w:b w:val="0"/>
          <w:color w:val="auto"/>
          <w:highlight w:val="none"/>
        </w:rPr>
        <w:t>财政拨款</w:t>
      </w:r>
      <w:r>
        <w:rPr>
          <w:rStyle w:val="29"/>
          <w:rFonts w:hint="eastAsia" w:ascii="Times New Roman" w:hAnsi="Times New Roman" w:eastAsia="黑体"/>
          <w:color w:val="auto"/>
          <w:highlight w:val="none"/>
        </w:rPr>
        <w:t>“</w:t>
      </w:r>
      <w:r>
        <w:rPr>
          <w:rStyle w:val="29"/>
          <w:rFonts w:hint="eastAsia" w:ascii="Times New Roman" w:hAnsi="Times New Roman" w:eastAsia="黑体"/>
          <w:b w:val="0"/>
          <w:color w:val="auto"/>
          <w:highlight w:val="none"/>
        </w:rPr>
        <w:t>三公”经费支出决算情况说明</w:t>
      </w:r>
      <w:bookmarkEnd w:id="38"/>
      <w:bookmarkEnd w:id="39"/>
    </w:p>
    <w:p w14:paraId="6DE73E55">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0"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40"/>
    </w:p>
    <w:p w14:paraId="73AAFD7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与</w:t>
      </w:r>
      <w:r>
        <w:rPr>
          <w:rFonts w:hint="eastAsia" w:ascii="Times New Roman" w:hAnsi="Times New Roman" w:eastAsia="仿宋_GB2312" w:cs="仿宋_GB2312"/>
          <w:color w:val="auto"/>
          <w:kern w:val="2"/>
          <w:sz w:val="32"/>
          <w:szCs w:val="32"/>
          <w:highlight w:val="none"/>
          <w:lang w:val="en-US" w:eastAsia="zh-CN" w:bidi="ar-SA"/>
        </w:rPr>
        <w:t>上年度</w:t>
      </w:r>
      <w:r>
        <w:rPr>
          <w:rFonts w:hint="eastAsia" w:eastAsia="仿宋_GB2312" w:cs="仿宋_GB2312"/>
          <w:color w:val="auto"/>
          <w:kern w:val="2"/>
          <w:sz w:val="32"/>
          <w:szCs w:val="32"/>
          <w:highlight w:val="none"/>
          <w:lang w:val="en-US" w:eastAsia="zh-CN" w:bidi="ar-SA"/>
        </w:rPr>
        <w:t>持平。</w:t>
      </w:r>
    </w:p>
    <w:p w14:paraId="052E24E6">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1"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41"/>
    </w:p>
    <w:p w14:paraId="07116D5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财政拨款“三公”经费支出决算中，因公出国（境）费支出决算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4F7BFDE9">
      <w:pPr>
        <w:numPr>
          <w:ilvl w:val="0"/>
          <w:numId w:val="2"/>
        </w:num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因公出国（境）经费支出</w:t>
      </w:r>
      <w:r>
        <w:rPr>
          <w:rFonts w:hint="eastAsia" w:ascii="仿宋_GB2312" w:hAnsi="仿宋_GB2312" w:eastAsia="仿宋_GB2312" w:cs="仿宋_GB2312"/>
          <w:sz w:val="32"/>
          <w:szCs w:val="32"/>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全年安排因公出国（境）团组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人。因公出国（境）支出决算</w:t>
      </w:r>
      <w:r>
        <w:rPr>
          <w:rFonts w:hint="eastAsia" w:eastAsia="仿宋_GB2312" w:cs="仿宋_GB2312"/>
          <w:color w:val="auto"/>
          <w:kern w:val="2"/>
          <w:sz w:val="32"/>
          <w:szCs w:val="32"/>
          <w:highlight w:val="none"/>
          <w:lang w:val="en-US" w:eastAsia="zh-CN" w:bidi="ar-SA"/>
        </w:rPr>
        <w:t>与</w:t>
      </w:r>
      <w:r>
        <w:rPr>
          <w:rFonts w:hint="eastAsia" w:ascii="Times New Roman" w:hAnsi="Times New Roman" w:eastAsia="仿宋_GB2312" w:cs="仿宋_GB2312"/>
          <w:color w:val="auto"/>
          <w:kern w:val="2"/>
          <w:sz w:val="32"/>
          <w:szCs w:val="32"/>
          <w:highlight w:val="none"/>
          <w:lang w:val="en-US" w:eastAsia="zh-CN" w:bidi="ar-SA"/>
        </w:rPr>
        <w:t>2024年</w:t>
      </w:r>
      <w:r>
        <w:rPr>
          <w:rFonts w:hint="eastAsia" w:eastAsia="仿宋_GB2312" w:cs="仿宋_GB2312"/>
          <w:color w:val="auto"/>
          <w:kern w:val="2"/>
          <w:sz w:val="32"/>
          <w:szCs w:val="32"/>
          <w:highlight w:val="none"/>
          <w:lang w:val="en-US" w:eastAsia="zh-CN" w:bidi="ar-SA"/>
        </w:rPr>
        <w:t>持平。</w:t>
      </w:r>
    </w:p>
    <w:p w14:paraId="7CA92D31">
      <w:pPr>
        <w:numPr>
          <w:ilvl w:val="0"/>
          <w:numId w:val="2"/>
        </w:numPr>
        <w:spacing w:line="600" w:lineRule="exact"/>
        <w:ind w:left="0" w:leftChars="0" w:firstLine="640" w:firstLineChars="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公务用车购置及运行维护费支出</w:t>
      </w:r>
      <w:r>
        <w:rPr>
          <w:rFonts w:hint="eastAsia" w:ascii="仿宋_GB2312" w:hAnsi="仿宋_GB2312"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w:t>
      </w:r>
      <w:r>
        <w:rPr>
          <w:rFonts w:hint="eastAsia" w:eastAsia="仿宋_GB2312" w:cs="仿宋_GB2312"/>
          <w:color w:val="auto"/>
          <w:kern w:val="2"/>
          <w:sz w:val="32"/>
          <w:szCs w:val="32"/>
          <w:highlight w:val="none"/>
          <w:lang w:val="en-US" w:eastAsia="zh-CN" w:bidi="ar-SA"/>
        </w:rPr>
        <w:t>与</w:t>
      </w:r>
      <w:r>
        <w:rPr>
          <w:rFonts w:hint="eastAsia" w:ascii="Times New Roman" w:hAnsi="Times New Roman" w:eastAsia="仿宋_GB2312" w:cs="仿宋_GB2312"/>
          <w:color w:val="auto"/>
          <w:kern w:val="2"/>
          <w:sz w:val="32"/>
          <w:szCs w:val="32"/>
          <w:highlight w:val="none"/>
          <w:lang w:val="en-US" w:eastAsia="zh-CN" w:bidi="ar-SA"/>
        </w:rPr>
        <w:t>2024年</w:t>
      </w:r>
      <w:r>
        <w:rPr>
          <w:rFonts w:hint="eastAsia" w:eastAsia="仿宋_GB2312" w:cs="仿宋_GB2312"/>
          <w:color w:val="auto"/>
          <w:kern w:val="2"/>
          <w:sz w:val="32"/>
          <w:szCs w:val="32"/>
          <w:highlight w:val="none"/>
          <w:lang w:val="en-US" w:eastAsia="zh-CN" w:bidi="ar-SA"/>
        </w:rPr>
        <w:t>持平。</w:t>
      </w:r>
    </w:p>
    <w:p w14:paraId="27A92AA2">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其中：公务用车购置支出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万元。全年按规定更新购置公务用车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万元，越野车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年12月31日，单位共有公务用车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辆、越野车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w:t>
      </w:r>
    </w:p>
    <w:p w14:paraId="37DECD2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w:t>
      </w:r>
    </w:p>
    <w:p w14:paraId="024BD88C">
      <w:pPr>
        <w:numPr>
          <w:ilvl w:val="0"/>
          <w:numId w:val="2"/>
        </w:numPr>
        <w:spacing w:line="600" w:lineRule="exact"/>
        <w:ind w:left="0" w:leftChars="0" w:firstLine="64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公务接待费支出</w:t>
      </w:r>
      <w:r>
        <w:rPr>
          <w:rFonts w:hint="eastAsia" w:ascii="仿宋_GB2312" w:hAnsi="仿宋_GB2312"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eastAsia="仿宋_GB2312" w:cs="仿宋_GB2312"/>
          <w:color w:val="auto"/>
          <w:kern w:val="2"/>
          <w:sz w:val="32"/>
          <w:szCs w:val="32"/>
          <w:highlight w:val="none"/>
          <w:lang w:val="en-US" w:eastAsia="zh-CN" w:bidi="ar-SA"/>
        </w:rPr>
        <w:t>与</w:t>
      </w:r>
      <w:r>
        <w:rPr>
          <w:rFonts w:hint="eastAsia" w:ascii="Times New Roman" w:hAnsi="Times New Roman" w:eastAsia="仿宋_GB2312" w:cs="仿宋_GB2312"/>
          <w:color w:val="auto"/>
          <w:kern w:val="2"/>
          <w:sz w:val="32"/>
          <w:szCs w:val="32"/>
          <w:highlight w:val="none"/>
          <w:lang w:val="en-US" w:eastAsia="zh-CN" w:bidi="ar-SA"/>
        </w:rPr>
        <w:t>2024年</w:t>
      </w:r>
      <w:r>
        <w:rPr>
          <w:rFonts w:hint="eastAsia" w:eastAsia="仿宋_GB2312" w:cs="仿宋_GB2312"/>
          <w:color w:val="auto"/>
          <w:kern w:val="2"/>
          <w:sz w:val="32"/>
          <w:szCs w:val="32"/>
          <w:highlight w:val="none"/>
          <w:lang w:val="en-US" w:eastAsia="zh-CN" w:bidi="ar-SA"/>
        </w:rPr>
        <w:t>持平</w:t>
      </w:r>
      <w:r>
        <w:rPr>
          <w:rFonts w:hint="eastAsia" w:ascii="Times New Roman" w:hAnsi="Times New Roman" w:eastAsia="仿宋_GB2312" w:cs="仿宋_GB2312"/>
          <w:color w:val="auto"/>
          <w:kern w:val="2"/>
          <w:sz w:val="32"/>
          <w:szCs w:val="32"/>
          <w:highlight w:val="none"/>
          <w:lang w:val="en-US" w:eastAsia="zh-CN" w:bidi="ar-SA"/>
        </w:rPr>
        <w:t>。</w:t>
      </w:r>
    </w:p>
    <w:p w14:paraId="003B4A32">
      <w:pPr>
        <w:numPr>
          <w:ilvl w:val="0"/>
          <w:numId w:val="0"/>
        </w:numPr>
        <w:spacing w:line="600" w:lineRule="exact"/>
        <w:ind w:left="640" w:left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w:t>
      </w:r>
    </w:p>
    <w:p w14:paraId="2B0730D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国内公务接待支出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万元，国内公务接待</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人次</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共计支出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p>
    <w:p w14:paraId="030C782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外事接待支出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万元，外事接待</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人次（不包括陪同人员），共计支出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bookmarkStart w:id="42" w:name="_Toc15377218"/>
      <w:bookmarkStart w:id="43" w:name="_Toc15396610"/>
    </w:p>
    <w:p w14:paraId="2DEBDBC0">
      <w:pPr>
        <w:spacing w:line="600" w:lineRule="exact"/>
        <w:ind w:firstLine="640"/>
        <w:outlineLvl w:val="1"/>
        <w:rPr>
          <w:rStyle w:val="29"/>
          <w:rFonts w:ascii="Times New Roman" w:hAnsi="Times New Roman" w:eastAsia="黑体"/>
          <w:color w:val="auto"/>
          <w:highlight w:val="none"/>
        </w:rPr>
      </w:pPr>
      <w:r>
        <w:rPr>
          <w:rFonts w:hint="eastAsia" w:ascii="Times New Roman" w:hAnsi="Times New Roman" w:eastAsia="黑体"/>
          <w:color w:val="auto"/>
          <w:sz w:val="32"/>
          <w:szCs w:val="32"/>
          <w:highlight w:val="none"/>
        </w:rPr>
        <w:t>八、</w:t>
      </w:r>
      <w:r>
        <w:rPr>
          <w:rStyle w:val="29"/>
          <w:rFonts w:hint="eastAsia" w:ascii="Times New Roman" w:hAnsi="Times New Roman" w:eastAsia="黑体"/>
          <w:b w:val="0"/>
          <w:color w:val="auto"/>
          <w:highlight w:val="none"/>
        </w:rPr>
        <w:t>政府性基金预算支出决算情况说明</w:t>
      </w:r>
      <w:bookmarkEnd w:id="42"/>
      <w:bookmarkEnd w:id="43"/>
    </w:p>
    <w:p w14:paraId="7C6424C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政府性基金预算财政拨款支出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年度相比，政府性基金预算财政拨款支出</w:t>
      </w:r>
      <w:r>
        <w:rPr>
          <w:rFonts w:hint="eastAsia" w:eastAsia="仿宋_GB2312" w:cs="仿宋_GB2312"/>
          <w:color w:val="auto"/>
          <w:kern w:val="2"/>
          <w:sz w:val="32"/>
          <w:szCs w:val="32"/>
          <w:highlight w:val="none"/>
          <w:lang w:val="en-US" w:eastAsia="zh-CN" w:bidi="ar-SA"/>
        </w:rPr>
        <w:t>持平。</w:t>
      </w:r>
    </w:p>
    <w:p w14:paraId="663D4743">
      <w:pPr>
        <w:numPr>
          <w:ilvl w:val="0"/>
          <w:numId w:val="0"/>
        </w:numPr>
        <w:spacing w:line="600" w:lineRule="exact"/>
        <w:ind w:left="630" w:leftChars="0"/>
        <w:outlineLvl w:val="1"/>
        <w:rPr>
          <w:rStyle w:val="29"/>
          <w:rFonts w:ascii="Times New Roman" w:hAnsi="Times New Roman" w:eastAsia="黑体"/>
          <w:b w:val="0"/>
          <w:color w:val="auto"/>
          <w:highlight w:val="none"/>
        </w:rPr>
      </w:pPr>
      <w:bookmarkStart w:id="44" w:name="_Toc15377219"/>
      <w:bookmarkStart w:id="45" w:name="_Toc15396611"/>
      <w:r>
        <w:rPr>
          <w:rStyle w:val="29"/>
          <w:rFonts w:hint="eastAsia" w:ascii="Times New Roman" w:hAnsi="Times New Roman" w:eastAsia="黑体"/>
          <w:b w:val="0"/>
          <w:color w:val="auto"/>
          <w:highlight w:val="none"/>
          <w:lang w:eastAsia="zh-CN"/>
        </w:rPr>
        <w:t>九、</w:t>
      </w:r>
      <w:r>
        <w:rPr>
          <w:rStyle w:val="29"/>
          <w:rFonts w:hint="eastAsia" w:ascii="Times New Roman" w:hAnsi="Times New Roman" w:eastAsia="黑体"/>
          <w:b w:val="0"/>
          <w:color w:val="auto"/>
          <w:highlight w:val="none"/>
        </w:rPr>
        <w:t>国有资本经营预算支出决算情况说明</w:t>
      </w:r>
      <w:bookmarkEnd w:id="44"/>
      <w:bookmarkEnd w:id="45"/>
    </w:p>
    <w:p w14:paraId="745DE6F3">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年度相比，国有资本经营预算财政拨款支出</w:t>
      </w:r>
      <w:r>
        <w:rPr>
          <w:rFonts w:hint="eastAsia" w:eastAsia="仿宋_GB2312" w:cs="仿宋_GB2312"/>
          <w:color w:val="auto"/>
          <w:kern w:val="2"/>
          <w:sz w:val="32"/>
          <w:szCs w:val="32"/>
          <w:highlight w:val="none"/>
          <w:lang w:val="en-US" w:eastAsia="zh-CN" w:bidi="ar-SA"/>
        </w:rPr>
        <w:t>持平。</w:t>
      </w:r>
    </w:p>
    <w:p w14:paraId="1BCB3A93">
      <w:pPr>
        <w:numPr>
          <w:ilvl w:val="0"/>
          <w:numId w:val="0"/>
        </w:numPr>
        <w:spacing w:line="600" w:lineRule="exact"/>
        <w:ind w:left="630" w:leftChars="0"/>
        <w:outlineLvl w:val="1"/>
        <w:rPr>
          <w:rStyle w:val="29"/>
          <w:rFonts w:hint="eastAsia" w:ascii="Times New Roman" w:hAnsi="Times New Roman" w:eastAsia="黑体"/>
          <w:b w:val="0"/>
          <w:color w:val="auto"/>
          <w:highlight w:val="none"/>
        </w:rPr>
      </w:pPr>
      <w:bookmarkStart w:id="46" w:name="_Toc15396612"/>
      <w:bookmarkStart w:id="47" w:name="_Toc15377221"/>
      <w:r>
        <w:rPr>
          <w:rStyle w:val="29"/>
          <w:rFonts w:hint="eastAsia" w:ascii="Times New Roman" w:hAnsi="Times New Roman" w:eastAsia="黑体"/>
          <w:b w:val="0"/>
          <w:color w:val="auto"/>
          <w:highlight w:val="none"/>
          <w:lang w:eastAsia="zh-CN"/>
        </w:rPr>
        <w:t>十、</w:t>
      </w:r>
      <w:r>
        <w:rPr>
          <w:rStyle w:val="29"/>
          <w:rFonts w:hint="eastAsia" w:ascii="Times New Roman" w:hAnsi="Times New Roman" w:eastAsia="黑体"/>
          <w:b w:val="0"/>
          <w:color w:val="auto"/>
          <w:highlight w:val="none"/>
        </w:rPr>
        <w:t>其他重要事项的情况说明</w:t>
      </w:r>
      <w:bookmarkEnd w:id="46"/>
      <w:bookmarkEnd w:id="47"/>
    </w:p>
    <w:p w14:paraId="160418D2">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8" w:name="_Toc15377222"/>
      <w:r>
        <w:rPr>
          <w:rFonts w:hint="eastAsia" w:ascii="Times New Roman" w:hAnsi="Times New Roman" w:eastAsia="楷体_GB2312" w:cs="楷体_GB2312"/>
          <w:b/>
          <w:color w:val="auto"/>
          <w:sz w:val="32"/>
          <w:szCs w:val="32"/>
          <w:highlight w:val="none"/>
        </w:rPr>
        <w:t>（一）机关运行经费支出情况</w:t>
      </w:r>
      <w:bookmarkEnd w:id="48"/>
    </w:p>
    <w:p w14:paraId="2FFC2DA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松潘县国防动员事务中心</w:t>
      </w:r>
      <w:r>
        <w:rPr>
          <w:rFonts w:hint="eastAsia" w:ascii="Times New Roman" w:hAnsi="Times New Roman" w:eastAsia="仿宋_GB2312" w:cs="仿宋_GB2312"/>
          <w:color w:val="auto"/>
          <w:kern w:val="2"/>
          <w:sz w:val="32"/>
          <w:szCs w:val="32"/>
          <w:highlight w:val="none"/>
          <w:lang w:val="en-US" w:eastAsia="zh-CN" w:bidi="ar-SA"/>
        </w:rPr>
        <w:t>机关运行经费支出</w:t>
      </w:r>
      <w:r>
        <w:rPr>
          <w:rFonts w:hint="eastAsia" w:ascii="仿宋_GB2312" w:hAnsi="仿宋_GB2312" w:eastAsia="仿宋_GB2312" w:cs="仿宋_GB2312"/>
          <w:sz w:val="32"/>
          <w:szCs w:val="32"/>
          <w:lang w:val="en-US" w:eastAsia="zh-CN"/>
        </w:rPr>
        <w:t>8.36</w:t>
      </w:r>
      <w:r>
        <w:rPr>
          <w:rFonts w:hint="eastAsia" w:ascii="Times New Roman" w:hAnsi="Times New Roman" w:eastAsia="仿宋_GB2312" w:cs="仿宋_GB2312"/>
          <w:color w:val="auto"/>
          <w:kern w:val="2"/>
          <w:sz w:val="32"/>
          <w:szCs w:val="32"/>
          <w:highlight w:val="none"/>
          <w:lang w:val="en-US" w:eastAsia="zh-CN" w:bidi="ar-SA"/>
        </w:rPr>
        <w:t>万元，比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年度减少</w:t>
      </w:r>
      <w:r>
        <w:rPr>
          <w:rFonts w:hint="eastAsia" w:eastAsia="仿宋_GB2312" w:cs="仿宋_GB2312"/>
          <w:color w:val="auto"/>
          <w:kern w:val="2"/>
          <w:sz w:val="32"/>
          <w:szCs w:val="32"/>
          <w:highlight w:val="none"/>
          <w:lang w:val="en-US" w:eastAsia="zh-CN" w:bidi="ar-SA"/>
        </w:rPr>
        <w:t>2.32</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21.72</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办公经费减少。</w:t>
      </w:r>
    </w:p>
    <w:p w14:paraId="21DA223F">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9" w:name="_Toc15377223"/>
      <w:r>
        <w:rPr>
          <w:rFonts w:hint="eastAsia" w:ascii="Times New Roman" w:hAnsi="Times New Roman" w:eastAsia="楷体_GB2312" w:cs="楷体_GB2312"/>
          <w:b/>
          <w:color w:val="auto"/>
          <w:sz w:val="32"/>
          <w:szCs w:val="32"/>
          <w:highlight w:val="none"/>
        </w:rPr>
        <w:t>（二）政府采购支出情况</w:t>
      </w:r>
      <w:bookmarkEnd w:id="49"/>
    </w:p>
    <w:p w14:paraId="19FD8D9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松潘县国防动员事务中心</w:t>
      </w:r>
      <w:r>
        <w:rPr>
          <w:rFonts w:hint="eastAsia" w:ascii="Times New Roman" w:hAnsi="Times New Roman" w:eastAsia="仿宋_GB2312" w:cs="仿宋_GB2312"/>
          <w:color w:val="auto"/>
          <w:kern w:val="2"/>
          <w:sz w:val="32"/>
          <w:szCs w:val="32"/>
          <w:highlight w:val="none"/>
          <w:lang w:val="en-US" w:eastAsia="zh-CN" w:bidi="ar-SA"/>
        </w:rPr>
        <w:t>政府采购支出总额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万元，其中：政府采购货物支出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万元、政府采购工程支出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万元、政府采购服务支出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万元。授予中小企业合同金额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%，其中：授予小微企业合同金额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w:t>
      </w:r>
    </w:p>
    <w:p w14:paraId="6580C624">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50" w:name="_Toc15377224"/>
      <w:r>
        <w:rPr>
          <w:rFonts w:hint="eastAsia" w:ascii="Times New Roman" w:hAnsi="Times New Roman" w:eastAsia="楷体_GB2312" w:cs="楷体_GB2312"/>
          <w:b/>
          <w:color w:val="auto"/>
          <w:sz w:val="32"/>
          <w:szCs w:val="32"/>
          <w:highlight w:val="none"/>
        </w:rPr>
        <w:t>（三）国有资产占有使用情况</w:t>
      </w:r>
      <w:bookmarkEnd w:id="50"/>
    </w:p>
    <w:p w14:paraId="6BC8078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ascii="仿宋_GB2312" w:hAnsi="仿宋_GB2312" w:eastAsia="仿宋_GB2312" w:cs="仿宋_GB2312"/>
          <w:sz w:val="32"/>
          <w:szCs w:val="32"/>
        </w:rPr>
        <w:t>松潘县国防动员事务中心</w:t>
      </w:r>
      <w:r>
        <w:rPr>
          <w:rFonts w:hint="eastAsia" w:ascii="Times New Roman" w:hAnsi="Times New Roman" w:eastAsia="仿宋_GB2312" w:cs="仿宋_GB2312"/>
          <w:color w:val="auto"/>
          <w:kern w:val="2"/>
          <w:sz w:val="32"/>
          <w:szCs w:val="32"/>
          <w:highlight w:val="none"/>
          <w:lang w:val="en-US" w:eastAsia="zh-CN" w:bidi="ar-SA"/>
        </w:rPr>
        <w:t>共有车辆</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辆，其中：副部（省）级及以上领导用车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辆、主要</w:t>
      </w:r>
      <w:r>
        <w:rPr>
          <w:rFonts w:hint="eastAsia" w:eastAsia="仿宋_GB2312" w:cs="仿宋_GB2312"/>
          <w:color w:val="auto"/>
          <w:kern w:val="2"/>
          <w:sz w:val="32"/>
          <w:szCs w:val="32"/>
          <w:highlight w:val="none"/>
          <w:lang w:val="en-US" w:eastAsia="zh-CN" w:bidi="ar-SA"/>
        </w:rPr>
        <w:t>负责人</w:t>
      </w:r>
      <w:r>
        <w:rPr>
          <w:rFonts w:hint="eastAsia" w:ascii="Times New Roman" w:hAnsi="Times New Roman" w:eastAsia="仿宋_GB2312" w:cs="仿宋_GB2312"/>
          <w:color w:val="auto"/>
          <w:kern w:val="2"/>
          <w:sz w:val="32"/>
          <w:szCs w:val="32"/>
          <w:highlight w:val="none"/>
          <w:lang w:val="en-US" w:eastAsia="zh-CN" w:bidi="ar-SA"/>
        </w:rPr>
        <w:t>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辆、机要通信用车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辆、应急保障用车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辆、执法执勤用车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辆、特种专业技术用车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辆、离退休干部服务用车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辆、其他用车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单价100万元</w:t>
      </w:r>
      <w:r>
        <w:rPr>
          <w:rFonts w:hint="eastAsia" w:eastAsia="仿宋_GB2312" w:cs="仿宋_GB2312"/>
          <w:color w:val="auto"/>
          <w:kern w:val="2"/>
          <w:sz w:val="32"/>
          <w:szCs w:val="32"/>
          <w:highlight w:val="none"/>
          <w:lang w:val="en-US" w:eastAsia="zh-CN" w:bidi="ar-SA"/>
        </w:rPr>
        <w:t>（含）</w:t>
      </w:r>
      <w:r>
        <w:rPr>
          <w:rFonts w:hint="eastAsia" w:ascii="Times New Roman" w:hAnsi="Times New Roman" w:eastAsia="仿宋_GB2312" w:cs="仿宋_GB2312"/>
          <w:color w:val="auto"/>
          <w:kern w:val="2"/>
          <w:sz w:val="32"/>
          <w:szCs w:val="32"/>
          <w:highlight w:val="none"/>
          <w:lang w:val="en-US" w:eastAsia="zh-CN" w:bidi="ar-SA"/>
        </w:rPr>
        <w:t>以上设备（不含车辆）</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台（套）。</w:t>
      </w:r>
    </w:p>
    <w:p w14:paraId="140FE0CB">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14:paraId="36926F9A">
      <w:pPr>
        <w:pageBreakBefore w:val="0"/>
        <w:kinsoku/>
        <w:wordWrap/>
        <w:overflowPunct/>
        <w:topLinePunct w:val="0"/>
        <w:autoSpaceDE/>
        <w:autoSpaceDN/>
        <w:bidi w:val="0"/>
        <w:snapToGrid/>
        <w:spacing w:line="576" w:lineRule="exact"/>
        <w:ind w:firstLine="640" w:firstLineChars="200"/>
        <w:textAlignment w:val="auto"/>
        <w:rPr>
          <w:rFonts w:hint="eastAsia" w:ascii="仿宋_GB2312" w:hAnsi="Times New Roman" w:eastAsia="仿宋_GB2312" w:cs="Times New Roman"/>
          <w:color w:val="auto"/>
          <w:sz w:val="32"/>
          <w:szCs w:val="32"/>
          <w:highlight w:val="none"/>
          <w:lang w:val="en-US" w:eastAsia="zh-CN"/>
        </w:rPr>
      </w:pPr>
      <w:r>
        <w:rPr>
          <w:rFonts w:hint="eastAsia" w:ascii="仿宋_GB2312" w:hAnsi="Times New Roman" w:eastAsia="仿宋_GB2312" w:cs="Times New Roman"/>
          <w:color w:val="auto"/>
          <w:sz w:val="32"/>
          <w:szCs w:val="32"/>
          <w:highlight w:val="none"/>
          <w:lang w:eastAsia="zh-CN"/>
        </w:rPr>
        <w:t>根据预算绩效管理要求，本单位在</w:t>
      </w:r>
      <w:r>
        <w:rPr>
          <w:rFonts w:hint="eastAsia" w:ascii="仿宋_GB2312" w:hAnsi="Times New Roman" w:eastAsia="仿宋_GB2312" w:cs="Times New Roman"/>
          <w:color w:val="auto"/>
          <w:sz w:val="32"/>
          <w:szCs w:val="32"/>
          <w:highlight w:val="none"/>
          <w:lang w:val="en-US" w:eastAsia="zh-CN"/>
        </w:rPr>
        <w:t>2025年度</w:t>
      </w:r>
      <w:r>
        <w:rPr>
          <w:rFonts w:hint="eastAsia" w:ascii="仿宋_GB2312" w:hAnsi="Times New Roman" w:eastAsia="仿宋_GB2312" w:cs="Times New Roman"/>
          <w:color w:val="auto"/>
          <w:sz w:val="32"/>
          <w:szCs w:val="32"/>
          <w:highlight w:val="none"/>
          <w:lang w:eastAsia="zh-CN"/>
        </w:rPr>
        <w:t>预算编制阶段，</w:t>
      </w:r>
      <w:r>
        <w:rPr>
          <w:rFonts w:hint="eastAsia" w:ascii="仿宋_GB2312" w:hAnsi="Times New Roman" w:eastAsia="仿宋_GB2312" w:cs="Times New Roman"/>
          <w:color w:val="auto"/>
          <w:sz w:val="32"/>
          <w:szCs w:val="32"/>
          <w:highlight w:val="none"/>
          <w:lang w:val="en-US" w:eastAsia="zh-CN"/>
        </w:rPr>
        <w:t>需</w:t>
      </w:r>
      <w:r>
        <w:rPr>
          <w:rFonts w:hint="eastAsia" w:ascii="仿宋_GB2312" w:hAnsi="Times New Roman" w:eastAsia="仿宋_GB2312" w:cs="Times New Roman"/>
          <w:color w:val="auto"/>
          <w:sz w:val="32"/>
          <w:szCs w:val="32"/>
          <w:highlight w:val="none"/>
          <w:lang w:eastAsia="zh-CN"/>
        </w:rPr>
        <w:t>对</w:t>
      </w:r>
      <w:r>
        <w:rPr>
          <w:rFonts w:hint="eastAsia" w:ascii="仿宋_GB2312" w:hAnsi="Times New Roman" w:eastAsia="仿宋_GB2312" w:cs="Times New Roman"/>
          <w:color w:val="auto"/>
          <w:sz w:val="32"/>
          <w:szCs w:val="32"/>
          <w:highlight w:val="none"/>
          <w:lang w:val="en-US" w:eastAsia="zh-CN"/>
        </w:rPr>
        <w:t>项目</w:t>
      </w:r>
      <w:r>
        <w:rPr>
          <w:rFonts w:hint="eastAsia" w:ascii="仿宋_GB2312" w:hAnsi="Times New Roman" w:eastAsia="仿宋_GB2312" w:cs="Times New Roman"/>
          <w:color w:val="auto"/>
          <w:sz w:val="32"/>
          <w:szCs w:val="32"/>
          <w:highlight w:val="none"/>
          <w:lang w:eastAsia="zh-CN"/>
        </w:rPr>
        <w:t>开展预算事前绩效评估，</w:t>
      </w:r>
      <w:r>
        <w:rPr>
          <w:rFonts w:hint="eastAsia" w:ascii="仿宋_GB2312" w:hAnsi="Times New Roman" w:eastAsia="仿宋_GB2312" w:cs="Times New Roman"/>
          <w:color w:val="auto"/>
          <w:sz w:val="32"/>
          <w:szCs w:val="32"/>
          <w:highlight w:val="none"/>
          <w:lang w:val="en-US" w:eastAsia="zh-CN"/>
        </w:rPr>
        <w:t>因本中心无项目，故无项目需编制绩效目标、开展绩效监控、开展绩效自评。</w:t>
      </w:r>
    </w:p>
    <w:p w14:paraId="17F8D82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159BE824">
      <w:pPr>
        <w:pStyle w:val="2"/>
        <w:rPr>
          <w:rFonts w:hint="eastAsia" w:ascii="Times New Roman" w:hAnsi="Times New Roman" w:eastAsia="仿宋_GB2312" w:cs="仿宋_GB2312"/>
          <w:color w:val="auto"/>
          <w:kern w:val="2"/>
          <w:sz w:val="32"/>
          <w:szCs w:val="32"/>
          <w:highlight w:val="none"/>
          <w:lang w:val="en-US" w:eastAsia="zh-CN" w:bidi="ar-SA"/>
        </w:rPr>
      </w:pPr>
    </w:p>
    <w:p w14:paraId="01580D10">
      <w:pPr>
        <w:pStyle w:val="2"/>
        <w:rPr>
          <w:rFonts w:hint="eastAsia" w:ascii="Times New Roman" w:hAnsi="Times New Roman" w:eastAsia="仿宋_GB2312" w:cs="仿宋_GB2312"/>
          <w:color w:val="auto"/>
          <w:kern w:val="2"/>
          <w:sz w:val="32"/>
          <w:szCs w:val="32"/>
          <w:highlight w:val="none"/>
          <w:lang w:val="en-US" w:eastAsia="zh-CN" w:bidi="ar-SA"/>
        </w:rPr>
      </w:pPr>
    </w:p>
    <w:p w14:paraId="3A10F553">
      <w:pPr>
        <w:pStyle w:val="2"/>
        <w:rPr>
          <w:rFonts w:hint="eastAsia" w:ascii="Times New Roman" w:hAnsi="Times New Roman" w:eastAsia="仿宋_GB2312" w:cs="仿宋_GB2312"/>
          <w:color w:val="auto"/>
          <w:kern w:val="2"/>
          <w:sz w:val="32"/>
          <w:szCs w:val="32"/>
          <w:highlight w:val="none"/>
          <w:lang w:val="en-US" w:eastAsia="zh-CN" w:bidi="ar-SA"/>
        </w:rPr>
      </w:pPr>
    </w:p>
    <w:p w14:paraId="6412FA26">
      <w:pPr>
        <w:pStyle w:val="2"/>
        <w:rPr>
          <w:rFonts w:hint="eastAsia" w:ascii="Times New Roman" w:hAnsi="Times New Roman" w:eastAsia="仿宋_GB2312" w:cs="仿宋_GB2312"/>
          <w:color w:val="auto"/>
          <w:kern w:val="2"/>
          <w:sz w:val="32"/>
          <w:szCs w:val="32"/>
          <w:highlight w:val="none"/>
          <w:lang w:val="en-US" w:eastAsia="zh-CN" w:bidi="ar-SA"/>
        </w:rPr>
      </w:pPr>
    </w:p>
    <w:p w14:paraId="6061055D">
      <w:pPr>
        <w:pStyle w:val="2"/>
        <w:rPr>
          <w:rFonts w:hint="eastAsia" w:ascii="Times New Roman" w:hAnsi="Times New Roman" w:eastAsia="仿宋_GB2312" w:cs="仿宋_GB2312"/>
          <w:color w:val="auto"/>
          <w:kern w:val="2"/>
          <w:sz w:val="32"/>
          <w:szCs w:val="32"/>
          <w:highlight w:val="none"/>
          <w:lang w:val="en-US" w:eastAsia="zh-CN" w:bidi="ar-SA"/>
        </w:rPr>
      </w:pPr>
    </w:p>
    <w:p w14:paraId="3490A10F">
      <w:pPr>
        <w:pStyle w:val="2"/>
        <w:rPr>
          <w:rFonts w:hint="eastAsia" w:ascii="Times New Roman" w:hAnsi="Times New Roman" w:eastAsia="仿宋_GB2312" w:cs="仿宋_GB2312"/>
          <w:color w:val="auto"/>
          <w:kern w:val="2"/>
          <w:sz w:val="32"/>
          <w:szCs w:val="32"/>
          <w:highlight w:val="none"/>
          <w:lang w:val="en-US" w:eastAsia="zh-CN" w:bidi="ar-SA"/>
        </w:rPr>
      </w:pPr>
    </w:p>
    <w:p w14:paraId="169499ED">
      <w:pPr>
        <w:pStyle w:val="2"/>
        <w:rPr>
          <w:rFonts w:hint="eastAsia" w:ascii="Times New Roman" w:hAnsi="Times New Roman" w:eastAsia="仿宋_GB2312" w:cs="仿宋_GB2312"/>
          <w:color w:val="auto"/>
          <w:kern w:val="2"/>
          <w:sz w:val="32"/>
          <w:szCs w:val="32"/>
          <w:highlight w:val="none"/>
          <w:lang w:val="en-US" w:eastAsia="zh-CN" w:bidi="ar-SA"/>
        </w:rPr>
      </w:pPr>
    </w:p>
    <w:p w14:paraId="56A4F821">
      <w:pPr>
        <w:pStyle w:val="2"/>
        <w:rPr>
          <w:rFonts w:hint="eastAsia" w:ascii="Times New Roman" w:hAnsi="Times New Roman" w:eastAsia="仿宋_GB2312" w:cs="仿宋_GB2312"/>
          <w:color w:val="auto"/>
          <w:kern w:val="2"/>
          <w:sz w:val="32"/>
          <w:szCs w:val="32"/>
          <w:highlight w:val="none"/>
          <w:lang w:val="en-US" w:eastAsia="zh-CN" w:bidi="ar-SA"/>
        </w:rPr>
      </w:pPr>
    </w:p>
    <w:p w14:paraId="1DF03F2E">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51" w:name="_Toc15377225"/>
      <w:bookmarkStart w:id="52" w:name="_Toc15396613"/>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51"/>
      <w:bookmarkEnd w:id="52"/>
    </w:p>
    <w:p w14:paraId="6780B10F">
      <w:pPr>
        <w:spacing w:line="600" w:lineRule="exact"/>
        <w:jc w:val="left"/>
        <w:rPr>
          <w:rFonts w:ascii="Times New Roman" w:hAnsi="Times New Roman"/>
          <w:b/>
          <w:color w:val="auto"/>
          <w:sz w:val="44"/>
          <w:szCs w:val="44"/>
          <w:highlight w:val="none"/>
        </w:rPr>
      </w:pPr>
    </w:p>
    <w:p w14:paraId="388FED69">
      <w:pPr>
        <w:keepNext w:val="0"/>
        <w:keepLines w:val="0"/>
        <w:pageBreakBefore w:val="0"/>
        <w:widowControl w:val="0"/>
        <w:numPr>
          <w:ilvl w:val="0"/>
          <w:numId w:val="0"/>
        </w:numPr>
        <w:kinsoku/>
        <w:wordWrap/>
        <w:overflowPunct/>
        <w:topLinePunct w:val="0"/>
        <w:autoSpaceDE/>
        <w:autoSpaceDN/>
        <w:bidi w:val="0"/>
        <w:snapToGrid/>
        <w:spacing w:before="0" w:beforeAutospacing="0" w:after="0" w:afterAutospacing="0" w:line="576" w:lineRule="exact"/>
        <w:ind w:right="0" w:firstLine="640" w:firstLineChars="200"/>
        <w:jc w:val="both"/>
        <w:textAlignment w:val="auto"/>
        <w:outlineLvl w:val="1"/>
        <w:rPr>
          <w:rFonts w:hint="eastAsia" w:ascii="仿宋_GB2312" w:hAnsi="仿宋_GB2312" w:eastAsia="仿宋_GB2312" w:cs="仿宋_GB2312"/>
          <w:color w:val="auto"/>
          <w:sz w:val="32"/>
          <w:szCs w:val="32"/>
          <w:lang w:eastAsia="zh-CN"/>
        </w:rPr>
      </w:pPr>
      <w:bookmarkStart w:id="53" w:name="_Toc27870"/>
      <w:bookmarkStart w:id="54" w:name="_Toc19992"/>
      <w:bookmarkStart w:id="55" w:name="_Toc15377226"/>
      <w:r>
        <w:rPr>
          <w:rFonts w:hint="eastAsia" w:ascii="仿宋_GB2312" w:hAnsi="仿宋_GB2312" w:eastAsia="仿宋_GB2312" w:cs="仿宋_GB2312"/>
          <w:color w:val="auto"/>
          <w:sz w:val="32"/>
          <w:szCs w:val="32"/>
          <w:lang w:eastAsia="zh-CN"/>
        </w:rPr>
        <w:t>1.财政拨款收入：指单位从同级财政部门取得的财政预算资金。</w:t>
      </w:r>
      <w:bookmarkEnd w:id="53"/>
      <w:bookmarkEnd w:id="54"/>
    </w:p>
    <w:p w14:paraId="70F81B71">
      <w:pPr>
        <w:keepNext w:val="0"/>
        <w:keepLines w:val="0"/>
        <w:pageBreakBefore w:val="0"/>
        <w:widowControl w:val="0"/>
        <w:numPr>
          <w:ilvl w:val="0"/>
          <w:numId w:val="0"/>
        </w:numPr>
        <w:kinsoku/>
        <w:wordWrap/>
        <w:overflowPunct/>
        <w:topLinePunct w:val="0"/>
        <w:autoSpaceDE/>
        <w:autoSpaceDN/>
        <w:bidi w:val="0"/>
        <w:snapToGrid/>
        <w:spacing w:before="0" w:beforeAutospacing="0" w:after="0" w:afterAutospacing="0" w:line="576" w:lineRule="exact"/>
        <w:ind w:right="0"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2.事业收入：指事业单位开展专业业务活动及辅助活动取得的收入。</w:t>
      </w:r>
    </w:p>
    <w:p w14:paraId="1C9538A4">
      <w:pPr>
        <w:keepNext w:val="0"/>
        <w:keepLines w:val="0"/>
        <w:pageBreakBefore w:val="0"/>
        <w:widowControl w:val="0"/>
        <w:numPr>
          <w:ilvl w:val="0"/>
          <w:numId w:val="0"/>
        </w:numPr>
        <w:kinsoku/>
        <w:wordWrap/>
        <w:overflowPunct/>
        <w:topLinePunct w:val="0"/>
        <w:autoSpaceDE/>
        <w:autoSpaceDN/>
        <w:bidi w:val="0"/>
        <w:snapToGrid/>
        <w:spacing w:before="0" w:beforeAutospacing="0" w:after="0" w:afterAutospacing="0" w:line="576" w:lineRule="exact"/>
        <w:ind w:right="0"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3.经营收入：指事业单位在专业业务活动及其辅助活动之外开展非独立核算经营活动取得的收入。</w:t>
      </w:r>
    </w:p>
    <w:p w14:paraId="47CCD16C">
      <w:pPr>
        <w:keepNext w:val="0"/>
        <w:keepLines w:val="0"/>
        <w:pageBreakBefore w:val="0"/>
        <w:widowControl w:val="0"/>
        <w:numPr>
          <w:ilvl w:val="0"/>
          <w:numId w:val="0"/>
        </w:numPr>
        <w:kinsoku/>
        <w:wordWrap/>
        <w:overflowPunct/>
        <w:topLinePunct w:val="0"/>
        <w:autoSpaceDE/>
        <w:autoSpaceDN/>
        <w:bidi w:val="0"/>
        <w:snapToGrid/>
        <w:spacing w:before="0" w:beforeAutospacing="0" w:after="0" w:afterAutospacing="0" w:line="576" w:lineRule="exact"/>
        <w:ind w:right="0" w:firstLine="640" w:firstLineChars="200"/>
        <w:jc w:val="both"/>
        <w:textAlignment w:val="auto"/>
        <w:outlineLvl w:val="1"/>
        <w:rPr>
          <w:rFonts w:hint="eastAsia" w:ascii="仿宋_GB2312" w:hAnsi="仿宋_GB2312" w:eastAsia="仿宋_GB2312" w:cs="仿宋_GB2312"/>
          <w:color w:val="auto"/>
          <w:sz w:val="32"/>
          <w:szCs w:val="32"/>
          <w:lang w:eastAsia="zh-CN"/>
        </w:rPr>
      </w:pPr>
      <w:bookmarkStart w:id="56" w:name="_Toc6514"/>
      <w:bookmarkStart w:id="57" w:name="_Toc28991"/>
      <w:r>
        <w:rPr>
          <w:rFonts w:hint="eastAsia" w:ascii="仿宋_GB2312" w:hAnsi="仿宋_GB2312" w:eastAsia="仿宋_GB2312" w:cs="仿宋_GB2312"/>
          <w:color w:val="auto"/>
          <w:sz w:val="32"/>
          <w:szCs w:val="32"/>
          <w:lang w:eastAsia="zh-CN"/>
        </w:rPr>
        <w:t>4.其他收入：指单位取得的除上述收入以外的各项收入。</w:t>
      </w:r>
      <w:bookmarkEnd w:id="56"/>
      <w:bookmarkEnd w:id="57"/>
    </w:p>
    <w:p w14:paraId="673B764D">
      <w:pPr>
        <w:keepNext w:val="0"/>
        <w:keepLines w:val="0"/>
        <w:pageBreakBefore w:val="0"/>
        <w:widowControl w:val="0"/>
        <w:numPr>
          <w:ilvl w:val="0"/>
          <w:numId w:val="0"/>
        </w:numPr>
        <w:kinsoku/>
        <w:wordWrap/>
        <w:overflowPunct/>
        <w:topLinePunct w:val="0"/>
        <w:autoSpaceDE/>
        <w:autoSpaceDN/>
        <w:bidi w:val="0"/>
        <w:snapToGrid/>
        <w:spacing w:before="0" w:beforeAutospacing="0" w:after="0" w:afterAutospacing="0" w:line="576" w:lineRule="exact"/>
        <w:ind w:right="0"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5.使用非财政拨款结余：指事业单位使用以前年度积累的非财政拨款结余弥补当年收支差额的金额。</w:t>
      </w:r>
    </w:p>
    <w:p w14:paraId="6496029E">
      <w:pPr>
        <w:keepNext w:val="0"/>
        <w:keepLines w:val="0"/>
        <w:pageBreakBefore w:val="0"/>
        <w:widowControl w:val="0"/>
        <w:numPr>
          <w:ilvl w:val="0"/>
          <w:numId w:val="0"/>
        </w:numPr>
        <w:kinsoku/>
        <w:wordWrap/>
        <w:overflowPunct/>
        <w:topLinePunct w:val="0"/>
        <w:autoSpaceDE/>
        <w:autoSpaceDN/>
        <w:bidi w:val="0"/>
        <w:snapToGrid/>
        <w:spacing w:before="0" w:beforeAutospacing="0" w:after="0" w:afterAutospacing="0" w:line="576" w:lineRule="exact"/>
        <w:ind w:right="0"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6.年初结转和结余：指以前年度尚未完成、结转到本年按有关规定继续使用的资金。</w:t>
      </w:r>
    </w:p>
    <w:p w14:paraId="688168CA">
      <w:pPr>
        <w:keepNext w:val="0"/>
        <w:keepLines w:val="0"/>
        <w:pageBreakBefore w:val="0"/>
        <w:widowControl w:val="0"/>
        <w:numPr>
          <w:ilvl w:val="0"/>
          <w:numId w:val="0"/>
        </w:numPr>
        <w:kinsoku/>
        <w:wordWrap/>
        <w:overflowPunct/>
        <w:topLinePunct w:val="0"/>
        <w:autoSpaceDE/>
        <w:autoSpaceDN/>
        <w:bidi w:val="0"/>
        <w:snapToGrid/>
        <w:spacing w:before="0" w:beforeAutospacing="0" w:after="0" w:afterAutospacing="0" w:line="576" w:lineRule="exact"/>
        <w:ind w:right="0"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7.结余分配：指事业单位按照会计制度规定缴纳的所得税、提取的专用结余以及转入非财政拨款结余的金额等。</w:t>
      </w:r>
    </w:p>
    <w:p w14:paraId="2166962B">
      <w:pPr>
        <w:keepNext w:val="0"/>
        <w:keepLines w:val="0"/>
        <w:pageBreakBefore w:val="0"/>
        <w:widowControl w:val="0"/>
        <w:numPr>
          <w:ilvl w:val="0"/>
          <w:numId w:val="0"/>
        </w:numPr>
        <w:kinsoku/>
        <w:wordWrap/>
        <w:overflowPunct/>
        <w:topLinePunct w:val="0"/>
        <w:autoSpaceDE/>
        <w:autoSpaceDN/>
        <w:bidi w:val="0"/>
        <w:snapToGrid/>
        <w:spacing w:before="0" w:beforeAutospacing="0" w:after="0" w:afterAutospacing="0" w:line="576" w:lineRule="exact"/>
        <w:ind w:right="0"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8.年末结转和结余：指单位按有关规定结转到下年或以后年度继续使用的资金。</w:t>
      </w:r>
    </w:p>
    <w:p w14:paraId="18275FB5">
      <w:pPr>
        <w:keepNext w:val="0"/>
        <w:keepLines w:val="0"/>
        <w:pageBreakBefore w:val="0"/>
        <w:widowControl w:val="0"/>
        <w:numPr>
          <w:ilvl w:val="0"/>
          <w:numId w:val="0"/>
        </w:numPr>
        <w:kinsoku/>
        <w:wordWrap/>
        <w:overflowPunct/>
        <w:topLinePunct w:val="0"/>
        <w:autoSpaceDE/>
        <w:autoSpaceDN/>
        <w:bidi w:val="0"/>
        <w:snapToGrid/>
        <w:spacing w:before="0" w:beforeAutospacing="0" w:after="0" w:afterAutospacing="0" w:line="576" w:lineRule="exact"/>
        <w:ind w:right="0"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9.社会保障和就业：指基本工资、津贴补贴、奖金、伙食补助费、绩效工资、机关事业单位基本养老保险缴费、职业年金缴费、其他社会保障缴费、其他工资福利支出、离休费、退休费、抚恤金、生活补助、医疗费、奖励金、住房公积金、提租补贴、购房补贴、其他对个人和家庭的补助支出以及公用经费，主要包括：办公费、印刷费、咨询费、手续费、水费、电费、邮电费、取暖费、物业管理费、差旅费、因公出国（境）费用、维修（护）费、租赁费、会议费、培训费、公务接待费、劳务费、委托业务费、工会经费、福利费、其他交通费、税金及附加费用、其他商品和服务支出。</w:t>
      </w:r>
    </w:p>
    <w:p w14:paraId="3A5A6CA7">
      <w:pPr>
        <w:keepNext w:val="0"/>
        <w:keepLines w:val="0"/>
        <w:pageBreakBefore w:val="0"/>
        <w:widowControl w:val="0"/>
        <w:numPr>
          <w:ilvl w:val="0"/>
          <w:numId w:val="0"/>
        </w:numPr>
        <w:kinsoku/>
        <w:wordWrap/>
        <w:overflowPunct/>
        <w:topLinePunct w:val="0"/>
        <w:autoSpaceDE/>
        <w:autoSpaceDN/>
        <w:bidi w:val="0"/>
        <w:snapToGrid/>
        <w:spacing w:before="0" w:beforeAutospacing="0" w:after="0" w:afterAutospacing="0" w:line="576" w:lineRule="exact"/>
        <w:ind w:right="0"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10.卫生和健康支出：指职工基本医疗保险。</w:t>
      </w:r>
    </w:p>
    <w:p w14:paraId="735AD3F2">
      <w:pPr>
        <w:keepNext w:val="0"/>
        <w:keepLines w:val="0"/>
        <w:pageBreakBefore w:val="0"/>
        <w:widowControl w:val="0"/>
        <w:numPr>
          <w:ilvl w:val="0"/>
          <w:numId w:val="0"/>
        </w:numPr>
        <w:kinsoku/>
        <w:wordWrap/>
        <w:overflowPunct/>
        <w:topLinePunct w:val="0"/>
        <w:autoSpaceDE/>
        <w:autoSpaceDN/>
        <w:bidi w:val="0"/>
        <w:snapToGrid/>
        <w:spacing w:before="0" w:beforeAutospacing="0" w:after="0" w:afterAutospacing="0" w:line="576" w:lineRule="exact"/>
        <w:ind w:right="0"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11.住房保障支出：指职工的住房公积金。</w:t>
      </w:r>
    </w:p>
    <w:p w14:paraId="2F37E2D3">
      <w:pPr>
        <w:keepNext w:val="0"/>
        <w:keepLines w:val="0"/>
        <w:pageBreakBefore w:val="0"/>
        <w:widowControl w:val="0"/>
        <w:numPr>
          <w:ilvl w:val="0"/>
          <w:numId w:val="0"/>
        </w:numPr>
        <w:kinsoku/>
        <w:wordWrap/>
        <w:overflowPunct/>
        <w:topLinePunct w:val="0"/>
        <w:autoSpaceDE/>
        <w:autoSpaceDN/>
        <w:bidi w:val="0"/>
        <w:snapToGrid/>
        <w:spacing w:before="0" w:beforeAutospacing="0" w:after="0" w:afterAutospacing="0" w:line="576" w:lineRule="exact"/>
        <w:ind w:right="0"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val="en-US" w:eastAsia="zh-CN"/>
        </w:rPr>
        <w:t>12.</w:t>
      </w:r>
      <w:r>
        <w:rPr>
          <w:rFonts w:hint="eastAsia" w:ascii="仿宋_GB2312" w:hAnsi="仿宋_GB2312" w:eastAsia="仿宋_GB2312" w:cs="仿宋_GB2312"/>
          <w:color w:val="auto"/>
          <w:sz w:val="32"/>
          <w:szCs w:val="32"/>
          <w:lang w:eastAsia="zh-CN"/>
        </w:rPr>
        <w:t>基本支出：指为保障机构正常运转、完成日常工作任务而发生的人员支出和公用支出。</w:t>
      </w:r>
    </w:p>
    <w:p w14:paraId="0CCC7A6C">
      <w:pPr>
        <w:keepNext w:val="0"/>
        <w:keepLines w:val="0"/>
        <w:pageBreakBefore w:val="0"/>
        <w:widowControl w:val="0"/>
        <w:numPr>
          <w:ilvl w:val="0"/>
          <w:numId w:val="0"/>
        </w:numPr>
        <w:kinsoku/>
        <w:wordWrap/>
        <w:overflowPunct/>
        <w:topLinePunct w:val="0"/>
        <w:autoSpaceDE/>
        <w:autoSpaceDN/>
        <w:bidi w:val="0"/>
        <w:snapToGrid/>
        <w:spacing w:before="0" w:beforeAutospacing="0" w:after="0" w:afterAutospacing="0" w:line="576" w:lineRule="exact"/>
        <w:ind w:right="0"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val="en-US" w:eastAsia="zh-CN"/>
        </w:rPr>
        <w:t>13.</w:t>
      </w:r>
      <w:r>
        <w:rPr>
          <w:rFonts w:hint="eastAsia" w:ascii="仿宋_GB2312" w:hAnsi="仿宋_GB2312" w:eastAsia="仿宋_GB2312" w:cs="仿宋_GB2312"/>
          <w:color w:val="auto"/>
          <w:sz w:val="32"/>
          <w:szCs w:val="32"/>
          <w:lang w:eastAsia="zh-CN"/>
        </w:rPr>
        <w:t>项目支出：指在基本支出之外为完成特定行政任务和事业发展目标所发生的支出。</w:t>
      </w:r>
    </w:p>
    <w:p w14:paraId="3509C876">
      <w:pPr>
        <w:keepNext w:val="0"/>
        <w:keepLines w:val="0"/>
        <w:pageBreakBefore w:val="0"/>
        <w:widowControl w:val="0"/>
        <w:numPr>
          <w:ilvl w:val="0"/>
          <w:numId w:val="0"/>
        </w:numPr>
        <w:kinsoku/>
        <w:wordWrap/>
        <w:overflowPunct/>
        <w:topLinePunct w:val="0"/>
        <w:autoSpaceDE/>
        <w:autoSpaceDN/>
        <w:bidi w:val="0"/>
        <w:snapToGrid/>
        <w:spacing w:before="0" w:beforeAutospacing="0" w:after="0" w:afterAutospacing="0" w:line="576" w:lineRule="exact"/>
        <w:ind w:right="0"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val="en-US" w:eastAsia="zh-CN"/>
        </w:rPr>
        <w:t>14.</w:t>
      </w:r>
      <w:r>
        <w:rPr>
          <w:rFonts w:hint="eastAsia" w:ascii="仿宋_GB2312" w:hAnsi="仿宋_GB2312" w:eastAsia="仿宋_GB2312" w:cs="仿宋_GB2312"/>
          <w:color w:val="auto"/>
          <w:sz w:val="32"/>
          <w:szCs w:val="32"/>
          <w:lang w:eastAsia="zh-CN"/>
        </w:rPr>
        <w:t>经营支出：指事业单位在专业业务活动及其辅助活动之外开展非独立核算经营活动发生的支出。</w:t>
      </w:r>
    </w:p>
    <w:p w14:paraId="449450B4">
      <w:pPr>
        <w:keepNext w:val="0"/>
        <w:keepLines w:val="0"/>
        <w:pageBreakBefore w:val="0"/>
        <w:widowControl w:val="0"/>
        <w:numPr>
          <w:ilvl w:val="0"/>
          <w:numId w:val="0"/>
        </w:numPr>
        <w:kinsoku/>
        <w:wordWrap/>
        <w:overflowPunct/>
        <w:topLinePunct w:val="0"/>
        <w:autoSpaceDE/>
        <w:autoSpaceDN/>
        <w:bidi w:val="0"/>
        <w:snapToGrid/>
        <w:spacing w:before="0" w:beforeAutospacing="0" w:after="0" w:afterAutospacing="0" w:line="576" w:lineRule="exact"/>
        <w:ind w:right="0"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val="en-US" w:eastAsia="zh-CN"/>
        </w:rPr>
        <w:t>15.</w:t>
      </w:r>
      <w:r>
        <w:rPr>
          <w:rFonts w:hint="eastAsia" w:ascii="仿宋_GB2312" w:hAnsi="仿宋_GB2312" w:eastAsia="仿宋_GB2312" w:cs="仿宋_GB2312"/>
          <w:color w:val="auto"/>
          <w:sz w:val="32"/>
          <w:szCs w:val="32"/>
          <w:lang w:eastAsia="zh-CN"/>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76CDE9C8">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Times New Roman" w:hAnsi="Times New Roman" w:eastAsia="仿宋_GB2312" w:cs="仿宋_GB2312"/>
          <w:b w:val="0"/>
          <w:bCs w:val="0"/>
          <w:kern w:val="0"/>
          <w:position w:val="0"/>
          <w:sz w:val="32"/>
          <w:szCs w:val="32"/>
          <w:highlight w:val="none"/>
          <w:lang w:val="en-US" w:eastAsia="zh-CN" w:bidi="ar-SA"/>
        </w:rPr>
      </w:pPr>
      <w:bookmarkStart w:id="72" w:name="_GoBack"/>
      <w:r>
        <w:rPr>
          <w:rFonts w:hint="eastAsia" w:ascii="仿宋_GB2312" w:hAnsi="仿宋_GB2312" w:eastAsia="仿宋_GB2312" w:cs="仿宋_GB2312"/>
          <w:color w:val="auto"/>
          <w:sz w:val="32"/>
          <w:szCs w:val="32"/>
          <w:lang w:val="en-US" w:eastAsia="zh-CN"/>
        </w:rPr>
        <w:t>16.</w:t>
      </w:r>
      <w:bookmarkEnd w:id="72"/>
      <w:r>
        <w:rPr>
          <w:rFonts w:hint="eastAsia" w:ascii="仿宋_GB2312" w:hAnsi="仿宋_GB2312" w:eastAsia="仿宋_GB2312" w:cs="仿宋_GB2312"/>
          <w:color w:val="auto"/>
          <w:sz w:val="32"/>
          <w:szCs w:val="32"/>
          <w:lang w:eastAsia="zh-CN"/>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bookmarkStart w:id="58" w:name="_Toc15396618"/>
      <w:r>
        <w:rPr>
          <w:rFonts w:hint="eastAsia" w:ascii="Times New Roman" w:hAnsi="Times New Roman" w:eastAsia="仿宋_GB2312" w:cs="仿宋_GB2312"/>
          <w:b w:val="0"/>
          <w:bCs w:val="0"/>
          <w:kern w:val="0"/>
          <w:position w:val="0"/>
          <w:sz w:val="32"/>
          <w:szCs w:val="32"/>
          <w:highlight w:val="none"/>
          <w:lang w:val="en-US" w:eastAsia="zh-CN" w:bidi="ar-SA"/>
        </w:rPr>
        <w:br w:type="page"/>
      </w:r>
    </w:p>
    <w:p w14:paraId="58F865B8">
      <w:pPr>
        <w:widowControl/>
        <w:jc w:val="center"/>
        <w:rPr>
          <w:rFonts w:hint="eastAsia" w:ascii="Times New Roman" w:hAnsi="Times New Roman" w:eastAsia="仿宋"/>
          <w:b w:val="0"/>
          <w:color w:val="auto"/>
          <w:highlight w:val="none"/>
        </w:rPr>
      </w:pPr>
      <w:r>
        <w:rPr>
          <w:rFonts w:hint="eastAsia" w:ascii="Times New Roman" w:hAnsi="Times New Roman" w:eastAsia="黑体"/>
          <w:color w:val="auto"/>
          <w:sz w:val="44"/>
          <w:szCs w:val="44"/>
          <w:highlight w:val="none"/>
        </w:rPr>
        <w:t>第</w:t>
      </w:r>
      <w:r>
        <w:rPr>
          <w:rStyle w:val="28"/>
          <w:rFonts w:hint="eastAsia" w:eastAsia="黑体"/>
          <w:b w:val="0"/>
          <w:color w:val="auto"/>
          <w:highlight w:val="none"/>
          <w:lang w:val="en-US" w:eastAsia="zh-CN"/>
        </w:rPr>
        <w:t>四</w:t>
      </w:r>
      <w:r>
        <w:rPr>
          <w:rStyle w:val="28"/>
          <w:rFonts w:hint="eastAsia" w:ascii="Times New Roman" w:hAnsi="Times New Roman" w:eastAsia="黑体"/>
          <w:b w:val="0"/>
          <w:color w:val="auto"/>
          <w:highlight w:val="none"/>
        </w:rPr>
        <w:t>部分 附表</w:t>
      </w:r>
      <w:bookmarkEnd w:id="55"/>
      <w:bookmarkEnd w:id="58"/>
      <w:bookmarkStart w:id="59" w:name="_Toc15396619"/>
    </w:p>
    <w:p w14:paraId="1122718E">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131B4930">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59"/>
    </w:p>
    <w:p w14:paraId="1B63BB1D">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0" w:name="_Toc15396620"/>
      <w:r>
        <w:rPr>
          <w:rFonts w:hint="eastAsia" w:ascii="Times New Roman" w:hAnsi="Times New Roman" w:eastAsia="仿宋_GB2312" w:cs="仿宋_GB2312"/>
          <w:color w:val="auto"/>
          <w:sz w:val="32"/>
          <w:szCs w:val="32"/>
          <w:highlight w:val="none"/>
        </w:rPr>
        <w:t>二、收入决算表</w:t>
      </w:r>
      <w:bookmarkEnd w:id="60"/>
    </w:p>
    <w:p w14:paraId="541E2562">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1" w:name="_Toc15396621"/>
      <w:r>
        <w:rPr>
          <w:rFonts w:hint="eastAsia" w:ascii="Times New Roman" w:hAnsi="Times New Roman" w:eastAsia="仿宋_GB2312" w:cs="仿宋_GB2312"/>
          <w:color w:val="auto"/>
          <w:sz w:val="32"/>
          <w:szCs w:val="32"/>
          <w:highlight w:val="none"/>
        </w:rPr>
        <w:t>三、支出决算表</w:t>
      </w:r>
      <w:bookmarkEnd w:id="61"/>
    </w:p>
    <w:p w14:paraId="0C4CEC7C">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2" w:name="_Toc15396622"/>
      <w:r>
        <w:rPr>
          <w:rFonts w:hint="eastAsia" w:ascii="Times New Roman" w:hAnsi="Times New Roman" w:eastAsia="仿宋_GB2312" w:cs="仿宋_GB2312"/>
          <w:color w:val="auto"/>
          <w:sz w:val="32"/>
          <w:szCs w:val="32"/>
          <w:highlight w:val="none"/>
        </w:rPr>
        <w:t>四、财政拨款收入支出决算总表</w:t>
      </w:r>
      <w:bookmarkEnd w:id="62"/>
    </w:p>
    <w:p w14:paraId="7A0DED1B">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3" w:name="_Toc15396623"/>
      <w:r>
        <w:rPr>
          <w:rFonts w:hint="eastAsia" w:ascii="Times New Roman" w:hAnsi="Times New Roman" w:eastAsia="仿宋_GB2312" w:cs="仿宋_GB2312"/>
          <w:color w:val="auto"/>
          <w:sz w:val="32"/>
          <w:szCs w:val="32"/>
          <w:highlight w:val="none"/>
        </w:rPr>
        <w:t>五、财政拨款支出决算明细表</w:t>
      </w:r>
      <w:bookmarkEnd w:id="63"/>
      <w:bookmarkStart w:id="64" w:name="_Toc15396624"/>
    </w:p>
    <w:p w14:paraId="21415E53">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64"/>
    </w:p>
    <w:p w14:paraId="0A09759B">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5" w:name="_Toc15396625"/>
      <w:r>
        <w:rPr>
          <w:rFonts w:hint="eastAsia" w:ascii="Times New Roman" w:hAnsi="Times New Roman" w:eastAsia="仿宋_GB2312" w:cs="仿宋_GB2312"/>
          <w:color w:val="auto"/>
          <w:sz w:val="32"/>
          <w:szCs w:val="32"/>
          <w:highlight w:val="none"/>
        </w:rPr>
        <w:t>七、一般公共预算财政拨款支出决算明细表</w:t>
      </w:r>
      <w:bookmarkEnd w:id="65"/>
    </w:p>
    <w:p w14:paraId="50919480">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6" w:name="_Toc15396626"/>
      <w:r>
        <w:rPr>
          <w:rFonts w:hint="eastAsia" w:ascii="Times New Roman" w:hAnsi="Times New Roman" w:eastAsia="仿宋_GB2312" w:cs="仿宋_GB2312"/>
          <w:color w:val="auto"/>
          <w:sz w:val="32"/>
          <w:szCs w:val="32"/>
          <w:highlight w:val="none"/>
        </w:rPr>
        <w:t>八、一般公共预算财政拨款基本支出决算表</w:t>
      </w:r>
      <w:bookmarkEnd w:id="66"/>
    </w:p>
    <w:p w14:paraId="5F38A1F5">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7" w:name="_Toc15396627"/>
      <w:r>
        <w:rPr>
          <w:rFonts w:hint="eastAsia" w:ascii="Times New Roman" w:hAnsi="Times New Roman" w:eastAsia="仿宋_GB2312" w:cs="仿宋_GB2312"/>
          <w:color w:val="auto"/>
          <w:sz w:val="32"/>
          <w:szCs w:val="32"/>
          <w:highlight w:val="none"/>
        </w:rPr>
        <w:t>九、一般公共预算财政拨款项目支出决算表</w:t>
      </w:r>
      <w:bookmarkEnd w:id="67"/>
    </w:p>
    <w:p w14:paraId="7CFCB599">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8" w:name="_Toc15396628"/>
      <w:r>
        <w:rPr>
          <w:rFonts w:hint="eastAsia" w:ascii="Times New Roman" w:hAnsi="Times New Roman" w:eastAsia="仿宋_GB2312" w:cs="仿宋_GB2312"/>
          <w:color w:val="auto"/>
          <w:sz w:val="32"/>
          <w:szCs w:val="32"/>
          <w:highlight w:val="none"/>
        </w:rPr>
        <w:t>十、</w:t>
      </w:r>
      <w:bookmarkEnd w:id="68"/>
      <w:r>
        <w:rPr>
          <w:rFonts w:hint="eastAsia" w:ascii="Times New Roman" w:hAnsi="Times New Roman" w:eastAsia="仿宋_GB2312" w:cs="仿宋_GB2312"/>
          <w:color w:val="auto"/>
          <w:sz w:val="32"/>
          <w:szCs w:val="32"/>
          <w:highlight w:val="none"/>
        </w:rPr>
        <w:t>政府性基金预算财政拨款收入支出决算表</w:t>
      </w:r>
    </w:p>
    <w:p w14:paraId="1C3E1012">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9" w:name="_Toc15396629"/>
      <w:r>
        <w:rPr>
          <w:rFonts w:hint="eastAsia" w:ascii="Times New Roman" w:hAnsi="Times New Roman" w:eastAsia="仿宋_GB2312" w:cs="仿宋_GB2312"/>
          <w:color w:val="auto"/>
          <w:sz w:val="32"/>
          <w:szCs w:val="32"/>
          <w:highlight w:val="none"/>
        </w:rPr>
        <w:t>十一、</w:t>
      </w:r>
      <w:bookmarkEnd w:id="69"/>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14:paraId="2CAEBEF1">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0" w:name="_Toc15396630"/>
      <w:r>
        <w:rPr>
          <w:rFonts w:hint="eastAsia" w:ascii="Times New Roman" w:hAnsi="Times New Roman" w:eastAsia="仿宋_GB2312" w:cs="仿宋_GB2312"/>
          <w:color w:val="auto"/>
          <w:sz w:val="32"/>
          <w:szCs w:val="32"/>
          <w:highlight w:val="none"/>
        </w:rPr>
        <w:t>十二、</w:t>
      </w:r>
      <w:bookmarkEnd w:id="70"/>
      <w:r>
        <w:rPr>
          <w:rFonts w:hint="eastAsia" w:ascii="Times New Roman" w:hAnsi="Times New Roman" w:eastAsia="仿宋_GB2312" w:cs="仿宋_GB2312"/>
          <w:color w:val="auto"/>
          <w:sz w:val="32"/>
          <w:szCs w:val="32"/>
          <w:highlight w:val="none"/>
          <w:lang w:eastAsia="zh-CN"/>
        </w:rPr>
        <w:t>国有资本经营预算财政拨款支出决算表</w:t>
      </w:r>
    </w:p>
    <w:p w14:paraId="0D7A18F0">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71" w:name="_Toc15396631"/>
      <w:r>
        <w:rPr>
          <w:rFonts w:hint="eastAsia" w:ascii="Times New Roman" w:hAnsi="Times New Roman" w:eastAsia="仿宋_GB2312" w:cs="仿宋_GB2312"/>
          <w:color w:val="auto"/>
          <w:sz w:val="32"/>
          <w:szCs w:val="32"/>
          <w:highlight w:val="none"/>
        </w:rPr>
        <w:t>十三、</w:t>
      </w:r>
      <w:bookmarkEnd w:id="71"/>
      <w:r>
        <w:rPr>
          <w:rFonts w:hint="eastAsia" w:ascii="Times New Roman" w:hAnsi="Times New Roman" w:eastAsia="仿宋_GB2312" w:cs="仿宋_GB2312"/>
          <w:color w:val="auto"/>
          <w:sz w:val="32"/>
          <w:szCs w:val="32"/>
          <w:highlight w:val="none"/>
          <w:lang w:eastAsia="zh-CN"/>
        </w:rPr>
        <w:t>财政拨款“三公”经费支出决算表</w:t>
      </w:r>
    </w:p>
    <w:p w14:paraId="3C10FB6D">
      <w:pPr>
        <w:rPr>
          <w:rFonts w:hint="eastAsia" w:ascii="Times New Roman" w:hAnsi="Times New Roman"/>
          <w:lang w:eastAsia="zh-CN"/>
        </w:rPr>
      </w:pPr>
    </w:p>
    <w:sectPr>
      <w:footerReference r:id="rId6" w:type="first"/>
      <w:footerReference r:id="rId5"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B738494-FEEA-4233-96FE-3534A9989F4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embedRegular r:id="rId2" w:fontKey="{B7013232-DD00-4F60-A2FA-F31EA7D2458D}"/>
  </w:font>
  <w:font w:name="仿宋">
    <w:panose1 w:val="02010609060101010101"/>
    <w:charset w:val="86"/>
    <w:family w:val="modern"/>
    <w:pitch w:val="default"/>
    <w:sig w:usb0="800002BF" w:usb1="38CF7CFA" w:usb2="00000016" w:usb3="00000000" w:csb0="00040001" w:csb1="00000000"/>
    <w:embedRegular r:id="rId3" w:fontKey="{6B6F1FAE-0C4C-4F2D-ADC3-DC34239A4216}"/>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2010600010101010101"/>
    <w:charset w:val="86"/>
    <w:family w:val="script"/>
    <w:pitch w:val="default"/>
    <w:sig w:usb0="00000001" w:usb1="080E0000" w:usb2="00000000" w:usb3="00000000" w:csb0="00040000" w:csb1="00000000"/>
    <w:embedRegular r:id="rId4" w:fontKey="{097AC4D7-D18F-45EB-B7E2-4EFC200F608F}"/>
  </w:font>
  <w:font w:name="楷体_GB2312">
    <w:panose1 w:val="02010609030101010101"/>
    <w:charset w:val="86"/>
    <w:family w:val="auto"/>
    <w:pitch w:val="default"/>
    <w:sig w:usb0="00000001" w:usb1="080E0000" w:usb2="00000000" w:usb3="00000000" w:csb0="00040000" w:csb1="00000000"/>
    <w:embedRegular r:id="rId5" w:fontKey="{BC4BA73E-1DF8-4CD9-BE50-56BFBA540B2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E8092D">
    <w:pPr>
      <w:pStyle w:val="10"/>
      <w:jc w:val="center"/>
    </w:pPr>
  </w:p>
  <w:p w14:paraId="50C8EEC6">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B150C6">
    <w:pPr>
      <w:pStyle w:val="10"/>
      <w:jc w:val="center"/>
    </w:pPr>
  </w:p>
  <w:p w14:paraId="5253D661">
    <w:pPr>
      <w:pStyle w:val="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6A1DEE">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133866C">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0133866C">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413C41">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3D566C8"/>
    <w:multiLevelType w:val="singleLevel"/>
    <w:tmpl w:val="33D566C8"/>
    <w:lvl w:ilvl="0" w:tentative="0">
      <w:start w:val="1"/>
      <w:numFmt w:val="chineseCounting"/>
      <w:suff w:val="nothing"/>
      <w:lvlText w:val="%1、"/>
      <w:lvlJc w:val="left"/>
      <w:rPr>
        <w:rFonts w:hint="eastAsia"/>
      </w:rPr>
    </w:lvl>
  </w:abstractNum>
  <w:abstractNum w:abstractNumId="1">
    <w:nsid w:val="5686BD22"/>
    <w:multiLevelType w:val="singleLevel"/>
    <w:tmpl w:val="5686BD22"/>
    <w:lvl w:ilvl="0" w:tentative="0">
      <w:start w:val="1"/>
      <w:numFmt w:val="decimal"/>
      <w:lvlText w:val="%1."/>
      <w:lvlJc w:val="left"/>
      <w:pPr>
        <w:tabs>
          <w:tab w:val="left" w:pos="312"/>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A23516"/>
    <w:rsid w:val="02317B1B"/>
    <w:rsid w:val="024959FD"/>
    <w:rsid w:val="02FEBE30"/>
    <w:rsid w:val="0305533E"/>
    <w:rsid w:val="04BF6221"/>
    <w:rsid w:val="061E35DE"/>
    <w:rsid w:val="066E0107"/>
    <w:rsid w:val="07996F6E"/>
    <w:rsid w:val="07DFD8BA"/>
    <w:rsid w:val="08DB07E4"/>
    <w:rsid w:val="09867E8F"/>
    <w:rsid w:val="0A2032A3"/>
    <w:rsid w:val="0C6C4794"/>
    <w:rsid w:val="0CA8290A"/>
    <w:rsid w:val="0D35B1ED"/>
    <w:rsid w:val="0D605906"/>
    <w:rsid w:val="0DE07E2B"/>
    <w:rsid w:val="0E322F72"/>
    <w:rsid w:val="0F2C1D70"/>
    <w:rsid w:val="0F98263C"/>
    <w:rsid w:val="101860EC"/>
    <w:rsid w:val="10B13116"/>
    <w:rsid w:val="10C055FF"/>
    <w:rsid w:val="11772AA4"/>
    <w:rsid w:val="118107EC"/>
    <w:rsid w:val="124A5B73"/>
    <w:rsid w:val="13957196"/>
    <w:rsid w:val="13D50BC4"/>
    <w:rsid w:val="14022904"/>
    <w:rsid w:val="152F2A07"/>
    <w:rsid w:val="155E5D07"/>
    <w:rsid w:val="165E0673"/>
    <w:rsid w:val="16BB723D"/>
    <w:rsid w:val="16F13FCB"/>
    <w:rsid w:val="18320E62"/>
    <w:rsid w:val="186504BB"/>
    <w:rsid w:val="18AA02CC"/>
    <w:rsid w:val="18E960C0"/>
    <w:rsid w:val="1938089F"/>
    <w:rsid w:val="19A445FC"/>
    <w:rsid w:val="1AA747D2"/>
    <w:rsid w:val="1B7D550C"/>
    <w:rsid w:val="1BE8440E"/>
    <w:rsid w:val="1C0B2DC2"/>
    <w:rsid w:val="1D0B56DE"/>
    <w:rsid w:val="1D155CEE"/>
    <w:rsid w:val="1DE178F3"/>
    <w:rsid w:val="1E740ACF"/>
    <w:rsid w:val="1EB87C0A"/>
    <w:rsid w:val="1FF35744"/>
    <w:rsid w:val="1FF6BC77"/>
    <w:rsid w:val="20851D0B"/>
    <w:rsid w:val="21962A9E"/>
    <w:rsid w:val="21AE7C77"/>
    <w:rsid w:val="22BC3C41"/>
    <w:rsid w:val="23860B96"/>
    <w:rsid w:val="239D411B"/>
    <w:rsid w:val="23CF6517"/>
    <w:rsid w:val="240371BF"/>
    <w:rsid w:val="260F557C"/>
    <w:rsid w:val="281408E2"/>
    <w:rsid w:val="29FD04D3"/>
    <w:rsid w:val="2BFF7BC6"/>
    <w:rsid w:val="2C8A61B5"/>
    <w:rsid w:val="2D2E01CF"/>
    <w:rsid w:val="2DF04E50"/>
    <w:rsid w:val="2E9545B0"/>
    <w:rsid w:val="2F040D46"/>
    <w:rsid w:val="2FAE5751"/>
    <w:rsid w:val="2FB1A395"/>
    <w:rsid w:val="2FD9A7D8"/>
    <w:rsid w:val="319F7F4E"/>
    <w:rsid w:val="321B2544"/>
    <w:rsid w:val="3304709D"/>
    <w:rsid w:val="34281836"/>
    <w:rsid w:val="349D6851"/>
    <w:rsid w:val="35BA6CAF"/>
    <w:rsid w:val="35D37231"/>
    <w:rsid w:val="364D14C1"/>
    <w:rsid w:val="36AA5135"/>
    <w:rsid w:val="36BE0DA7"/>
    <w:rsid w:val="376B6AA6"/>
    <w:rsid w:val="376D39B2"/>
    <w:rsid w:val="37E16F03"/>
    <w:rsid w:val="37F53A3B"/>
    <w:rsid w:val="381D4605"/>
    <w:rsid w:val="389B6C89"/>
    <w:rsid w:val="38D469F0"/>
    <w:rsid w:val="395B231A"/>
    <w:rsid w:val="39627CCD"/>
    <w:rsid w:val="397BAF1F"/>
    <w:rsid w:val="3AB79AF3"/>
    <w:rsid w:val="3AFA2B6A"/>
    <w:rsid w:val="3B7EF35A"/>
    <w:rsid w:val="3B9FDB6C"/>
    <w:rsid w:val="3BF5BC2F"/>
    <w:rsid w:val="3CBF1F1C"/>
    <w:rsid w:val="3CEBA265"/>
    <w:rsid w:val="3D1B27AF"/>
    <w:rsid w:val="3D98207C"/>
    <w:rsid w:val="3D9B0D99"/>
    <w:rsid w:val="3DEE7CF3"/>
    <w:rsid w:val="3DF02244"/>
    <w:rsid w:val="3E682C63"/>
    <w:rsid w:val="3E78745D"/>
    <w:rsid w:val="3FF4CAE0"/>
    <w:rsid w:val="3FF7B227"/>
    <w:rsid w:val="40E54C45"/>
    <w:rsid w:val="41313393"/>
    <w:rsid w:val="43A407DF"/>
    <w:rsid w:val="44515BEA"/>
    <w:rsid w:val="44E268DA"/>
    <w:rsid w:val="453F7E5B"/>
    <w:rsid w:val="486A6C7A"/>
    <w:rsid w:val="49176D9B"/>
    <w:rsid w:val="494006BD"/>
    <w:rsid w:val="4A627F82"/>
    <w:rsid w:val="4B0E749A"/>
    <w:rsid w:val="4B4F25DA"/>
    <w:rsid w:val="4BDA0CFB"/>
    <w:rsid w:val="4BE068DB"/>
    <w:rsid w:val="4D3C0CCC"/>
    <w:rsid w:val="4D577224"/>
    <w:rsid w:val="4DBF1CEB"/>
    <w:rsid w:val="4EAB630A"/>
    <w:rsid w:val="4ECE2238"/>
    <w:rsid w:val="4F833267"/>
    <w:rsid w:val="4FE9BD67"/>
    <w:rsid w:val="4FFB052F"/>
    <w:rsid w:val="53083A92"/>
    <w:rsid w:val="537E6D0A"/>
    <w:rsid w:val="53AF27A2"/>
    <w:rsid w:val="53F74C96"/>
    <w:rsid w:val="55D74AB5"/>
    <w:rsid w:val="56E47B74"/>
    <w:rsid w:val="57BD3DD4"/>
    <w:rsid w:val="5AF92295"/>
    <w:rsid w:val="5BDD79E6"/>
    <w:rsid w:val="5BF561CA"/>
    <w:rsid w:val="5BFF5DFC"/>
    <w:rsid w:val="5CD71FC4"/>
    <w:rsid w:val="5D1057B0"/>
    <w:rsid w:val="5D1F11B5"/>
    <w:rsid w:val="5DAE1B18"/>
    <w:rsid w:val="5DE7D9E5"/>
    <w:rsid w:val="5EC61D8C"/>
    <w:rsid w:val="5ECEC941"/>
    <w:rsid w:val="5F493CB7"/>
    <w:rsid w:val="5FBF9FF3"/>
    <w:rsid w:val="5FCD4E2C"/>
    <w:rsid w:val="5FD15F49"/>
    <w:rsid w:val="5FEF394A"/>
    <w:rsid w:val="5FF67715"/>
    <w:rsid w:val="5FF87782"/>
    <w:rsid w:val="601A67F5"/>
    <w:rsid w:val="62BF3928"/>
    <w:rsid w:val="647F5392"/>
    <w:rsid w:val="65885DDB"/>
    <w:rsid w:val="664B1D71"/>
    <w:rsid w:val="67AA3209"/>
    <w:rsid w:val="681C4F0D"/>
    <w:rsid w:val="69046D0F"/>
    <w:rsid w:val="698D0931"/>
    <w:rsid w:val="6A7B3531"/>
    <w:rsid w:val="6A993CED"/>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B645DF"/>
    <w:rsid w:val="6FCE6052"/>
    <w:rsid w:val="6FD57C00"/>
    <w:rsid w:val="6FE07AD8"/>
    <w:rsid w:val="6FEFFFD8"/>
    <w:rsid w:val="6FF5CC65"/>
    <w:rsid w:val="6FFB47EC"/>
    <w:rsid w:val="6FFF034A"/>
    <w:rsid w:val="70496804"/>
    <w:rsid w:val="712A28F1"/>
    <w:rsid w:val="715C0E4B"/>
    <w:rsid w:val="72233669"/>
    <w:rsid w:val="72734D90"/>
    <w:rsid w:val="72B1606B"/>
    <w:rsid w:val="7332FE48"/>
    <w:rsid w:val="73AB61DA"/>
    <w:rsid w:val="73AD73D5"/>
    <w:rsid w:val="73B6EB34"/>
    <w:rsid w:val="73FA497D"/>
    <w:rsid w:val="744731E5"/>
    <w:rsid w:val="74527205"/>
    <w:rsid w:val="74BBD01D"/>
    <w:rsid w:val="74ED5379"/>
    <w:rsid w:val="74FC2395"/>
    <w:rsid w:val="75DEEEC2"/>
    <w:rsid w:val="766900C7"/>
    <w:rsid w:val="76E3355F"/>
    <w:rsid w:val="76FF5125"/>
    <w:rsid w:val="776F6FFA"/>
    <w:rsid w:val="778769C8"/>
    <w:rsid w:val="77DC22F5"/>
    <w:rsid w:val="79086DAD"/>
    <w:rsid w:val="79674CCE"/>
    <w:rsid w:val="79974F09"/>
    <w:rsid w:val="79D7FD79"/>
    <w:rsid w:val="79EE5BA4"/>
    <w:rsid w:val="7A894339"/>
    <w:rsid w:val="7AFF7572"/>
    <w:rsid w:val="7B6C7DFB"/>
    <w:rsid w:val="7BBFBED0"/>
    <w:rsid w:val="7BC3E394"/>
    <w:rsid w:val="7C1F3737"/>
    <w:rsid w:val="7C610539"/>
    <w:rsid w:val="7CBFC87B"/>
    <w:rsid w:val="7CFE0F48"/>
    <w:rsid w:val="7D7EC23E"/>
    <w:rsid w:val="7D916348"/>
    <w:rsid w:val="7E8ADEBF"/>
    <w:rsid w:val="7EEF11D3"/>
    <w:rsid w:val="7F0971A6"/>
    <w:rsid w:val="7F3F679B"/>
    <w:rsid w:val="7F4FC4EF"/>
    <w:rsid w:val="7F5E4D54"/>
    <w:rsid w:val="7F6E0135"/>
    <w:rsid w:val="7FA30C79"/>
    <w:rsid w:val="7FA526D2"/>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6">
    <w:name w:val="Default Paragraph Font"/>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25"/>
    <w:qFormat/>
    <w:uiPriority w:val="99"/>
    <w:pPr>
      <w:spacing w:beforeLines="30"/>
    </w:pPr>
    <w:rPr>
      <w:rFonts w:ascii="仿宋_GB2312" w:eastAsia="仿宋_GB2312"/>
      <w:kern w:val="0"/>
      <w:sz w:val="30"/>
    </w:rPr>
  </w:style>
  <w:style w:type="paragraph" w:styleId="6">
    <w:name w:val="Body Text Indent"/>
    <w:basedOn w:val="1"/>
    <w:next w:val="7"/>
    <w:qFormat/>
    <w:uiPriority w:val="0"/>
    <w:pPr>
      <w:spacing w:after="120"/>
      <w:ind w:leftChars="200"/>
    </w:pPr>
    <w:rPr>
      <w:rFonts w:ascii="仿宋_GB2312"/>
      <w:szCs w:val="32"/>
    </w:rPr>
  </w:style>
  <w:style w:type="paragraph" w:styleId="7">
    <w:name w:val="Body Text First Indent 2"/>
    <w:basedOn w:val="6"/>
    <w:next w:val="1"/>
    <w:unhideWhenUsed/>
    <w:qFormat/>
    <w:uiPriority w:val="99"/>
    <w:pPr>
      <w:ind w:firstLine="420" w:firstLineChars="200"/>
    </w:pPr>
  </w:style>
  <w:style w:type="paragraph" w:styleId="8">
    <w:name w:val="toc 3"/>
    <w:basedOn w:val="1"/>
    <w:next w:val="1"/>
    <w:unhideWhenUsed/>
    <w:qFormat/>
    <w:uiPriority w:val="39"/>
    <w:pPr>
      <w:tabs>
        <w:tab w:val="right" w:leader="dot" w:pos="8296"/>
      </w:tabs>
      <w:ind w:left="840" w:leftChars="400"/>
    </w:pPr>
  </w:style>
  <w:style w:type="paragraph" w:styleId="9">
    <w:name w:val="Balloon Text"/>
    <w:basedOn w:val="1"/>
    <w:link w:val="31"/>
    <w:semiHidden/>
    <w:unhideWhenUsed/>
    <w:qFormat/>
    <w:uiPriority w:val="99"/>
    <w:rPr>
      <w:sz w:val="18"/>
      <w:szCs w:val="18"/>
    </w:rPr>
  </w:style>
  <w:style w:type="paragraph" w:styleId="10">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1">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3">
    <w:name w:val="footnote text"/>
    <w:basedOn w:val="1"/>
    <w:next w:val="7"/>
    <w:semiHidden/>
    <w:qFormat/>
    <w:uiPriority w:val="0"/>
    <w:pPr>
      <w:snapToGrid w:val="0"/>
      <w:jc w:val="left"/>
    </w:pPr>
    <w:rPr>
      <w:sz w:val="18"/>
      <w:szCs w:val="18"/>
    </w:rPr>
  </w:style>
  <w:style w:type="paragraph" w:styleId="14">
    <w:name w:val="toc 2"/>
    <w:basedOn w:val="1"/>
    <w:next w:val="1"/>
    <w:unhideWhenUsed/>
    <w:qFormat/>
    <w:uiPriority w:val="39"/>
    <w:pPr>
      <w:tabs>
        <w:tab w:val="right" w:leader="dot" w:pos="8296"/>
      </w:tabs>
      <w:ind w:left="420" w:leftChars="200"/>
    </w:p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14:textFill>
        <w14:solidFill>
          <w14:schemeClr w14:val="hlink"/>
        </w14:solidFill>
      </w14:textFill>
    </w:rPr>
  </w:style>
  <w:style w:type="paragraph" w:customStyle="1" w:styleId="19">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0">
    <w:name w:val="Header Char"/>
    <w:basedOn w:val="16"/>
    <w:semiHidden/>
    <w:qFormat/>
    <w:uiPriority w:val="99"/>
    <w:rPr>
      <w:rFonts w:ascii="Times New Roman" w:hAnsi="Times New Roman"/>
      <w:sz w:val="18"/>
      <w:szCs w:val="18"/>
    </w:rPr>
  </w:style>
  <w:style w:type="character" w:customStyle="1" w:styleId="21">
    <w:name w:val="页眉 Char"/>
    <w:link w:val="11"/>
    <w:semiHidden/>
    <w:qFormat/>
    <w:locked/>
    <w:uiPriority w:val="99"/>
    <w:rPr>
      <w:sz w:val="18"/>
    </w:rPr>
  </w:style>
  <w:style w:type="character" w:customStyle="1" w:styleId="22">
    <w:name w:val="Footer Char"/>
    <w:basedOn w:val="16"/>
    <w:semiHidden/>
    <w:qFormat/>
    <w:uiPriority w:val="99"/>
    <w:rPr>
      <w:rFonts w:ascii="Times New Roman" w:hAnsi="Times New Roman"/>
      <w:sz w:val="18"/>
      <w:szCs w:val="18"/>
    </w:rPr>
  </w:style>
  <w:style w:type="character" w:customStyle="1" w:styleId="23">
    <w:name w:val="页脚 Char"/>
    <w:link w:val="10"/>
    <w:qFormat/>
    <w:locked/>
    <w:uiPriority w:val="99"/>
    <w:rPr>
      <w:sz w:val="18"/>
    </w:rPr>
  </w:style>
  <w:style w:type="character" w:customStyle="1" w:styleId="24">
    <w:name w:val="Body Text Char"/>
    <w:basedOn w:val="16"/>
    <w:semiHidden/>
    <w:qFormat/>
    <w:uiPriority w:val="99"/>
    <w:rPr>
      <w:rFonts w:ascii="Times New Roman" w:hAnsi="Times New Roman"/>
      <w:szCs w:val="24"/>
    </w:rPr>
  </w:style>
  <w:style w:type="character" w:customStyle="1" w:styleId="25">
    <w:name w:val="正文文本 Char"/>
    <w:link w:val="2"/>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Char"/>
    <w:basedOn w:val="16"/>
    <w:link w:val="3"/>
    <w:qFormat/>
    <w:uiPriority w:val="9"/>
    <w:rPr>
      <w:rFonts w:ascii="Times New Roman" w:hAnsi="Times New Roman"/>
      <w:b/>
      <w:bCs/>
      <w:kern w:val="44"/>
      <w:sz w:val="44"/>
      <w:szCs w:val="44"/>
    </w:rPr>
  </w:style>
  <w:style w:type="character" w:customStyle="1" w:styleId="29">
    <w:name w:val="标题 2 Char"/>
    <w:basedOn w:val="16"/>
    <w:link w:val="4"/>
    <w:qFormat/>
    <w:uiPriority w:val="9"/>
    <w:rPr>
      <w:rFonts w:asciiTheme="majorHAnsi" w:hAnsiTheme="majorHAnsi" w:eastAsiaTheme="majorEastAsia" w:cstheme="majorBidi"/>
      <w:b/>
      <w:bCs/>
      <w:kern w:val="2"/>
      <w:sz w:val="32"/>
      <w:szCs w:val="32"/>
    </w:rPr>
  </w:style>
  <w:style w:type="paragraph" w:customStyle="1" w:styleId="30">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Char"/>
    <w:basedOn w:val="16"/>
    <w:link w:val="9"/>
    <w:semiHidden/>
    <w:qFormat/>
    <w:uiPriority w:val="99"/>
    <w:rPr>
      <w:rFonts w:ascii="Times New Roman" w:hAnsi="Times New Roman"/>
      <w:kern w:val="2"/>
      <w:sz w:val="18"/>
      <w:szCs w:val="18"/>
    </w:rPr>
  </w:style>
  <w:style w:type="character" w:customStyle="1" w:styleId="32">
    <w:name w:val="标题 3 Char"/>
    <w:basedOn w:val="16"/>
    <w:link w:val="5"/>
    <w:qFormat/>
    <w:uiPriority w:val="9"/>
    <w:rPr>
      <w:rFonts w:ascii="Times New Roman" w:hAnsi="Times New Roman"/>
      <w:b/>
      <w:bCs/>
      <w:kern w:val="2"/>
      <w:sz w:val="32"/>
      <w:szCs w:val="32"/>
    </w:rPr>
  </w:style>
  <w:style w:type="paragraph" w:customStyle="1" w:styleId="33">
    <w:name w:val="TOC Heading"/>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4">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eac3d4aa-1aff-45b1-bf40-8e9fde550ccb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388FED69</paraID>
      <start>0</start>
      <end>2</end>
      <status>modified</status>
      <modifiedWord>1.</modifiedWord>
      <trackRevisions>false</trackRevisions>
    </reviewItem>
    <reviewItem>
      <errorID>3f4be8f3-b8c9-4a72-9c87-01bf14ff2e02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70F81B71</paraID>
      <start>0</start>
      <end>2</end>
      <status>modified</status>
      <modifiedWord>2.</modifiedWord>
      <trackRevisions>false</trackRevisions>
    </reviewItem>
    <reviewItem>
      <errorID>526d22f1-37c0-40bc-8091-cf9d61f5cd22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1C9538A4</paraID>
      <start>0</start>
      <end>2</end>
      <status>modified</status>
      <modifiedWord>3.</modifiedWord>
      <trackRevisions>false</trackRevisions>
    </reviewItem>
    <reviewItem>
      <errorID>69e74599-db72-4c92-8e71-62ee5ba07cf5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47CCD16C</paraID>
      <start>0</start>
      <end>2</end>
      <status>modified</status>
      <modifiedWord>4.</modifiedWord>
      <trackRevisions>false</trackRevisions>
    </reviewItem>
    <reviewItem>
      <errorID>b2ebc254-4551-4406-95ac-559cfbe360e2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673B764D</paraID>
      <start>0</start>
      <end>2</end>
      <status>modified</status>
      <modifiedWord>5.</modifiedWord>
      <trackRevisions>false</trackRevisions>
    </reviewItem>
    <reviewItem>
      <errorID>ea3606d2-a478-4e85-8357-c573e3e7ee5d</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6496029E</paraID>
      <start>0</start>
      <end>2</end>
      <status>modified</status>
      <modifiedWord>6.</modifiedWord>
      <trackRevisions>false</trackRevisions>
    </reviewItem>
    <reviewItem>
      <errorID>54940596-afce-476f-8cc7-86f3c253feb3</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688168CA</paraID>
      <start>0</start>
      <end>2</end>
      <status>modified</status>
      <modifiedWord>7.</modifiedWord>
      <trackRevisions>false</trackRevisions>
    </reviewItem>
    <reviewItem>
      <errorID>ba13b5e2-8727-452d-bde1-6d487d7fd89e</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2166962B</paraID>
      <start>0</start>
      <end>2</end>
      <status>modified</status>
      <modifiedWord>8.</modifiedWord>
      <trackRevisions>false</trackRevisions>
    </reviewItem>
    <reviewItem>
      <errorID>34533cf2-3451-4445-9b4c-9534ae7db7de</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18275FB5</paraID>
      <start>0</start>
      <end>2</end>
      <status>modified</status>
      <modifiedWord>9.</modifiedWord>
      <trackRevisions>false</trackRevisions>
    </reviewItem>
    <reviewItem>
      <errorID>54b35cea-d9a8-4426-9b65-f71fa8906283</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3A5A6CA7</paraID>
      <start>0</start>
      <end>3</end>
      <status>modified</status>
      <modifiedWord>10.</modifiedWord>
      <trackRevisions>false</trackRevisions>
    </reviewItem>
    <reviewItem>
      <errorID>b5f08b6b-cd33-4d13-aa47-caec3d4c0095</errorID>
      <errorWord>职工的医疗保险</errorWord>
      <group>L1_Political</group>
      <groupName>政治性问题</groupName>
      <ability>L2_Keyword</ability>
      <abilityName>固定表述</abilityName>
      <candidateList>
        <item>职工基本医疗保险</item>
      </candidateList>
      <explain>词汇“职工基本医疗保险”在特定场景下为固定表述形式，请确认此处的“职工的医疗保险”是否存在不当。</explain>
      <paraID>3A5A6CA7</paraID>
      <start>12</start>
      <end>20</end>
      <status>modified</status>
      <modifiedWord>职工基本医疗保险</modifiedWord>
      <trackRevisions>false</trackRevisions>
    </reviewItem>
    <reviewItem>
      <errorID>4d8d4af6-72a6-4cce-b0f2-49f8365ea894</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735AD3F2</paraID>
      <start>0</start>
      <end>3</end>
      <status>modified</status>
      <modifiedWord>11.</modifiedWord>
      <trackRevisions>false</trackRevisions>
    </reviewItem>
    <reviewItem>
      <errorID>f3890653-24d2-4c1d-b026-8bd54a21f56b</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2F37E2D3</paraID>
      <start>0</start>
      <end>3</end>
      <status>modified</status>
      <modifiedWord>12.</modifiedWord>
      <trackRevisions>false</trackRevisions>
    </reviewItem>
    <reviewItem>
      <errorID>b6bc0bb6-37af-4a63-ae68-9dde03218025</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CCC7A6C</paraID>
      <start>0</start>
      <end>3</end>
      <status>modified</status>
      <modifiedWord>13.</modifiedWord>
      <trackRevisions>false</trackRevisions>
    </reviewItem>
    <reviewItem>
      <errorID>d18852b5-baaf-44ce-b181-c579ac063bf5</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3509C876</paraID>
      <start>0</start>
      <end>3</end>
      <status>modified</status>
      <modifiedWord>14.</modifiedWord>
      <trackRevisions>false</trackRevisions>
    </reviewItem>
    <reviewItem>
      <errorID>58ff2a1a-bd0d-4b1b-98ad-0cb1de851266</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449450B4</paraID>
      <start>0</start>
      <end>3</end>
      <status>modified</status>
      <modifiedWord>15.</modifiedWord>
      <trackRevisions>false</trackRevisions>
    </reviewItem>
    <reviewItem>
      <errorID>1e260a8e-06df-40c9-8db2-7c4d2e325c61</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76CDE9C8</paraID>
      <start>0</start>
      <end>3</end>
      <status>modified</status>
      <modifiedWord>16.</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1a4c222-ec84-4e5b-a25a-aca7128ed884}">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15</Pages>
  <Words>4605</Words>
  <Characters>4937</Characters>
  <Lines>61</Lines>
  <Paragraphs>17</Paragraphs>
  <TotalTime>8</TotalTime>
  <ScaleCrop>false</ScaleCrop>
  <LinksUpToDate>false</LinksUpToDate>
  <CharactersWithSpaces>4962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奕夕^_^</cp:lastModifiedBy>
  <cp:lastPrinted>2026-10-08T09:02:00Z</cp:lastPrinted>
  <dcterms:modified xsi:type="dcterms:W3CDTF">2026-10-09T03:07:39Z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400D301575C74348A5277D00A7902E06</vt:lpwstr>
  </property>
  <property fmtid="{D5CDD505-2E9C-101B-9397-08002B2CF9AE}" pid="4" name="KSOTemplateDocerSaveRecord">
    <vt:lpwstr>eyJoZGlkIjoiNTU1MWNhN2ZmY2ZhZmY3ODhlYTg0MWU5OGMyY2QwZmUiLCJ1c2VySWQiOiI0MzQ2NTM0NzEifQ==</vt:lpwstr>
  </property>
</Properties>
</file>