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5FFDCB">
      <w:pPr>
        <w:pStyle w:val="5"/>
        <w:jc w:val="both"/>
        <w:rPr>
          <w:rFonts w:hint="eastAsia" w:ascii="Times New Roman" w:hAnsi="Times New Roman" w:eastAsia="方正小标宋简体" w:cs="Times New Roman"/>
          <w:color w:val="auto"/>
          <w:kern w:val="2"/>
          <w:sz w:val="44"/>
          <w:szCs w:val="44"/>
          <w:highlight w:val="none"/>
          <w:lang w:val="en-US" w:eastAsia="zh-CN" w:bidi="ar-SA"/>
        </w:rPr>
      </w:pPr>
      <w:bookmarkStart w:id="0" w:name="_Toc15396597"/>
      <w:bookmarkStart w:id="1" w:name="_Toc15378441"/>
      <w:bookmarkStart w:id="2" w:name="_Toc15377425"/>
      <w:bookmarkStart w:id="3" w:name="_Toc15396475"/>
      <w:bookmarkStart w:id="4" w:name="_Toc15377193"/>
      <w:bookmarkStart w:id="5" w:name="_Toc15306267"/>
    </w:p>
    <w:p w14:paraId="2512E116">
      <w:pPr>
        <w:pStyle w:val="5"/>
        <w:jc w:val="both"/>
        <w:rPr>
          <w:rFonts w:hint="eastAsia" w:ascii="Times New Roman" w:hAnsi="Times New Roman" w:eastAsia="方正小标宋简体" w:cs="Times New Roman"/>
          <w:color w:val="auto"/>
          <w:kern w:val="2"/>
          <w:sz w:val="44"/>
          <w:szCs w:val="44"/>
          <w:highlight w:val="none"/>
          <w:lang w:val="en-US" w:eastAsia="zh-CN" w:bidi="ar-SA"/>
        </w:rPr>
      </w:pPr>
    </w:p>
    <w:p w14:paraId="39BC37CC">
      <w:pPr>
        <w:pStyle w:val="5"/>
        <w:jc w:val="both"/>
        <w:rPr>
          <w:rFonts w:hint="eastAsia" w:ascii="Times New Roman" w:hAnsi="Times New Roman" w:eastAsia="方正小标宋简体" w:cs="Times New Roman"/>
          <w:color w:val="auto"/>
          <w:kern w:val="2"/>
          <w:sz w:val="44"/>
          <w:szCs w:val="44"/>
          <w:highlight w:val="none"/>
          <w:lang w:val="en-US" w:eastAsia="zh-CN" w:bidi="ar-SA"/>
        </w:rPr>
      </w:pPr>
    </w:p>
    <w:p w14:paraId="1D48AFA1">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50302025">
      <w:pPr>
        <w:pStyle w:val="5"/>
        <w:pageBreakBefore w:val="0"/>
        <w:kinsoku/>
        <w:wordWrap/>
        <w:overflowPunct/>
        <w:topLinePunct w:val="0"/>
        <w:autoSpaceDE/>
        <w:autoSpaceDN/>
        <w:bidi w:val="0"/>
        <w:spacing w:line="576" w:lineRule="exact"/>
        <w:jc w:val="center"/>
        <w:textAlignment w:val="auto"/>
        <w:rPr>
          <w:rFonts w:hint="eastAsia" w:ascii="Times New Roman" w:eastAsia="方正小标宋简体" w:cs="Times New Roman"/>
          <w:color w:val="auto"/>
          <w:kern w:val="2"/>
          <w:sz w:val="44"/>
          <w:szCs w:val="44"/>
          <w:highlight w:val="none"/>
          <w:lang w:val="en-US" w:eastAsia="zh-CN" w:bidi="ar-SA"/>
        </w:rPr>
      </w:pPr>
      <w:bookmarkStart w:id="6" w:name="_Toc15396598"/>
      <w:bookmarkStart w:id="7" w:name="_Toc15396476"/>
      <w:bookmarkStart w:id="8" w:name="_Toc15377426"/>
      <w:bookmarkStart w:id="9" w:name="_Toc15378442"/>
      <w:bookmarkStart w:id="10" w:name="_Toc15377194"/>
      <w:r>
        <w:rPr>
          <w:rFonts w:hint="eastAsia" w:ascii="Times New Roman" w:eastAsia="方正小标宋简体" w:cs="Times New Roman"/>
          <w:color w:val="auto"/>
          <w:kern w:val="2"/>
          <w:sz w:val="44"/>
          <w:szCs w:val="44"/>
          <w:highlight w:val="none"/>
          <w:lang w:val="en-US" w:eastAsia="zh-CN" w:bidi="ar-SA"/>
        </w:rPr>
        <w:t>2025年度</w:t>
      </w:r>
      <w:bookmarkEnd w:id="5"/>
      <w:bookmarkEnd w:id="6"/>
      <w:bookmarkEnd w:id="7"/>
      <w:bookmarkEnd w:id="8"/>
      <w:bookmarkEnd w:id="9"/>
      <w:bookmarkEnd w:id="10"/>
      <w:r>
        <w:rPr>
          <w:rFonts w:hint="eastAsia" w:ascii="Times New Roman" w:hAnsi="Times New Roman" w:eastAsia="方正小标宋简体" w:cs="Times New Roman"/>
          <w:color w:val="auto"/>
          <w:kern w:val="2"/>
          <w:sz w:val="44"/>
          <w:szCs w:val="44"/>
          <w:highlight w:val="none"/>
          <w:lang w:val="en-US" w:eastAsia="zh-CN" w:bidi="ar-SA"/>
        </w:rPr>
        <w:t>四川省</w:t>
      </w:r>
      <w:bookmarkStart w:id="11" w:name="_Toc15306268"/>
      <w:r>
        <w:rPr>
          <w:rFonts w:hint="eastAsia" w:ascii="Times New Roman" w:eastAsia="方正小标宋简体" w:cs="Times New Roman"/>
          <w:color w:val="auto"/>
          <w:kern w:val="2"/>
          <w:sz w:val="44"/>
          <w:szCs w:val="44"/>
          <w:highlight w:val="none"/>
          <w:lang w:val="en-US" w:eastAsia="zh-CN" w:bidi="ar-SA"/>
        </w:rPr>
        <w:t>松潘县人民政府办公室</w:t>
      </w:r>
    </w:p>
    <w:p w14:paraId="13229106">
      <w:pPr>
        <w:pStyle w:val="5"/>
        <w:pageBreakBefore w:val="0"/>
        <w:kinsoku/>
        <w:wordWrap/>
        <w:overflowPunct/>
        <w:topLinePunct w:val="0"/>
        <w:autoSpaceDE/>
        <w:autoSpaceDN/>
        <w:bidi w:val="0"/>
        <w:spacing w:line="576" w:lineRule="exact"/>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决算</w:t>
      </w:r>
      <w:bookmarkEnd w:id="11"/>
      <w:r>
        <w:rPr>
          <w:rFonts w:hint="eastAsia" w:ascii="Times New Roman" w:eastAsia="方正小标宋简体" w:cs="Times New Roman"/>
          <w:color w:val="auto"/>
          <w:kern w:val="2"/>
          <w:sz w:val="44"/>
          <w:szCs w:val="44"/>
          <w:highlight w:val="none"/>
          <w:lang w:val="en-US" w:eastAsia="zh-CN" w:bidi="ar-SA"/>
        </w:rPr>
        <w:t>公开</w:t>
      </w:r>
    </w:p>
    <w:p w14:paraId="432F8974">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6D9F30AB">
      <w:pPr>
        <w:widowControl/>
        <w:jc w:val="center"/>
        <w:rPr>
          <w:rFonts w:hint="eastAsia" w:ascii="Times New Roman" w:hAnsi="Times New Roman" w:eastAsia="黑体"/>
          <w:color w:val="auto"/>
          <w:sz w:val="48"/>
          <w:szCs w:val="48"/>
          <w:highlight w:val="none"/>
        </w:rPr>
      </w:pPr>
    </w:p>
    <w:p w14:paraId="492E2AB0">
      <w:pPr>
        <w:widowControl/>
        <w:jc w:val="center"/>
        <w:rPr>
          <w:rFonts w:hint="eastAsia" w:ascii="Times New Roman" w:hAnsi="Times New Roman" w:eastAsia="黑体"/>
          <w:color w:val="auto"/>
          <w:sz w:val="48"/>
          <w:szCs w:val="48"/>
          <w:highlight w:val="none"/>
        </w:rPr>
      </w:pPr>
    </w:p>
    <w:p w14:paraId="17872440">
      <w:pPr>
        <w:widowControl/>
        <w:jc w:val="center"/>
        <w:rPr>
          <w:rFonts w:hint="eastAsia" w:ascii="Times New Roman" w:hAnsi="Times New Roman" w:eastAsia="黑体"/>
          <w:color w:val="auto"/>
          <w:sz w:val="48"/>
          <w:szCs w:val="48"/>
          <w:highlight w:val="none"/>
        </w:rPr>
      </w:pPr>
    </w:p>
    <w:p w14:paraId="53BCFADF">
      <w:pPr>
        <w:widowControl/>
        <w:jc w:val="center"/>
        <w:rPr>
          <w:rFonts w:hint="eastAsia" w:ascii="Times New Roman" w:hAnsi="Times New Roman" w:eastAsia="黑体"/>
          <w:color w:val="auto"/>
          <w:sz w:val="48"/>
          <w:szCs w:val="48"/>
          <w:highlight w:val="none"/>
        </w:rPr>
      </w:pPr>
    </w:p>
    <w:p w14:paraId="2A205921">
      <w:pPr>
        <w:widowControl/>
        <w:jc w:val="center"/>
        <w:rPr>
          <w:rFonts w:hint="eastAsia" w:ascii="Times New Roman" w:hAnsi="Times New Roman" w:eastAsia="黑体"/>
          <w:color w:val="auto"/>
          <w:sz w:val="48"/>
          <w:szCs w:val="48"/>
          <w:highlight w:val="none"/>
        </w:rPr>
      </w:pPr>
    </w:p>
    <w:p w14:paraId="4611902A">
      <w:pPr>
        <w:widowControl/>
        <w:jc w:val="center"/>
        <w:rPr>
          <w:rFonts w:hint="eastAsia" w:ascii="Times New Roman" w:hAnsi="Times New Roman" w:eastAsia="黑体"/>
          <w:color w:val="auto"/>
          <w:sz w:val="48"/>
          <w:szCs w:val="48"/>
          <w:highlight w:val="none"/>
        </w:rPr>
      </w:pPr>
    </w:p>
    <w:p w14:paraId="61D12D71">
      <w:pPr>
        <w:widowControl/>
        <w:jc w:val="center"/>
        <w:rPr>
          <w:rFonts w:hint="eastAsia" w:ascii="Times New Roman" w:hAnsi="Times New Roman" w:eastAsia="黑体"/>
          <w:color w:val="auto"/>
          <w:sz w:val="48"/>
          <w:szCs w:val="48"/>
          <w:highlight w:val="none"/>
        </w:rPr>
      </w:pPr>
    </w:p>
    <w:p w14:paraId="19F900C8">
      <w:pPr>
        <w:widowControl/>
        <w:jc w:val="center"/>
        <w:rPr>
          <w:rFonts w:hint="eastAsia" w:ascii="Times New Roman" w:hAnsi="Times New Roman" w:eastAsia="黑体"/>
          <w:color w:val="auto"/>
          <w:sz w:val="48"/>
          <w:szCs w:val="48"/>
          <w:highlight w:val="none"/>
        </w:rPr>
      </w:pPr>
    </w:p>
    <w:p w14:paraId="77FCFD23">
      <w:pPr>
        <w:widowControl/>
        <w:jc w:val="center"/>
        <w:rPr>
          <w:rFonts w:hint="eastAsia" w:ascii="Times New Roman" w:hAnsi="Times New Roman" w:eastAsia="黑体"/>
          <w:color w:val="auto"/>
          <w:sz w:val="48"/>
          <w:szCs w:val="48"/>
          <w:highlight w:val="none"/>
        </w:rPr>
      </w:pPr>
    </w:p>
    <w:p w14:paraId="2E8AA2B2">
      <w:pPr>
        <w:widowControl/>
        <w:jc w:val="center"/>
        <w:rPr>
          <w:rFonts w:hint="eastAsia" w:ascii="Times New Roman" w:hAnsi="Times New Roman" w:eastAsia="黑体"/>
          <w:color w:val="auto"/>
          <w:sz w:val="48"/>
          <w:szCs w:val="48"/>
          <w:highlight w:val="none"/>
        </w:rPr>
      </w:pPr>
    </w:p>
    <w:p w14:paraId="72D3D3D0">
      <w:pPr>
        <w:widowControl/>
        <w:jc w:val="center"/>
        <w:rPr>
          <w:rFonts w:hint="eastAsia" w:ascii="Times New Roman" w:hAnsi="Times New Roman" w:eastAsia="黑体"/>
          <w:color w:val="auto"/>
          <w:sz w:val="48"/>
          <w:szCs w:val="48"/>
          <w:highlight w:val="none"/>
        </w:rPr>
      </w:pPr>
    </w:p>
    <w:p w14:paraId="6CA46908">
      <w:pPr>
        <w:widowControl/>
        <w:jc w:val="center"/>
        <w:rPr>
          <w:rFonts w:hint="eastAsia" w:ascii="Times New Roman" w:hAnsi="Times New Roman" w:eastAsia="黑体"/>
          <w:color w:val="auto"/>
          <w:sz w:val="48"/>
          <w:szCs w:val="48"/>
          <w:highlight w:val="none"/>
        </w:rPr>
      </w:pPr>
    </w:p>
    <w:p w14:paraId="2A5083FA">
      <w:pPr>
        <w:widowControl/>
        <w:jc w:val="center"/>
        <w:rPr>
          <w:rFonts w:hint="eastAsia" w:ascii="Times New Roman" w:hAnsi="Times New Roman" w:eastAsia="黑体"/>
          <w:color w:val="auto"/>
          <w:sz w:val="48"/>
          <w:szCs w:val="48"/>
          <w:highlight w:val="none"/>
        </w:rPr>
      </w:pPr>
    </w:p>
    <w:p w14:paraId="29EC9E30">
      <w:pPr>
        <w:widowControl/>
        <w:jc w:val="center"/>
        <w:rPr>
          <w:rFonts w:hint="eastAsia" w:ascii="Times New Roman" w:hAnsi="Times New Roman" w:eastAsia="黑体"/>
          <w:color w:val="auto"/>
          <w:sz w:val="48"/>
          <w:szCs w:val="48"/>
          <w:highlight w:val="none"/>
        </w:rPr>
      </w:pPr>
    </w:p>
    <w:p w14:paraId="549C6CF1">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42F16721">
      <w:pPr>
        <w:widowControl/>
        <w:jc w:val="center"/>
        <w:rPr>
          <w:rFonts w:ascii="Times New Roman" w:hAnsi="Times New Roman" w:eastAsia="黑体" w:cstheme="minorBidi"/>
          <w:color w:val="auto"/>
          <w:sz w:val="28"/>
          <w:szCs w:val="28"/>
          <w:highlight w:val="none"/>
        </w:rPr>
      </w:pPr>
    </w:p>
    <w:p w14:paraId="24838925">
      <w:pPr>
        <w:pStyle w:val="1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日</w:t>
      </w:r>
    </w:p>
    <w:p w14:paraId="40B43AD2">
      <w:pPr>
        <w:rPr>
          <w:rFonts w:ascii="Times New Roman" w:hAnsi="Times New Roman"/>
          <w:color w:val="auto"/>
          <w:highlight w:val="none"/>
        </w:rPr>
      </w:pPr>
    </w:p>
    <w:p w14:paraId="3D484A4F">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59BB803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1C4BE54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572C965C">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00CA75D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748E61C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4D7A92C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28B07A1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59B01E7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3F5D026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5AEFADC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6689AC7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3F6F2D0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3619626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0E1EB54E">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703243FF">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57F2F010">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684738B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539FA90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572A740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152E163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178A9F5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7957A21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6C6B672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3BC4B46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3C8A651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43F5542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3B604F5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3C4D60F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122E1CD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26728985">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14:paraId="263C5860">
      <w:pPr>
        <w:pStyle w:val="2"/>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12"/>
      <w:bookmarkEnd w:id="13"/>
    </w:p>
    <w:p w14:paraId="2CBE793B">
      <w:pPr>
        <w:widowControl/>
        <w:jc w:val="left"/>
        <w:rPr>
          <w:rFonts w:ascii="Times New Roman" w:hAnsi="Times New Roman" w:eastAsia="黑体"/>
          <w:color w:val="auto"/>
          <w:sz w:val="32"/>
          <w:szCs w:val="32"/>
          <w:highlight w:val="none"/>
        </w:rPr>
      </w:pPr>
    </w:p>
    <w:p w14:paraId="61F7C02B">
      <w:pPr>
        <w:pStyle w:val="3"/>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bookmarkStart w:id="14" w:name="_Toc15396601"/>
      <w:bookmarkStart w:id="15" w:name="_Toc15377200"/>
    </w:p>
    <w:p w14:paraId="00BFD32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leftChars="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1.协助县政府领导同志组织起草或审核以县政府、县政府办公室各名义发布的公文，办理州政府、州政府办公室及各委局发送县政府的文电，指导全县行政机关公文处理工作。</w:t>
      </w:r>
    </w:p>
    <w:p w14:paraId="598C9AA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leftChars="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2.研究县政府部门和各乡镇人民政府请示县政府的事项，提出审核意见，报县政府领导同志审批。</w:t>
      </w:r>
    </w:p>
    <w:p w14:paraId="2F3B7BC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leftChars="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3</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eastAsia="zh-CN"/>
        </w:rPr>
        <w:t>负责县政府会议的准备工作，协助县政府领导同志组织实施会议决定事项。</w:t>
      </w:r>
    </w:p>
    <w:p w14:paraId="758E5AD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leftChars="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lang w:eastAsia="zh-CN"/>
        </w:rPr>
        <w:t>根据县政府领导同志的指示，对政府部门间争议问题提出处理意见和建议，报县政府领导同志决定。</w:t>
      </w:r>
    </w:p>
    <w:p w14:paraId="3938849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leftChars="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lang w:eastAsia="zh-CN"/>
        </w:rPr>
        <w:t>督促检查县政府各部门和各乡镇人民政府对县政府决定事项及县政府领导同志指示的贯彻落实情况，及时向县政府领导同志报告。</w:t>
      </w:r>
    </w:p>
    <w:p w14:paraId="25E87AB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leftChars="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lang w:eastAsia="zh-CN"/>
        </w:rPr>
        <w:t>负责县政府值班工作，指导乡镇人民政府和县政府部门值班工作，及时报告重要情况。</w:t>
      </w:r>
    </w:p>
    <w:p w14:paraId="6585258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leftChars="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lang w:eastAsia="zh-CN"/>
        </w:rPr>
        <w:t>指导、监督全县政府信息公开工作和机关行政效能建设工作，指导、监督全县政府系统电子政务工作和政府网络建设。</w:t>
      </w:r>
    </w:p>
    <w:p w14:paraId="76105DB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leftChars="0" w:firstLine="640" w:firstLineChars="200"/>
        <w:jc w:val="both"/>
        <w:textAlignment w:val="auto"/>
        <w:rPr>
          <w:rFonts w:hint="eastAsia"/>
          <w:lang w:eastAsia="zh-CN"/>
        </w:rPr>
      </w:pP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lang w:eastAsia="zh-CN"/>
        </w:rPr>
        <w:t>组织办理涉及县政府工作的人大代表议案、批评建议和政协委员提案、建议案工作。</w:t>
      </w:r>
    </w:p>
    <w:p w14:paraId="2315995B">
      <w:pPr>
        <w:pStyle w:val="3"/>
        <w:keepNext/>
        <w:keepLines/>
        <w:pageBreakBefore w:val="0"/>
        <w:widowControl w:val="0"/>
        <w:numPr>
          <w:ilvl w:val="0"/>
          <w:numId w:val="0"/>
        </w:numPr>
        <w:kinsoku/>
        <w:wordWrap/>
        <w:overflowPunct/>
        <w:topLinePunct w:val="0"/>
        <w:autoSpaceDE/>
        <w:autoSpaceDN/>
        <w:bidi w:val="0"/>
        <w:adjustRightInd/>
        <w:snapToGrid/>
        <w:spacing w:line="416" w:lineRule="auto"/>
        <w:ind w:firstLine="640" w:firstLineChars="200"/>
        <w:textAlignment w:val="auto"/>
        <w:rPr>
          <w:rStyle w:val="30"/>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4"/>
      <w:bookmarkEnd w:id="15"/>
    </w:p>
    <w:p w14:paraId="49E5D76D">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76"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zh-CN" w:eastAsia="zh-CN"/>
        </w:rPr>
      </w:pPr>
      <w:r>
        <w:rPr>
          <w:rFonts w:hint="eastAsia" w:ascii="仿宋_GB2312" w:hAnsi="仿宋_GB2312" w:eastAsia="仿宋_GB2312" w:cs="仿宋_GB2312"/>
          <w:b w:val="0"/>
          <w:bCs w:val="0"/>
          <w:color w:val="auto"/>
          <w:sz w:val="32"/>
          <w:szCs w:val="32"/>
          <w:lang w:val="zh-CN" w:eastAsia="zh-CN"/>
        </w:rPr>
        <w:t>松潘县人民政府办公室属一级预算单位，独立编制机构数1个，独立核算机构数1个。</w:t>
      </w:r>
      <w:r>
        <w:rPr>
          <w:rFonts w:hint="eastAsia" w:ascii="仿宋_GB2312" w:hAnsi="仿宋_GB2312" w:eastAsia="仿宋_GB2312" w:cs="仿宋_GB2312"/>
          <w:b w:val="0"/>
          <w:bCs w:val="0"/>
          <w:color w:val="auto"/>
          <w:sz w:val="32"/>
          <w:szCs w:val="32"/>
          <w:lang w:val="en-US" w:eastAsia="zh-CN"/>
        </w:rPr>
        <w:t>根据职责要求，内设科室及直属事业单位如下：</w:t>
      </w:r>
    </w:p>
    <w:p w14:paraId="1B411222">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76" w:lineRule="exact"/>
        <w:ind w:left="0" w:leftChars="0" w:firstLine="643" w:firstLineChars="200"/>
        <w:jc w:val="both"/>
        <w:textAlignment w:val="auto"/>
        <w:rPr>
          <w:rFonts w:hint="eastAsia" w:ascii="楷体_GB2312" w:hAnsi="楷体_GB2312" w:eastAsia="楷体_GB2312" w:cs="楷体_GB2312"/>
          <w:b/>
          <w:bCs/>
          <w:color w:val="auto"/>
          <w:sz w:val="32"/>
          <w:szCs w:val="32"/>
          <w:lang w:val="en-US" w:eastAsia="zh-CN"/>
        </w:rPr>
      </w:pPr>
      <w:bookmarkStart w:id="16" w:name="_Toc21874"/>
      <w:r>
        <w:rPr>
          <w:rFonts w:hint="eastAsia" w:ascii="楷体_GB2312" w:hAnsi="楷体_GB2312" w:eastAsia="楷体_GB2312" w:cs="楷体_GB2312"/>
          <w:b/>
          <w:bCs/>
          <w:color w:val="auto"/>
          <w:sz w:val="32"/>
          <w:szCs w:val="32"/>
          <w:lang w:val="en-US" w:eastAsia="zh-CN"/>
        </w:rPr>
        <w:t>（一）综合股</w:t>
      </w:r>
      <w:bookmarkEnd w:id="16"/>
    </w:p>
    <w:p w14:paraId="0310DC52">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76"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负责县政府、县政府办公室文电的收发、登记、分办工作；负责密码电报的分办、传阅、管理；负责县政府办公室的机要、保密、档案、印鉴管理等工作；协助办公室领导组织、协调机关日常工作；负责县政府全体会议、常务会议等会议的会务工作；负责县政府大型活动的组织协调；负责县政府办公室日常会务、接待和事务的协调办理工作；负责县政府总值班室工作。</w:t>
      </w:r>
    </w:p>
    <w:p w14:paraId="7ABA961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76" w:lineRule="exact"/>
        <w:ind w:left="0" w:leftChars="0" w:firstLine="643" w:firstLineChars="200"/>
        <w:jc w:val="both"/>
        <w:textAlignment w:val="auto"/>
        <w:rPr>
          <w:rFonts w:hint="eastAsia" w:ascii="楷体_GB2312" w:hAnsi="楷体_GB2312" w:eastAsia="楷体_GB2312" w:cs="楷体_GB2312"/>
          <w:b/>
          <w:bCs/>
          <w:color w:val="auto"/>
          <w:sz w:val="32"/>
          <w:szCs w:val="32"/>
          <w:lang w:val="en-US" w:eastAsia="zh-CN"/>
        </w:rPr>
      </w:pPr>
      <w:bookmarkStart w:id="17" w:name="_Toc25619"/>
      <w:r>
        <w:rPr>
          <w:rFonts w:hint="eastAsia" w:ascii="楷体_GB2312" w:hAnsi="楷体_GB2312" w:eastAsia="楷体_GB2312" w:cs="楷体_GB2312"/>
          <w:b/>
          <w:bCs/>
          <w:color w:val="auto"/>
          <w:sz w:val="32"/>
          <w:szCs w:val="32"/>
          <w:lang w:val="en-US" w:eastAsia="zh-CN"/>
        </w:rPr>
        <w:t>（二）秘书股</w:t>
      </w:r>
      <w:bookmarkEnd w:id="17"/>
    </w:p>
    <w:p w14:paraId="462EC466">
      <w:pPr>
        <w:pStyle w:val="14"/>
        <w:keepNext w:val="0"/>
        <w:keepLines w:val="0"/>
        <w:pageBreakBefore w:val="0"/>
        <w:widowControl w:val="0"/>
        <w:kinsoku/>
        <w:wordWrap/>
        <w:overflowPunct/>
        <w:topLinePunct w:val="0"/>
        <w:autoSpaceDE/>
        <w:autoSpaceDN/>
        <w:bidi w:val="0"/>
        <w:snapToGrid/>
        <w:spacing w:before="0" w:beforeAutospacing="0" w:after="0" w:afterAutospacing="0" w:line="576"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负责起草县政府办公室的综合性文稿；协助县政府领导搞好调查研究，起草讲话稿、调查报告和文、电、函；负责县政府、县政府办公室名义发出公文的校对、印制等工作。</w:t>
      </w:r>
    </w:p>
    <w:p w14:paraId="59602839">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76" w:lineRule="exact"/>
        <w:ind w:left="0" w:leftChars="0" w:firstLine="643" w:firstLineChars="200"/>
        <w:jc w:val="both"/>
        <w:textAlignment w:val="auto"/>
        <w:rPr>
          <w:rFonts w:hint="default" w:ascii="楷体_GB2312" w:hAnsi="楷体_GB2312" w:eastAsia="楷体_GB2312" w:cs="楷体_GB2312"/>
          <w:b/>
          <w:bCs/>
          <w:color w:val="auto"/>
          <w:sz w:val="32"/>
          <w:szCs w:val="32"/>
          <w:lang w:val="en-US" w:eastAsia="zh-CN"/>
        </w:rPr>
      </w:pPr>
      <w:bookmarkStart w:id="18" w:name="_Toc9889"/>
      <w:r>
        <w:rPr>
          <w:rFonts w:hint="eastAsia" w:ascii="楷体_GB2312" w:hAnsi="楷体_GB2312" w:eastAsia="楷体_GB2312" w:cs="楷体_GB2312"/>
          <w:b/>
          <w:bCs/>
          <w:color w:val="auto"/>
          <w:sz w:val="32"/>
          <w:szCs w:val="32"/>
          <w:lang w:val="en-US" w:eastAsia="zh-CN"/>
        </w:rPr>
        <w:t>（三）</w:t>
      </w:r>
      <w:bookmarkEnd w:id="18"/>
      <w:r>
        <w:rPr>
          <w:rFonts w:hint="eastAsia" w:ascii="楷体_GB2312" w:hAnsi="楷体_GB2312" w:eastAsia="楷体_GB2312" w:cs="楷体_GB2312"/>
          <w:b/>
          <w:bCs/>
          <w:color w:val="auto"/>
          <w:sz w:val="32"/>
          <w:szCs w:val="32"/>
          <w:lang w:val="en-US" w:eastAsia="zh-CN"/>
        </w:rPr>
        <w:t>人事行财股</w:t>
      </w:r>
    </w:p>
    <w:p w14:paraId="01E5F23A">
      <w:pPr>
        <w:pStyle w:val="14"/>
        <w:keepNext w:val="0"/>
        <w:keepLines w:val="0"/>
        <w:pageBreakBefore w:val="0"/>
        <w:widowControl w:val="0"/>
        <w:kinsoku/>
        <w:wordWrap/>
        <w:overflowPunct/>
        <w:topLinePunct w:val="0"/>
        <w:autoSpaceDE/>
        <w:autoSpaceDN/>
        <w:bidi w:val="0"/>
        <w:snapToGrid/>
        <w:spacing w:before="0" w:beforeAutospacing="0" w:after="0" w:afterAutospacing="0" w:line="576"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负责县政府领导同志的服务事务和机关后勤管理工作；负责会场的管理工作；负责县政府机关的安保工作；负责机关和直属单位的财务管理工作；负责机关、直属机构的人事管理、机构编制和教育培训工作；负责机关和直属退休人员工作；负责县政府办公室物资采购工作；负责县政府办公室工程项目工作；负责县政府办公室国有资产管理工作；负责县政府职工食堂管理工作。</w:t>
      </w:r>
    </w:p>
    <w:p w14:paraId="45BCC6BD">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76" w:lineRule="exact"/>
        <w:ind w:left="0" w:leftChars="0" w:firstLine="643" w:firstLineChars="200"/>
        <w:jc w:val="both"/>
        <w:textAlignment w:val="auto"/>
        <w:rPr>
          <w:rFonts w:hint="eastAsia" w:ascii="楷体_GB2312" w:hAnsi="楷体_GB2312" w:eastAsia="楷体_GB2312" w:cs="楷体_GB2312"/>
          <w:b/>
          <w:bCs/>
          <w:color w:val="auto"/>
          <w:sz w:val="32"/>
          <w:szCs w:val="32"/>
          <w:lang w:val="en-US" w:eastAsia="zh-CN"/>
        </w:rPr>
      </w:pPr>
      <w:bookmarkStart w:id="19" w:name="_Toc7021"/>
      <w:r>
        <w:rPr>
          <w:rFonts w:hint="eastAsia" w:ascii="楷体_GB2312" w:hAnsi="楷体_GB2312" w:eastAsia="楷体_GB2312" w:cs="楷体_GB2312"/>
          <w:b/>
          <w:bCs/>
          <w:color w:val="auto"/>
          <w:sz w:val="32"/>
          <w:szCs w:val="32"/>
          <w:lang w:val="en-US" w:eastAsia="zh-CN"/>
        </w:rPr>
        <w:t>（四）</w:t>
      </w:r>
      <w:bookmarkEnd w:id="19"/>
      <w:r>
        <w:rPr>
          <w:rFonts w:hint="eastAsia" w:ascii="楷体_GB2312" w:hAnsi="楷体_GB2312" w:eastAsia="楷体_GB2312" w:cs="楷体_GB2312"/>
          <w:b/>
          <w:bCs/>
          <w:color w:val="auto"/>
          <w:sz w:val="32"/>
          <w:szCs w:val="32"/>
          <w:lang w:val="en-US" w:eastAsia="zh-CN"/>
        </w:rPr>
        <w:t>督察室</w:t>
      </w:r>
    </w:p>
    <w:p w14:paraId="6131FA43">
      <w:pPr>
        <w:ind w:firstLine="800" w:firstLineChars="250"/>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负责督察等工作。</w:t>
      </w:r>
    </w:p>
    <w:p w14:paraId="3AFAB653">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textAlignment w:val="auto"/>
        <w:rPr>
          <w:rFonts w:hint="eastAsia"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（五）总值班室</w:t>
      </w:r>
    </w:p>
    <w:p w14:paraId="62F126A6">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负责应急值班值守。</w:t>
      </w:r>
    </w:p>
    <w:p w14:paraId="35979977">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5DCEB545">
      <w:pPr>
        <w:pStyle w:val="2"/>
        <w:jc w:val="center"/>
        <w:rPr>
          <w:rFonts w:hint="eastAsia" w:ascii="Times New Roman" w:hAnsi="Times New Roman" w:eastAsia="方正小标宋简体" w:cs="方正小标宋简体"/>
          <w:b w:val="0"/>
          <w:color w:val="auto"/>
          <w:highlight w:val="none"/>
        </w:rPr>
      </w:pPr>
      <w:bookmarkStart w:id="20" w:name="_Toc15377204"/>
      <w:bookmarkStart w:id="21"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20"/>
      <w:bookmarkEnd w:id="21"/>
    </w:p>
    <w:p w14:paraId="404EC492">
      <w:pPr>
        <w:rPr>
          <w:rFonts w:ascii="Times New Roman" w:hAnsi="Times New Roman"/>
          <w:color w:val="auto"/>
          <w:highlight w:val="none"/>
        </w:rPr>
      </w:pPr>
    </w:p>
    <w:p w14:paraId="157ABBD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2" w:name="_Toc15396603"/>
      <w:bookmarkStart w:id="23"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22"/>
      <w:bookmarkEnd w:id="23"/>
    </w:p>
    <w:p w14:paraId="1D37D7A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2625.04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259.5万元</w:t>
      </w:r>
      <w:r>
        <w:rPr>
          <w:rFonts w:hint="eastAsia" w:ascii="Times New Roman" w:hAnsi="Times New Roman" w:eastAsia="仿宋_GB2312" w:cs="仿宋_GB2312"/>
          <w:color w:val="auto"/>
          <w:sz w:val="32"/>
          <w:szCs w:val="32"/>
          <w:highlight w:val="none"/>
        </w:rPr>
        <w:t>，增长</w:t>
      </w:r>
      <w:r>
        <w:rPr>
          <w:rFonts w:hint="eastAsia" w:eastAsia="仿宋_GB2312" w:cs="仿宋_GB2312"/>
          <w:color w:val="auto"/>
          <w:sz w:val="32"/>
          <w:szCs w:val="32"/>
          <w:highlight w:val="none"/>
          <w:lang w:val="en-US" w:eastAsia="zh-CN"/>
        </w:rPr>
        <w:t>10.97%</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工资增加。</w:t>
      </w:r>
    </w:p>
    <w:p w14:paraId="0E7796F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4" w:name="_Toc15377206"/>
      <w:bookmarkStart w:id="25" w:name="_Toc15396604"/>
      <w:r>
        <w:rPr>
          <w:rFonts w:hint="eastAsia" w:ascii="Times New Roman" w:hAnsi="Times New Roman" w:eastAsia="黑体"/>
          <w:color w:val="auto"/>
          <w:sz w:val="32"/>
          <w:szCs w:val="32"/>
          <w:highlight w:val="none"/>
          <w:lang w:eastAsia="zh-CN"/>
        </w:rPr>
        <w:t>二、收入决算情况说明</w:t>
      </w:r>
      <w:bookmarkEnd w:id="24"/>
      <w:bookmarkEnd w:id="25"/>
    </w:p>
    <w:p w14:paraId="7214541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2620.94</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2550.94</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97.32</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70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2.67</w:t>
      </w:r>
      <w:r>
        <w:rPr>
          <w:rFonts w:hint="eastAsia" w:ascii="Times New Roman" w:hAnsi="Times New Roman" w:eastAsia="仿宋_GB2312" w:cs="仿宋_GB2312"/>
          <w:color w:val="auto"/>
          <w:sz w:val="32"/>
          <w:szCs w:val="32"/>
          <w:highlight w:val="none"/>
          <w:lang w:eastAsia="zh-CN"/>
        </w:rPr>
        <w:t>%。</w:t>
      </w:r>
    </w:p>
    <w:p w14:paraId="61C1D67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6" w:name="_Toc15396605"/>
      <w:bookmarkStart w:id="27"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6"/>
      <w:bookmarkEnd w:id="27"/>
    </w:p>
    <w:p w14:paraId="7547441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2602.64</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1625.68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62.46</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976.96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37.53</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5465E003">
      <w:pPr>
        <w:spacing w:line="600" w:lineRule="exact"/>
        <w:ind w:firstLine="640" w:firstLineChars="200"/>
        <w:outlineLvl w:val="1"/>
        <w:rPr>
          <w:rStyle w:val="30"/>
          <w:rFonts w:ascii="Times New Roman" w:hAnsi="Times New Roman" w:eastAsia="黑体"/>
          <w:b w:val="0"/>
          <w:color w:val="auto"/>
          <w:highlight w:val="none"/>
        </w:rPr>
      </w:pPr>
      <w:bookmarkStart w:id="28" w:name="_Toc15396606"/>
      <w:bookmarkStart w:id="29"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8"/>
      <w:bookmarkEnd w:id="29"/>
    </w:p>
    <w:p w14:paraId="3933FB7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2550.94</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254.4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11.08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工资增加。</w:t>
      </w:r>
    </w:p>
    <w:p w14:paraId="6D571BA2">
      <w:pPr>
        <w:spacing w:line="600" w:lineRule="exact"/>
        <w:ind w:firstLine="640" w:firstLineChars="200"/>
        <w:outlineLvl w:val="1"/>
        <w:rPr>
          <w:rStyle w:val="30"/>
          <w:rFonts w:ascii="Times New Roman" w:hAnsi="Times New Roman" w:eastAsia="黑体"/>
          <w:b w:val="0"/>
          <w:color w:val="auto"/>
          <w:highlight w:val="none"/>
        </w:rPr>
      </w:pPr>
      <w:bookmarkStart w:id="30" w:name="_Toc15396607"/>
      <w:bookmarkStart w:id="3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30"/>
      <w:bookmarkEnd w:id="31"/>
    </w:p>
    <w:p w14:paraId="71B5882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2"/>
    </w:p>
    <w:p w14:paraId="20D4065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2550.94</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98.01</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254.4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11.08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工资增加。</w:t>
      </w:r>
    </w:p>
    <w:p w14:paraId="200493E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3"/>
    </w:p>
    <w:p w14:paraId="4AB5009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2550.94</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2260.95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88.63</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154.61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6.06</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55.99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2.19</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79.39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3.11</w:t>
      </w:r>
      <w:r>
        <w:rPr>
          <w:rFonts w:hint="eastAsia" w:ascii="Times New Roman" w:hAnsi="Times New Roman" w:eastAsia="仿宋_GB2312" w:cs="仿宋_GB2312"/>
          <w:color w:val="auto"/>
          <w:kern w:val="2"/>
          <w:sz w:val="32"/>
          <w:szCs w:val="32"/>
          <w:highlight w:val="none"/>
          <w:lang w:val="en-US" w:eastAsia="zh-CN" w:bidi="ar-SA"/>
        </w:rPr>
        <w:t>%；</w:t>
      </w:r>
    </w:p>
    <w:p w14:paraId="15D2162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4"/>
    </w:p>
    <w:p w14:paraId="73000C0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5" w:name="_Toc15377213"/>
      <w:bookmarkStart w:id="36" w:name="_Toc15378460"/>
      <w:bookmarkStart w:id="37"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2550.94</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5"/>
      <w:bookmarkEnd w:id="36"/>
      <w:bookmarkEnd w:id="37"/>
    </w:p>
    <w:p w14:paraId="0419D340">
      <w:pPr>
        <w:numPr>
          <w:ilvl w:val="0"/>
          <w:numId w:val="2"/>
        </w:num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01</w:t>
      </w:r>
      <w:r>
        <w:rPr>
          <w:rFonts w:hint="eastAsia" w:ascii="仿宋_GB2312" w:hAnsi="仿宋_GB2312" w:eastAsia="仿宋_GB2312" w:cs="仿宋_GB2312"/>
          <w:color w:val="auto"/>
          <w:sz w:val="32"/>
          <w:szCs w:val="32"/>
          <w:lang w:val="en-US" w:eastAsia="zh-CN"/>
        </w:rPr>
        <w:t>（行政运行）</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1283.99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99.9</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sz w:val="32"/>
          <w:szCs w:val="32"/>
          <w:highlight w:val="none"/>
          <w:lang w:eastAsia="zh-CN"/>
        </w:rPr>
        <w:t>决算数</w:t>
      </w:r>
      <w:r>
        <w:rPr>
          <w:rFonts w:hint="eastAsia" w:ascii="仿宋_GB2312" w:hAnsi="仿宋_GB2312" w:eastAsia="仿宋_GB2312" w:cs="仿宋_GB2312"/>
          <w:color w:val="auto"/>
          <w:sz w:val="32"/>
          <w:szCs w:val="32"/>
          <w:highlight w:val="none"/>
          <w:lang w:val="en-US" w:eastAsia="zh-CN"/>
        </w:rPr>
        <w:t>小于</w:t>
      </w:r>
      <w:r>
        <w:rPr>
          <w:rFonts w:hint="eastAsia" w:ascii="仿宋_GB2312" w:hAnsi="仿宋_GB2312" w:eastAsia="仿宋_GB2312" w:cs="仿宋_GB2312"/>
          <w:color w:val="auto"/>
          <w:sz w:val="32"/>
          <w:szCs w:val="32"/>
          <w:highlight w:val="none"/>
          <w:lang w:eastAsia="zh-CN"/>
        </w:rPr>
        <w:t>预算数的主要原因</w:t>
      </w:r>
      <w:r>
        <w:rPr>
          <w:rFonts w:hint="eastAsia" w:ascii="仿宋_GB2312" w:hAnsi="仿宋_GB2312" w:eastAsia="仿宋_GB2312" w:cs="仿宋_GB2312"/>
          <w:color w:val="auto"/>
          <w:sz w:val="32"/>
          <w:szCs w:val="32"/>
          <w:highlight w:val="none"/>
          <w:lang w:val="en-US" w:eastAsia="zh-CN"/>
        </w:rPr>
        <w:t>是本年度资金有剩余</w:t>
      </w:r>
      <w:r>
        <w:rPr>
          <w:rFonts w:hint="eastAsia" w:eastAsia="仿宋_GB2312" w:cs="仿宋_GB2312"/>
          <w:color w:val="auto"/>
          <w:kern w:val="2"/>
          <w:sz w:val="32"/>
          <w:szCs w:val="32"/>
          <w:highlight w:val="none"/>
          <w:lang w:val="en-US" w:eastAsia="zh-CN" w:bidi="ar-SA"/>
        </w:rPr>
        <w:t>。</w:t>
      </w:r>
    </w:p>
    <w:p w14:paraId="5A8A7E8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leftChars="0" w:firstLine="640" w:firstLineChars="200"/>
        <w:jc w:val="both"/>
        <w:textAlignment w:val="auto"/>
        <w:rPr>
          <w:rFonts w:hint="eastAsia" w:ascii="仿宋_GB2312" w:hAnsi="仿宋_GB2312" w:eastAsia="仿宋_GB2312" w:cs="仿宋_GB2312"/>
          <w:color w:val="auto"/>
          <w:sz w:val="32"/>
          <w:szCs w:val="32"/>
          <w:highlight w:val="red"/>
          <w:lang w:val="en-US"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一般公共服务（类）</w:t>
      </w:r>
      <w:r>
        <w:rPr>
          <w:rFonts w:hint="eastAsia" w:ascii="仿宋_GB2312" w:hAnsi="仿宋_GB2312" w:eastAsia="仿宋_GB2312" w:cs="仿宋_GB2312"/>
          <w:color w:val="auto"/>
          <w:sz w:val="32"/>
          <w:szCs w:val="32"/>
          <w:lang w:val="en-US" w:eastAsia="zh-CN"/>
        </w:rPr>
        <w:t>201</w:t>
      </w:r>
      <w:r>
        <w:rPr>
          <w:rFonts w:hint="eastAsia" w:ascii="仿宋_GB2312" w:hAnsi="仿宋_GB2312" w:eastAsia="仿宋_GB2312" w:cs="仿宋_GB2312"/>
          <w:color w:val="auto"/>
          <w:sz w:val="32"/>
          <w:szCs w:val="32"/>
          <w:lang w:eastAsia="zh-CN"/>
        </w:rPr>
        <w:t>（款）</w:t>
      </w:r>
      <w:r>
        <w:rPr>
          <w:rFonts w:hint="eastAsia" w:ascii="仿宋_GB2312" w:hAnsi="仿宋_GB2312" w:eastAsia="仿宋_GB2312" w:cs="仿宋_GB2312"/>
          <w:color w:val="auto"/>
          <w:sz w:val="32"/>
          <w:szCs w:val="32"/>
          <w:lang w:val="en-US" w:eastAsia="zh-CN"/>
        </w:rPr>
        <w:t>03</w:t>
      </w:r>
      <w:r>
        <w:rPr>
          <w:rFonts w:hint="eastAsia" w:ascii="仿宋_GB2312" w:hAnsi="仿宋_GB2312" w:eastAsia="仿宋_GB2312" w:cs="仿宋_GB2312"/>
          <w:color w:val="auto"/>
          <w:sz w:val="32"/>
          <w:szCs w:val="32"/>
          <w:lang w:eastAsia="zh-CN"/>
        </w:rPr>
        <w:t>（项）</w:t>
      </w:r>
      <w:r>
        <w:rPr>
          <w:rFonts w:hint="eastAsia" w:ascii="仿宋_GB2312" w:hAnsi="仿宋_GB2312" w:eastAsia="仿宋_GB2312" w:cs="仿宋_GB2312"/>
          <w:color w:val="auto"/>
          <w:sz w:val="32"/>
          <w:szCs w:val="32"/>
          <w:lang w:val="en-US" w:eastAsia="zh-CN"/>
        </w:rPr>
        <w:t>02（一般行政管理事务）：</w:t>
      </w:r>
      <w:r>
        <w:rPr>
          <w:rFonts w:hint="eastAsia" w:ascii="仿宋_GB2312" w:hAnsi="仿宋_GB2312" w:eastAsia="仿宋_GB2312" w:cs="仿宋_GB2312"/>
          <w:color w:val="auto"/>
          <w:sz w:val="32"/>
          <w:szCs w:val="32"/>
          <w:lang w:eastAsia="zh-CN"/>
        </w:rPr>
        <w:t>支出决算为</w:t>
      </w:r>
      <w:r>
        <w:rPr>
          <w:rFonts w:hint="eastAsia" w:ascii="仿宋_GB2312" w:hAnsi="仿宋_GB2312" w:eastAsia="仿宋_GB2312" w:cs="仿宋_GB2312"/>
          <w:color w:val="auto"/>
          <w:sz w:val="32"/>
          <w:szCs w:val="32"/>
          <w:lang w:val="en-US" w:eastAsia="zh-CN"/>
        </w:rPr>
        <w:t>972.55</w:t>
      </w:r>
      <w:r>
        <w:rPr>
          <w:rFonts w:hint="eastAsia" w:ascii="仿宋_GB2312" w:hAnsi="仿宋_GB2312" w:eastAsia="仿宋_GB2312" w:cs="仿宋_GB2312"/>
          <w:color w:val="auto"/>
          <w:sz w:val="32"/>
          <w:szCs w:val="32"/>
          <w:lang w:eastAsia="zh-CN"/>
        </w:rPr>
        <w:t>万元，完成预算</w:t>
      </w:r>
      <w:r>
        <w:rPr>
          <w:rFonts w:hint="eastAsia" w:ascii="仿宋_GB2312" w:hAnsi="仿宋_GB2312" w:eastAsia="仿宋_GB2312" w:cs="仿宋_GB2312"/>
          <w:color w:val="auto"/>
          <w:sz w:val="32"/>
          <w:szCs w:val="32"/>
          <w:lang w:val="en-US" w:eastAsia="zh-CN"/>
        </w:rPr>
        <w:t>99.11</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highlight w:val="none"/>
          <w:lang w:eastAsia="zh-CN"/>
        </w:rPr>
        <w:t>决算数</w:t>
      </w:r>
      <w:r>
        <w:rPr>
          <w:rFonts w:hint="eastAsia" w:ascii="仿宋_GB2312" w:hAnsi="仿宋_GB2312" w:eastAsia="仿宋_GB2312" w:cs="仿宋_GB2312"/>
          <w:color w:val="auto"/>
          <w:sz w:val="32"/>
          <w:szCs w:val="32"/>
          <w:highlight w:val="none"/>
          <w:lang w:val="en-US" w:eastAsia="zh-CN"/>
        </w:rPr>
        <w:t>小于</w:t>
      </w:r>
      <w:r>
        <w:rPr>
          <w:rFonts w:hint="eastAsia" w:ascii="仿宋_GB2312" w:hAnsi="仿宋_GB2312" w:eastAsia="仿宋_GB2312" w:cs="仿宋_GB2312"/>
          <w:color w:val="auto"/>
          <w:sz w:val="32"/>
          <w:szCs w:val="32"/>
          <w:highlight w:val="none"/>
          <w:lang w:eastAsia="zh-CN"/>
        </w:rPr>
        <w:t>预算数的主要原因</w:t>
      </w:r>
      <w:r>
        <w:rPr>
          <w:rFonts w:hint="eastAsia" w:ascii="仿宋_GB2312" w:hAnsi="仿宋_GB2312" w:eastAsia="仿宋_GB2312" w:cs="仿宋_GB2312"/>
          <w:color w:val="auto"/>
          <w:sz w:val="32"/>
          <w:szCs w:val="32"/>
          <w:highlight w:val="none"/>
          <w:lang w:val="en-US" w:eastAsia="zh-CN"/>
        </w:rPr>
        <w:t>是本年度资金有剩余；</w:t>
      </w:r>
    </w:p>
    <w:p w14:paraId="6D7BDBB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lef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一般公共服务（类）</w:t>
      </w:r>
      <w:r>
        <w:rPr>
          <w:rFonts w:hint="eastAsia" w:ascii="仿宋_GB2312" w:hAnsi="仿宋_GB2312" w:eastAsia="仿宋_GB2312" w:cs="仿宋_GB2312"/>
          <w:color w:val="auto"/>
          <w:sz w:val="32"/>
          <w:szCs w:val="32"/>
          <w:lang w:val="en-US" w:eastAsia="zh-CN"/>
        </w:rPr>
        <w:t>201</w:t>
      </w:r>
      <w:r>
        <w:rPr>
          <w:rFonts w:hint="eastAsia" w:ascii="仿宋_GB2312" w:hAnsi="仿宋_GB2312" w:eastAsia="仿宋_GB2312" w:cs="仿宋_GB2312"/>
          <w:color w:val="auto"/>
          <w:sz w:val="32"/>
          <w:szCs w:val="32"/>
          <w:lang w:eastAsia="zh-CN"/>
        </w:rPr>
        <w:t>（款）</w:t>
      </w:r>
      <w:r>
        <w:rPr>
          <w:rFonts w:hint="eastAsia" w:ascii="仿宋_GB2312" w:hAnsi="仿宋_GB2312" w:eastAsia="仿宋_GB2312" w:cs="仿宋_GB2312"/>
          <w:color w:val="auto"/>
          <w:sz w:val="32"/>
          <w:szCs w:val="32"/>
          <w:lang w:val="en-US" w:eastAsia="zh-CN"/>
        </w:rPr>
        <w:t>03</w:t>
      </w:r>
      <w:r>
        <w:rPr>
          <w:rFonts w:hint="eastAsia" w:ascii="仿宋_GB2312" w:hAnsi="仿宋_GB2312" w:eastAsia="仿宋_GB2312" w:cs="仿宋_GB2312"/>
          <w:color w:val="auto"/>
          <w:sz w:val="32"/>
          <w:szCs w:val="32"/>
          <w:lang w:eastAsia="zh-CN"/>
        </w:rPr>
        <w:t>（项）</w:t>
      </w:r>
      <w:r>
        <w:rPr>
          <w:rFonts w:hint="eastAsia" w:ascii="仿宋_GB2312" w:hAnsi="仿宋_GB2312" w:eastAsia="仿宋_GB2312" w:cs="仿宋_GB2312"/>
          <w:color w:val="auto"/>
          <w:sz w:val="32"/>
          <w:szCs w:val="32"/>
          <w:lang w:val="en-US" w:eastAsia="zh-CN"/>
        </w:rPr>
        <w:t>99（其他政府办公厅（室</w:t>
      </w:r>
      <w:bookmarkStart w:id="71" w:name="_GoBack"/>
      <w:r>
        <w:rPr>
          <w:rFonts w:hint="eastAsia" w:ascii="仿宋_GB2312" w:hAnsi="仿宋_GB2312" w:eastAsia="仿宋_GB2312" w:cs="仿宋_GB2312"/>
          <w:color w:val="auto"/>
          <w:sz w:val="32"/>
          <w:szCs w:val="32"/>
          <w:lang w:val="en-US" w:eastAsia="zh-CN"/>
        </w:rPr>
        <w:t>）</w:t>
      </w:r>
      <w:bookmarkEnd w:id="71"/>
      <w:r>
        <w:rPr>
          <w:rFonts w:hint="eastAsia" w:ascii="仿宋_GB2312" w:hAnsi="仿宋_GB2312" w:eastAsia="仿宋_GB2312" w:cs="仿宋_GB2312"/>
          <w:color w:val="auto"/>
          <w:sz w:val="32"/>
          <w:szCs w:val="32"/>
          <w:lang w:val="en-US" w:eastAsia="zh-CN"/>
        </w:rPr>
        <w:t>及相关机构事务支出）：</w:t>
      </w:r>
      <w:r>
        <w:rPr>
          <w:rFonts w:hint="eastAsia" w:ascii="仿宋_GB2312" w:hAnsi="仿宋_GB2312" w:eastAsia="仿宋_GB2312" w:cs="仿宋_GB2312"/>
          <w:color w:val="auto"/>
          <w:sz w:val="32"/>
          <w:szCs w:val="32"/>
          <w:lang w:eastAsia="zh-CN"/>
        </w:rPr>
        <w:t>支出决算为</w:t>
      </w:r>
      <w:r>
        <w:rPr>
          <w:rFonts w:hint="eastAsia" w:ascii="仿宋_GB2312" w:hAnsi="仿宋_GB2312" w:eastAsia="仿宋_GB2312" w:cs="仿宋_GB2312"/>
          <w:color w:val="auto"/>
          <w:sz w:val="32"/>
          <w:szCs w:val="32"/>
          <w:lang w:val="en-US" w:eastAsia="zh-CN"/>
        </w:rPr>
        <w:t>4.41</w:t>
      </w:r>
      <w:r>
        <w:rPr>
          <w:rFonts w:hint="eastAsia" w:ascii="仿宋_GB2312" w:hAnsi="仿宋_GB2312" w:eastAsia="仿宋_GB2312" w:cs="仿宋_GB2312"/>
          <w:color w:val="auto"/>
          <w:sz w:val="32"/>
          <w:szCs w:val="32"/>
          <w:lang w:eastAsia="zh-CN"/>
        </w:rPr>
        <w:t>万元，完成预算</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highlight w:val="none"/>
          <w:lang w:eastAsia="zh-CN"/>
        </w:rPr>
        <w:t>决算数</w:t>
      </w:r>
      <w:r>
        <w:rPr>
          <w:rFonts w:hint="eastAsia" w:ascii="仿宋_GB2312" w:hAnsi="仿宋_GB2312" w:eastAsia="仿宋_GB2312" w:cs="仿宋_GB2312"/>
          <w:color w:val="auto"/>
          <w:sz w:val="32"/>
          <w:szCs w:val="32"/>
          <w:highlight w:val="none"/>
          <w:lang w:val="en-US" w:eastAsia="zh-CN"/>
        </w:rPr>
        <w:t>等于</w:t>
      </w:r>
      <w:r>
        <w:rPr>
          <w:rFonts w:hint="eastAsia" w:ascii="仿宋_GB2312" w:hAnsi="仿宋_GB2312" w:eastAsia="仿宋_GB2312" w:cs="仿宋_GB2312"/>
          <w:color w:val="auto"/>
          <w:sz w:val="32"/>
          <w:szCs w:val="32"/>
          <w:highlight w:val="none"/>
          <w:lang w:eastAsia="zh-CN"/>
        </w:rPr>
        <w:t>预算数</w:t>
      </w:r>
      <w:r>
        <w:rPr>
          <w:rFonts w:hint="eastAsia" w:ascii="仿宋_GB2312" w:hAnsi="仿宋_GB2312" w:eastAsia="仿宋_GB2312" w:cs="仿宋_GB2312"/>
          <w:color w:val="auto"/>
          <w:sz w:val="32"/>
          <w:szCs w:val="32"/>
          <w:highlight w:val="none"/>
          <w:lang w:val="en-US" w:eastAsia="zh-CN"/>
        </w:rPr>
        <w:t>；</w:t>
      </w:r>
    </w:p>
    <w:p w14:paraId="0481178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leftChars="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lang w:eastAsia="zh-CN"/>
        </w:rPr>
        <w:t>.社会保障和就业（类）</w:t>
      </w:r>
      <w:r>
        <w:rPr>
          <w:rFonts w:hint="eastAsia" w:ascii="仿宋_GB2312" w:hAnsi="仿宋_GB2312" w:eastAsia="仿宋_GB2312" w:cs="仿宋_GB2312"/>
          <w:color w:val="auto"/>
          <w:sz w:val="32"/>
          <w:szCs w:val="32"/>
          <w:lang w:val="en-US" w:eastAsia="zh-CN"/>
        </w:rPr>
        <w:t>208</w:t>
      </w:r>
      <w:r>
        <w:rPr>
          <w:rFonts w:hint="eastAsia" w:ascii="仿宋_GB2312" w:hAnsi="仿宋_GB2312" w:eastAsia="仿宋_GB2312" w:cs="仿宋_GB2312"/>
          <w:color w:val="auto"/>
          <w:sz w:val="32"/>
          <w:szCs w:val="32"/>
          <w:lang w:eastAsia="zh-CN"/>
        </w:rPr>
        <w:t>（款）</w:t>
      </w:r>
      <w:r>
        <w:rPr>
          <w:rFonts w:hint="eastAsia" w:ascii="仿宋_GB2312" w:hAnsi="仿宋_GB2312" w:eastAsia="仿宋_GB2312" w:cs="仿宋_GB2312"/>
          <w:color w:val="auto"/>
          <w:sz w:val="32"/>
          <w:szCs w:val="32"/>
          <w:lang w:val="en-US" w:eastAsia="zh-CN"/>
        </w:rPr>
        <w:t>05</w:t>
      </w:r>
      <w:r>
        <w:rPr>
          <w:rFonts w:hint="eastAsia" w:ascii="仿宋_GB2312" w:hAnsi="仿宋_GB2312" w:eastAsia="仿宋_GB2312" w:cs="仿宋_GB2312"/>
          <w:color w:val="auto"/>
          <w:sz w:val="32"/>
          <w:szCs w:val="32"/>
          <w:lang w:eastAsia="zh-CN"/>
        </w:rPr>
        <w:t>（项）</w:t>
      </w:r>
      <w:r>
        <w:rPr>
          <w:rFonts w:hint="eastAsia" w:ascii="仿宋_GB2312" w:hAnsi="仿宋_GB2312" w:eastAsia="仿宋_GB2312" w:cs="仿宋_GB2312"/>
          <w:color w:val="auto"/>
          <w:sz w:val="32"/>
          <w:szCs w:val="32"/>
          <w:lang w:val="en-US" w:eastAsia="zh-CN"/>
        </w:rPr>
        <w:t>05</w:t>
      </w:r>
      <w:r>
        <w:rPr>
          <w:rFonts w:hint="eastAsia" w:ascii="仿宋_GB2312" w:hAnsi="仿宋_GB2312" w:eastAsia="仿宋_GB2312" w:cs="仿宋_GB2312"/>
          <w:color w:val="auto"/>
          <w:sz w:val="32"/>
          <w:szCs w:val="32"/>
          <w:lang w:eastAsia="zh-CN"/>
        </w:rPr>
        <w:t>（机关事业单位基本养老保险缴费支出）： 支出决算为</w:t>
      </w:r>
      <w:r>
        <w:rPr>
          <w:rFonts w:hint="eastAsia" w:ascii="仿宋_GB2312" w:hAnsi="仿宋_GB2312" w:eastAsia="仿宋_GB2312" w:cs="仿宋_GB2312"/>
          <w:color w:val="auto"/>
          <w:sz w:val="32"/>
          <w:szCs w:val="32"/>
          <w:lang w:val="en-US" w:eastAsia="zh-CN"/>
        </w:rPr>
        <w:t>99.15</w:t>
      </w:r>
      <w:r>
        <w:rPr>
          <w:rFonts w:hint="eastAsia" w:ascii="仿宋_GB2312" w:hAnsi="仿宋_GB2312" w:eastAsia="仿宋_GB2312" w:cs="仿宋_GB2312"/>
          <w:color w:val="auto"/>
          <w:sz w:val="32"/>
          <w:szCs w:val="32"/>
          <w:lang w:eastAsia="zh-CN"/>
        </w:rPr>
        <w:t>万元，完成预算</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lang w:eastAsia="zh-CN"/>
        </w:rPr>
        <w:t>%，决算数</w:t>
      </w:r>
      <w:r>
        <w:rPr>
          <w:rFonts w:hint="eastAsia" w:ascii="仿宋_GB2312" w:hAnsi="仿宋_GB2312" w:eastAsia="仿宋_GB2312" w:cs="仿宋_GB2312"/>
          <w:color w:val="auto"/>
          <w:sz w:val="32"/>
          <w:szCs w:val="32"/>
          <w:lang w:val="en-US" w:eastAsia="zh-CN"/>
        </w:rPr>
        <w:t>等于</w:t>
      </w:r>
      <w:r>
        <w:rPr>
          <w:rFonts w:hint="eastAsia" w:ascii="仿宋_GB2312" w:hAnsi="仿宋_GB2312" w:eastAsia="仿宋_GB2312" w:cs="仿宋_GB2312"/>
          <w:color w:val="auto"/>
          <w:sz w:val="32"/>
          <w:szCs w:val="32"/>
          <w:lang w:eastAsia="zh-CN"/>
        </w:rPr>
        <w:t>预算数。</w:t>
      </w:r>
    </w:p>
    <w:p w14:paraId="42B58F56">
      <w:pPr>
        <w:pStyle w:val="5"/>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lang w:eastAsia="zh-CN"/>
        </w:rPr>
      </w:pPr>
      <w:r>
        <w:rPr>
          <w:rFonts w:hint="eastAsia" w:hAnsi="仿宋_GB2312" w:cs="仿宋_GB2312"/>
          <w:color w:val="auto"/>
          <w:sz w:val="32"/>
          <w:szCs w:val="32"/>
          <w:lang w:val="en-US" w:eastAsia="zh-CN"/>
        </w:rPr>
        <w:t>5</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eastAsia="zh-CN"/>
        </w:rPr>
        <w:t>社会保障和就业（类）</w:t>
      </w:r>
      <w:r>
        <w:rPr>
          <w:rFonts w:hint="eastAsia" w:ascii="仿宋_GB2312" w:hAnsi="仿宋_GB2312" w:eastAsia="仿宋_GB2312" w:cs="仿宋_GB2312"/>
          <w:color w:val="auto"/>
          <w:sz w:val="32"/>
          <w:szCs w:val="32"/>
          <w:lang w:val="en-US" w:eastAsia="zh-CN"/>
        </w:rPr>
        <w:t>208</w:t>
      </w:r>
      <w:r>
        <w:rPr>
          <w:rFonts w:hint="eastAsia" w:ascii="仿宋_GB2312" w:hAnsi="仿宋_GB2312" w:eastAsia="仿宋_GB2312" w:cs="仿宋_GB2312"/>
          <w:color w:val="auto"/>
          <w:sz w:val="32"/>
          <w:szCs w:val="32"/>
          <w:lang w:eastAsia="zh-CN"/>
        </w:rPr>
        <w:t>（款）</w:t>
      </w:r>
      <w:r>
        <w:rPr>
          <w:rFonts w:hint="eastAsia" w:ascii="仿宋_GB2312" w:hAnsi="仿宋_GB2312" w:eastAsia="仿宋_GB2312" w:cs="仿宋_GB2312"/>
          <w:color w:val="auto"/>
          <w:sz w:val="32"/>
          <w:szCs w:val="32"/>
          <w:lang w:val="en-US" w:eastAsia="zh-CN"/>
        </w:rPr>
        <w:t>05</w:t>
      </w:r>
      <w:r>
        <w:rPr>
          <w:rFonts w:hint="eastAsia" w:ascii="仿宋_GB2312" w:hAnsi="仿宋_GB2312" w:eastAsia="仿宋_GB2312" w:cs="仿宋_GB2312"/>
          <w:color w:val="auto"/>
          <w:sz w:val="32"/>
          <w:szCs w:val="32"/>
          <w:lang w:eastAsia="zh-CN"/>
        </w:rPr>
        <w:t>（项）</w:t>
      </w:r>
      <w:r>
        <w:rPr>
          <w:rFonts w:hint="eastAsia" w:ascii="仿宋_GB2312" w:hAnsi="仿宋_GB2312" w:eastAsia="仿宋_GB2312" w:cs="仿宋_GB2312"/>
          <w:color w:val="auto"/>
          <w:sz w:val="32"/>
          <w:szCs w:val="32"/>
          <w:lang w:val="en-US" w:eastAsia="zh-CN"/>
        </w:rPr>
        <w:t>06</w:t>
      </w:r>
      <w:r>
        <w:rPr>
          <w:rFonts w:hint="eastAsia" w:ascii="仿宋_GB2312" w:hAnsi="仿宋_GB2312" w:eastAsia="仿宋_GB2312" w:cs="仿宋_GB2312"/>
          <w:color w:val="auto"/>
          <w:sz w:val="32"/>
          <w:szCs w:val="32"/>
          <w:lang w:eastAsia="zh-CN"/>
        </w:rPr>
        <w:t>（机关事业单位职业年金缴费支出）： 支出决算为</w:t>
      </w:r>
      <w:r>
        <w:rPr>
          <w:rFonts w:hint="eastAsia" w:hAnsi="仿宋_GB2312" w:cs="仿宋_GB2312"/>
          <w:color w:val="auto"/>
          <w:sz w:val="32"/>
          <w:szCs w:val="32"/>
          <w:lang w:val="en-US" w:eastAsia="zh-CN"/>
        </w:rPr>
        <w:t>55.43</w:t>
      </w:r>
      <w:r>
        <w:rPr>
          <w:rFonts w:hint="eastAsia" w:ascii="仿宋_GB2312" w:hAnsi="仿宋_GB2312" w:eastAsia="仿宋_GB2312" w:cs="仿宋_GB2312"/>
          <w:color w:val="auto"/>
          <w:sz w:val="32"/>
          <w:szCs w:val="32"/>
          <w:lang w:eastAsia="zh-CN"/>
        </w:rPr>
        <w:t>万元，完成预算</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lang w:eastAsia="zh-CN"/>
        </w:rPr>
        <w:t>%，决算数</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lang w:eastAsia="zh-CN"/>
        </w:rPr>
        <w:t>于预算数。</w:t>
      </w:r>
    </w:p>
    <w:p w14:paraId="69661D4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6.行政事业单位医疗（类）210（款）11（项）01（行政单位医疗）：支出决算为47.36万元，完成预算100%，决算数等于预算数。</w:t>
      </w:r>
    </w:p>
    <w:p w14:paraId="1E4C415D">
      <w:pPr>
        <w:pStyle w:val="13"/>
        <w:pageBreakBefore w:val="0"/>
        <w:kinsoku/>
        <w:wordWrap/>
        <w:overflowPunct/>
        <w:topLinePunct w:val="0"/>
        <w:bidi w:val="0"/>
        <w:snapToGrid/>
        <w:spacing w:line="576"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lang w:val="en-US" w:eastAsia="zh-CN"/>
        </w:rPr>
        <w:t>.行政事业单位医疗（类）210（款）11（项）03（公务员医疗补助）：支出决算为</w:t>
      </w:r>
      <w:r>
        <w:rPr>
          <w:rFonts w:hint="eastAsia" w:hAnsi="仿宋_GB2312" w:eastAsia="仿宋_GB2312" w:cs="仿宋_GB2312"/>
          <w:color w:val="auto"/>
          <w:sz w:val="32"/>
          <w:szCs w:val="32"/>
          <w:lang w:val="en-US" w:eastAsia="zh-CN"/>
        </w:rPr>
        <w:t>8.64</w:t>
      </w:r>
      <w:r>
        <w:rPr>
          <w:rFonts w:hint="eastAsia" w:ascii="仿宋_GB2312" w:hAnsi="仿宋_GB2312" w:eastAsia="仿宋_GB2312" w:cs="仿宋_GB2312"/>
          <w:color w:val="auto"/>
          <w:sz w:val="32"/>
          <w:szCs w:val="32"/>
          <w:lang w:val="en-US" w:eastAsia="zh-CN"/>
        </w:rPr>
        <w:t>万元，完成预算100%，决算数等于预算数。</w:t>
      </w:r>
    </w:p>
    <w:p w14:paraId="0809451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sz w:val="32"/>
          <w:szCs w:val="32"/>
          <w:lang w:val="en-US" w:eastAsia="zh-CN"/>
        </w:rPr>
        <w:t>8.住房保障（类）221（款）02（项）01（住房公积金）：</w:t>
      </w:r>
      <w:r>
        <w:rPr>
          <w:rFonts w:hint="eastAsia" w:ascii="仿宋_GB2312" w:hAnsi="仿宋_GB2312" w:eastAsia="仿宋_GB2312" w:cs="仿宋_GB2312"/>
          <w:color w:val="auto"/>
          <w:sz w:val="32"/>
          <w:szCs w:val="32"/>
          <w:lang w:eastAsia="zh-CN"/>
        </w:rPr>
        <w:t>支出决算为</w:t>
      </w:r>
      <w:r>
        <w:rPr>
          <w:rFonts w:hint="eastAsia" w:ascii="仿宋_GB2312" w:hAnsi="仿宋_GB2312" w:eastAsia="仿宋_GB2312" w:cs="仿宋_GB2312"/>
          <w:color w:val="auto"/>
          <w:sz w:val="32"/>
          <w:szCs w:val="32"/>
          <w:lang w:val="en-US" w:eastAsia="zh-CN"/>
        </w:rPr>
        <w:t>79.39</w:t>
      </w:r>
      <w:r>
        <w:rPr>
          <w:rFonts w:hint="eastAsia" w:ascii="仿宋_GB2312" w:hAnsi="仿宋_GB2312" w:eastAsia="仿宋_GB2312" w:cs="仿宋_GB2312"/>
          <w:color w:val="auto"/>
          <w:sz w:val="32"/>
          <w:szCs w:val="32"/>
          <w:lang w:eastAsia="zh-CN"/>
        </w:rPr>
        <w:t>万元，完成预算</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lang w:eastAsia="zh-CN"/>
        </w:rPr>
        <w:t>%，决算数</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lang w:eastAsia="zh-CN"/>
        </w:rPr>
        <w:t>于预算数</w:t>
      </w:r>
    </w:p>
    <w:p w14:paraId="48658572">
      <w:pPr>
        <w:tabs>
          <w:tab w:val="right" w:pos="8306"/>
        </w:tabs>
        <w:spacing w:line="600" w:lineRule="exact"/>
        <w:ind w:firstLine="640"/>
        <w:outlineLvl w:val="1"/>
        <w:rPr>
          <w:rStyle w:val="30"/>
          <w:rFonts w:ascii="Times New Roman" w:hAnsi="Times New Roman"/>
          <w:color w:val="auto"/>
          <w:highlight w:val="none"/>
        </w:rPr>
      </w:pPr>
      <w:bookmarkStart w:id="38" w:name="_Toc15396608"/>
      <w:bookmarkStart w:id="39"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8"/>
      <w:bookmarkEnd w:id="39"/>
      <w:r>
        <w:rPr>
          <w:rStyle w:val="30"/>
          <w:rFonts w:ascii="Times New Roman" w:hAnsi="Times New Roman" w:eastAsia="黑体"/>
          <w:b w:val="0"/>
          <w:color w:val="auto"/>
          <w:highlight w:val="none"/>
        </w:rPr>
        <w:tab/>
      </w:r>
    </w:p>
    <w:p w14:paraId="00BE2C6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1573.98</w:t>
      </w:r>
      <w:r>
        <w:rPr>
          <w:rFonts w:hint="eastAsia" w:ascii="Times New Roman" w:hAnsi="Times New Roman" w:eastAsia="仿宋_GB2312" w:cs="仿宋_GB2312"/>
          <w:color w:val="auto"/>
          <w:kern w:val="2"/>
          <w:sz w:val="32"/>
          <w:szCs w:val="32"/>
          <w:highlight w:val="none"/>
          <w:lang w:val="en-US" w:eastAsia="zh-CN" w:bidi="ar-SA"/>
        </w:rPr>
        <w:t>万元，其中：</w:t>
      </w:r>
    </w:p>
    <w:p w14:paraId="4A92617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1081.93</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492.05</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46E20976">
      <w:pPr>
        <w:spacing w:line="600" w:lineRule="exact"/>
        <w:ind w:firstLine="640"/>
        <w:outlineLvl w:val="1"/>
        <w:rPr>
          <w:rStyle w:val="30"/>
          <w:rFonts w:ascii="Times New Roman" w:hAnsi="Times New Roman" w:eastAsia="黑体"/>
          <w:b w:val="0"/>
          <w:color w:val="auto"/>
          <w:highlight w:val="none"/>
        </w:rPr>
      </w:pPr>
      <w:bookmarkStart w:id="40" w:name="_Toc15396609"/>
      <w:bookmarkStart w:id="41"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40"/>
      <w:bookmarkEnd w:id="41"/>
    </w:p>
    <w:p w14:paraId="115547E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2"/>
    </w:p>
    <w:p w14:paraId="5DC0006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150.32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22.46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2025年“三公”经费减少</w:t>
      </w:r>
      <w:r>
        <w:rPr>
          <w:rFonts w:hint="eastAsia" w:ascii="Times New Roman" w:hAnsi="Times New Roman" w:eastAsia="仿宋_GB2312" w:cs="仿宋_GB2312"/>
          <w:color w:val="auto"/>
          <w:kern w:val="2"/>
          <w:sz w:val="32"/>
          <w:szCs w:val="32"/>
          <w:highlight w:val="none"/>
          <w:lang w:val="en-US" w:eastAsia="zh-CN" w:bidi="ar-SA"/>
        </w:rPr>
        <w:t>的主要原因是</w:t>
      </w:r>
      <w:r>
        <w:rPr>
          <w:rFonts w:hint="eastAsia" w:eastAsia="仿宋_GB2312" w:cs="仿宋_GB2312"/>
          <w:color w:val="auto"/>
          <w:kern w:val="2"/>
          <w:sz w:val="32"/>
          <w:szCs w:val="32"/>
          <w:highlight w:val="none"/>
          <w:lang w:val="en-US" w:eastAsia="zh-CN" w:bidi="ar-SA"/>
        </w:rPr>
        <w:t>节约开支。</w:t>
      </w:r>
    </w:p>
    <w:p w14:paraId="0763AD5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3"/>
    </w:p>
    <w:p w14:paraId="22967C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150.14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99.88</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0.18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0.12</w:t>
      </w:r>
      <w:r>
        <w:rPr>
          <w:rFonts w:hint="eastAsia" w:ascii="Times New Roman" w:hAnsi="Times New Roman" w:eastAsia="仿宋_GB2312" w:cs="仿宋_GB2312"/>
          <w:color w:val="auto"/>
          <w:kern w:val="2"/>
          <w:sz w:val="32"/>
          <w:szCs w:val="32"/>
          <w:highlight w:val="none"/>
          <w:lang w:val="en-US" w:eastAsia="zh-CN" w:bidi="ar-SA"/>
        </w:rPr>
        <w:t>%。具体情况如下：</w:t>
      </w:r>
    </w:p>
    <w:p w14:paraId="32DBF73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w:t>
      </w:r>
    </w:p>
    <w:p w14:paraId="72CA145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150.14</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22.55</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13.06</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节约开支，</w:t>
      </w: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637223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150.14</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公务出行</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5E97A81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0.18</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增加100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2025年公务接待增加</w:t>
      </w:r>
      <w:r>
        <w:rPr>
          <w:rFonts w:hint="eastAsia" w:ascii="Times New Roman" w:hAnsi="Times New Roman" w:eastAsia="仿宋_GB2312" w:cs="仿宋_GB2312"/>
          <w:color w:val="auto"/>
          <w:kern w:val="2"/>
          <w:sz w:val="32"/>
          <w:szCs w:val="32"/>
          <w:highlight w:val="none"/>
          <w:lang w:val="en-US" w:eastAsia="zh-CN" w:bidi="ar-SA"/>
        </w:rPr>
        <w:t>。其中：</w:t>
      </w:r>
    </w:p>
    <w:p w14:paraId="4F76578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0.18</w:t>
      </w:r>
      <w:r>
        <w:rPr>
          <w:rFonts w:hint="eastAsia" w:ascii="Times New Roman" w:hAnsi="Times New Roman" w:eastAsia="仿宋_GB2312" w:cs="仿宋_GB2312"/>
          <w:color w:val="auto"/>
          <w:kern w:val="2"/>
          <w:sz w:val="32"/>
          <w:szCs w:val="32"/>
          <w:highlight w:val="none"/>
          <w:lang w:val="en-US" w:eastAsia="zh-CN" w:bidi="ar-SA"/>
        </w:rPr>
        <w:t>万元，主要用于执行公务、开展业务活动开支的交通费、住宿费、用餐费</w:t>
      </w:r>
      <w:r>
        <w:rPr>
          <w:rFonts w:hint="eastAsia" w:eastAsia="仿宋_GB2312" w:cs="仿宋_GB2312"/>
          <w:color w:val="auto"/>
          <w:kern w:val="2"/>
          <w:sz w:val="32"/>
          <w:szCs w:val="32"/>
          <w:highlight w:val="none"/>
          <w:lang w:val="en-US" w:eastAsia="zh-CN" w:bidi="ar-SA"/>
        </w:rPr>
        <w:t>等</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ascii="仿宋_GB2312" w:hAnsi="仿宋_GB2312" w:eastAsia="仿宋_GB2312" w:cs="仿宋_GB2312"/>
          <w:sz w:val="32"/>
          <w:szCs w:val="32"/>
        </w:rPr>
        <w:t>2</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17</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0.18</w:t>
      </w:r>
      <w:r>
        <w:rPr>
          <w:rFonts w:hint="eastAsia" w:ascii="Times New Roman" w:hAnsi="Times New Roman" w:eastAsia="仿宋_GB2312" w:cs="仿宋_GB2312"/>
          <w:color w:val="auto"/>
          <w:kern w:val="2"/>
          <w:sz w:val="32"/>
          <w:szCs w:val="32"/>
          <w:highlight w:val="none"/>
          <w:lang w:val="en-US" w:eastAsia="zh-CN" w:bidi="ar-SA"/>
        </w:rPr>
        <w:t>万元，具体内容包括</w:t>
      </w:r>
      <w:r>
        <w:rPr>
          <w:rFonts w:hint="eastAsia" w:eastAsia="仿宋_GB2312" w:cs="仿宋_GB2312"/>
          <w:color w:val="auto"/>
          <w:kern w:val="2"/>
          <w:sz w:val="32"/>
          <w:szCs w:val="32"/>
          <w:highlight w:val="none"/>
          <w:lang w:val="en-US" w:eastAsia="zh-CN" w:bidi="ar-SA"/>
        </w:rPr>
        <w:t>开展公务接待产生的餐费、住宿费等</w:t>
      </w:r>
      <w:r>
        <w:rPr>
          <w:rFonts w:hint="eastAsia" w:ascii="Times New Roman" w:hAnsi="Times New Roman" w:eastAsia="仿宋_GB2312" w:cs="仿宋_GB2312"/>
          <w:color w:val="auto"/>
          <w:kern w:val="2"/>
          <w:sz w:val="32"/>
          <w:szCs w:val="32"/>
          <w:highlight w:val="none"/>
          <w:lang w:val="en-US" w:eastAsia="zh-CN" w:bidi="ar-SA"/>
        </w:rPr>
        <w:t>。</w:t>
      </w:r>
    </w:p>
    <w:p w14:paraId="33AEA69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bookmarkStart w:id="44" w:name="_Toc15377218"/>
      <w:bookmarkStart w:id="45" w:name="_Toc15396610"/>
    </w:p>
    <w:p w14:paraId="68C0900E">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4"/>
      <w:bookmarkEnd w:id="45"/>
    </w:p>
    <w:p w14:paraId="77B9A55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w:t>
      </w:r>
      <w:r>
        <w:rPr>
          <w:rFonts w:hint="eastAsia" w:eastAsia="仿宋_GB2312" w:cs="仿宋_GB2312"/>
          <w:color w:val="auto"/>
          <w:kern w:val="2"/>
          <w:sz w:val="32"/>
          <w:szCs w:val="32"/>
          <w:highlight w:val="none"/>
          <w:lang w:val="en-US" w:eastAsia="zh-CN" w:bidi="ar-SA"/>
        </w:rPr>
        <w:t>持平。</w:t>
      </w:r>
    </w:p>
    <w:p w14:paraId="3C7502FE">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46" w:name="_Toc15377219"/>
      <w:bookmarkStart w:id="47"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6"/>
      <w:bookmarkEnd w:id="47"/>
    </w:p>
    <w:p w14:paraId="41BB97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w:t>
      </w:r>
      <w:r>
        <w:rPr>
          <w:rFonts w:hint="eastAsia" w:eastAsia="仿宋_GB2312" w:cs="仿宋_GB2312"/>
          <w:color w:val="auto"/>
          <w:kern w:val="2"/>
          <w:sz w:val="32"/>
          <w:szCs w:val="32"/>
          <w:highlight w:val="none"/>
          <w:lang w:val="en-US" w:eastAsia="zh-CN" w:bidi="ar-SA"/>
        </w:rPr>
        <w:t>持平。</w:t>
      </w:r>
    </w:p>
    <w:p w14:paraId="6CE9BEB9">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48" w:name="_Toc15396612"/>
      <w:bookmarkStart w:id="49"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48"/>
      <w:bookmarkEnd w:id="49"/>
    </w:p>
    <w:p w14:paraId="2DD817C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22"/>
      <w:r>
        <w:rPr>
          <w:rFonts w:hint="eastAsia" w:ascii="Times New Roman" w:hAnsi="Times New Roman" w:eastAsia="楷体_GB2312" w:cs="楷体_GB2312"/>
          <w:b/>
          <w:color w:val="auto"/>
          <w:sz w:val="32"/>
          <w:szCs w:val="32"/>
          <w:highlight w:val="none"/>
        </w:rPr>
        <w:t>（一）机关运行经费支出情况</w:t>
      </w:r>
      <w:bookmarkEnd w:id="50"/>
    </w:p>
    <w:p w14:paraId="0EF65EC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松潘县人民政府办公室（本级）</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492.05</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217.83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79.44</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日常经费支出增加。</w:t>
      </w:r>
    </w:p>
    <w:p w14:paraId="1571055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1" w:name="_Toc15377223"/>
      <w:r>
        <w:rPr>
          <w:rFonts w:hint="eastAsia" w:ascii="Times New Roman" w:hAnsi="Times New Roman" w:eastAsia="楷体_GB2312" w:cs="楷体_GB2312"/>
          <w:b/>
          <w:color w:val="auto"/>
          <w:sz w:val="32"/>
          <w:szCs w:val="32"/>
          <w:highlight w:val="none"/>
        </w:rPr>
        <w:t>（二）政府采购支出情况</w:t>
      </w:r>
      <w:bookmarkEnd w:id="51"/>
    </w:p>
    <w:p w14:paraId="13A5EA7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松潘县人民政府办公室（本级）</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666.86</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186.11</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480.75</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主要用于</w:t>
      </w:r>
      <w:r>
        <w:rPr>
          <w:rFonts w:hint="eastAsia" w:ascii="仿宋_GB2312" w:hAnsi="仿宋_GB2312" w:eastAsia="仿宋_GB2312" w:cs="仿宋_GB2312"/>
          <w:color w:val="auto"/>
          <w:kern w:val="2"/>
          <w:sz w:val="32"/>
          <w:szCs w:val="32"/>
          <w:highlight w:val="none"/>
          <w:lang w:val="en-US" w:eastAsia="zh-CN" w:bidi="ar-SA"/>
        </w:rPr>
        <w:t>食堂食材、劳务及物业等方面</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4614312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2" w:name="_Toc15377224"/>
      <w:r>
        <w:rPr>
          <w:rFonts w:hint="eastAsia" w:ascii="Times New Roman" w:hAnsi="Times New Roman" w:eastAsia="楷体_GB2312" w:cs="楷体_GB2312"/>
          <w:b/>
          <w:color w:val="auto"/>
          <w:sz w:val="32"/>
          <w:szCs w:val="32"/>
          <w:highlight w:val="none"/>
        </w:rPr>
        <w:t>（三）国有资产占有使用情况</w:t>
      </w:r>
      <w:bookmarkEnd w:id="52"/>
    </w:p>
    <w:p w14:paraId="775CC62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松潘县人民政府办公室（本级）</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16</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15</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6148157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85A3F6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6BB8103">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0642854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D2E72CE">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3" w:name="_Toc15377225"/>
      <w:bookmarkStart w:id="54"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3"/>
      <w:bookmarkEnd w:id="54"/>
    </w:p>
    <w:p w14:paraId="605031B9">
      <w:pPr>
        <w:spacing w:line="600" w:lineRule="exact"/>
        <w:jc w:val="left"/>
        <w:rPr>
          <w:rFonts w:ascii="Times New Roman" w:hAnsi="Times New Roman"/>
          <w:b/>
          <w:color w:val="auto"/>
          <w:sz w:val="44"/>
          <w:szCs w:val="44"/>
          <w:highlight w:val="none"/>
        </w:rPr>
      </w:pPr>
    </w:p>
    <w:p w14:paraId="5B754AF6">
      <w:pPr>
        <w:keepNext w:val="0"/>
        <w:keepLines w:val="0"/>
        <w:pageBreakBefore w:val="0"/>
        <w:widowControl w:val="0"/>
        <w:numPr>
          <w:ilvl w:val="0"/>
          <w:numId w:val="0"/>
        </w:numPr>
        <w:kinsoku/>
        <w:wordWrap/>
        <w:overflowPunct/>
        <w:topLinePunct w:val="0"/>
        <w:autoSpaceDE/>
        <w:autoSpaceDN/>
        <w:bidi w:val="0"/>
        <w:snapToGrid/>
        <w:spacing w:beforeAutospacing="0" w:afterAutospacing="0" w:line="576" w:lineRule="exact"/>
        <w:jc w:val="both"/>
        <w:textAlignment w:val="auto"/>
        <w:outlineLvl w:val="1"/>
        <w:rPr>
          <w:rFonts w:hint="eastAsia" w:ascii="仿宋_GB2312" w:hAnsi="仿宋_GB2312" w:eastAsia="仿宋_GB2312" w:cs="仿宋_GB2312"/>
          <w:strike w:val="0"/>
          <w:dstrike w:val="0"/>
          <w:color w:val="auto"/>
          <w:kern w:val="0"/>
          <w:sz w:val="32"/>
          <w:szCs w:val="32"/>
          <w:shd w:val="clear" w:color="auto" w:fill="auto"/>
          <w:lang w:val="en-US" w:eastAsia="zh-CN" w:bidi="ar"/>
        </w:rPr>
      </w:pPr>
      <w:r>
        <w:rPr>
          <w:rFonts w:hint="eastAsia" w:ascii="仿宋_GB2312" w:hAnsi="仿宋_GB2312" w:eastAsia="仿宋_GB2312" w:cs="仿宋_GB2312"/>
          <w:strike w:val="0"/>
          <w:dstrike w:val="0"/>
          <w:color w:val="auto"/>
          <w:kern w:val="0"/>
          <w:sz w:val="32"/>
          <w:szCs w:val="32"/>
          <w:shd w:val="clear" w:color="auto" w:fill="auto"/>
          <w:lang w:val="en-US" w:eastAsia="zh-CN" w:bidi="ar"/>
        </w:rPr>
        <w:t xml:space="preserve"> </w:t>
      </w:r>
      <w:bookmarkStart w:id="55" w:name="_Toc11285"/>
      <w:r>
        <w:rPr>
          <w:rFonts w:hint="eastAsia" w:ascii="仿宋_GB2312" w:hAnsi="仿宋_GB2312" w:eastAsia="仿宋_GB2312" w:cs="仿宋_GB2312"/>
          <w:strike w:val="0"/>
          <w:dstrike w:val="0"/>
          <w:color w:val="auto"/>
          <w:kern w:val="0"/>
          <w:sz w:val="32"/>
          <w:szCs w:val="32"/>
          <w:shd w:val="clear" w:color="auto" w:fill="auto"/>
          <w:lang w:val="en-US" w:eastAsia="zh-CN" w:bidi="ar"/>
        </w:rPr>
        <w:t>1.财政拨款收入：指县级财政当年拨付的资金。</w:t>
      </w:r>
      <w:bookmarkEnd w:id="55"/>
      <w:r>
        <w:rPr>
          <w:rFonts w:hint="eastAsia" w:ascii="仿宋_GB2312" w:hAnsi="仿宋_GB2312" w:eastAsia="仿宋_GB2312" w:cs="仿宋_GB2312"/>
          <w:strike w:val="0"/>
          <w:dstrike w:val="0"/>
          <w:color w:val="auto"/>
          <w:kern w:val="0"/>
          <w:sz w:val="32"/>
          <w:szCs w:val="32"/>
          <w:shd w:val="clear" w:color="auto" w:fill="auto"/>
          <w:lang w:val="en-US" w:eastAsia="zh-CN" w:bidi="ar"/>
        </w:rPr>
        <w:t xml:space="preserve"> </w:t>
      </w:r>
    </w:p>
    <w:p w14:paraId="6A916734">
      <w:pPr>
        <w:keepNext w:val="0"/>
        <w:keepLines w:val="0"/>
        <w:pageBreakBefore w:val="0"/>
        <w:widowControl w:val="0"/>
        <w:numPr>
          <w:ilvl w:val="0"/>
          <w:numId w:val="0"/>
        </w:numPr>
        <w:kinsoku/>
        <w:wordWrap/>
        <w:overflowPunct/>
        <w:topLinePunct w:val="0"/>
        <w:autoSpaceDE/>
        <w:autoSpaceDN/>
        <w:bidi w:val="0"/>
        <w:snapToGrid/>
        <w:spacing w:beforeAutospacing="0" w:afterAutospacing="0" w:line="576" w:lineRule="exact"/>
        <w:jc w:val="both"/>
        <w:textAlignment w:val="auto"/>
        <w:rPr>
          <w:rFonts w:hint="eastAsia" w:ascii="仿宋_GB2312" w:hAnsi="仿宋_GB2312" w:eastAsia="仿宋_GB2312" w:cs="仿宋_GB2312"/>
          <w:strike w:val="0"/>
          <w:dstrike w:val="0"/>
          <w:color w:val="auto"/>
          <w:kern w:val="0"/>
          <w:sz w:val="32"/>
          <w:szCs w:val="32"/>
          <w:shd w:val="clear" w:color="auto" w:fill="auto"/>
          <w:lang w:val="en-US" w:eastAsia="zh-CN" w:bidi="ar"/>
        </w:rPr>
      </w:pPr>
      <w:r>
        <w:rPr>
          <w:rFonts w:hint="eastAsia" w:ascii="仿宋_GB2312" w:hAnsi="仿宋_GB2312" w:eastAsia="仿宋_GB2312" w:cs="仿宋_GB2312"/>
          <w:strike w:val="0"/>
          <w:dstrike w:val="0"/>
          <w:color w:val="auto"/>
          <w:kern w:val="0"/>
          <w:sz w:val="32"/>
          <w:szCs w:val="32"/>
          <w:shd w:val="clear" w:color="auto" w:fill="auto"/>
          <w:lang w:val="en-US" w:eastAsia="zh-CN" w:bidi="ar"/>
        </w:rPr>
        <w:t xml:space="preserve">　　2.年初结转和结余：指以前年度尚未完成、结转到本年按有关规定继续使用的资金。 </w:t>
      </w:r>
    </w:p>
    <w:p w14:paraId="7C7155A4">
      <w:pPr>
        <w:keepNext w:val="0"/>
        <w:keepLines w:val="0"/>
        <w:pageBreakBefore w:val="0"/>
        <w:widowControl w:val="0"/>
        <w:numPr>
          <w:ilvl w:val="0"/>
          <w:numId w:val="0"/>
        </w:numPr>
        <w:kinsoku/>
        <w:wordWrap/>
        <w:overflowPunct/>
        <w:topLinePunct w:val="0"/>
        <w:autoSpaceDE/>
        <w:autoSpaceDN/>
        <w:bidi w:val="0"/>
        <w:snapToGrid/>
        <w:spacing w:beforeAutospacing="0" w:afterAutospacing="0" w:line="576" w:lineRule="exact"/>
        <w:ind w:firstLine="669"/>
        <w:jc w:val="both"/>
        <w:textAlignment w:val="auto"/>
        <w:rPr>
          <w:rFonts w:hint="eastAsia" w:ascii="仿宋_GB2312" w:hAnsi="仿宋_GB2312" w:eastAsia="仿宋_GB2312" w:cs="仿宋_GB2312"/>
          <w:strike w:val="0"/>
          <w:dstrike w:val="0"/>
          <w:color w:val="auto"/>
          <w:kern w:val="0"/>
          <w:sz w:val="32"/>
          <w:szCs w:val="32"/>
          <w:shd w:val="clear" w:color="auto" w:fill="auto"/>
          <w:lang w:val="en-US" w:eastAsia="zh-CN" w:bidi="ar"/>
        </w:rPr>
      </w:pPr>
      <w:r>
        <w:rPr>
          <w:rFonts w:hint="eastAsia" w:ascii="仿宋_GB2312" w:hAnsi="仿宋_GB2312" w:eastAsia="仿宋_GB2312" w:cs="仿宋_GB2312"/>
          <w:strike w:val="0"/>
          <w:dstrike w:val="0"/>
          <w:color w:val="auto"/>
          <w:kern w:val="0"/>
          <w:sz w:val="32"/>
          <w:szCs w:val="32"/>
          <w:shd w:val="clear" w:color="auto" w:fill="auto"/>
          <w:lang w:val="en-US" w:eastAsia="zh-CN" w:bidi="ar"/>
        </w:rPr>
        <w:t xml:space="preserve">3.一般公共服务（类）201（款）03（项）01：指行政运行。（类）201（款）03（项）02：指一般行政管理事务。　　   </w:t>
      </w:r>
    </w:p>
    <w:p w14:paraId="035CCB30">
      <w:pPr>
        <w:keepNext w:val="0"/>
        <w:keepLines w:val="0"/>
        <w:pageBreakBefore w:val="0"/>
        <w:widowControl w:val="0"/>
        <w:numPr>
          <w:ilvl w:val="0"/>
          <w:numId w:val="0"/>
        </w:numPr>
        <w:kinsoku/>
        <w:wordWrap/>
        <w:overflowPunct/>
        <w:topLinePunct w:val="0"/>
        <w:autoSpaceDE/>
        <w:autoSpaceDN/>
        <w:bidi w:val="0"/>
        <w:snapToGrid/>
        <w:spacing w:beforeAutospacing="0" w:afterAutospacing="0" w:line="576" w:lineRule="exact"/>
        <w:ind w:firstLine="669"/>
        <w:jc w:val="both"/>
        <w:textAlignment w:val="auto"/>
        <w:rPr>
          <w:rFonts w:hint="eastAsia" w:ascii="仿宋_GB2312" w:hAnsi="仿宋_GB2312" w:eastAsia="仿宋_GB2312" w:cs="仿宋_GB2312"/>
          <w:strike w:val="0"/>
          <w:dstrike w:val="0"/>
          <w:color w:val="auto"/>
          <w:kern w:val="0"/>
          <w:sz w:val="32"/>
          <w:szCs w:val="32"/>
          <w:shd w:val="clear" w:color="auto" w:fill="auto"/>
          <w:lang w:val="en-US" w:eastAsia="zh-CN" w:bidi="ar"/>
        </w:rPr>
      </w:pPr>
      <w:r>
        <w:rPr>
          <w:rFonts w:hint="eastAsia" w:ascii="仿宋_GB2312" w:hAnsi="仿宋_GB2312" w:eastAsia="仿宋_GB2312" w:cs="仿宋_GB2312"/>
          <w:strike w:val="0"/>
          <w:dstrike w:val="0"/>
          <w:color w:val="auto"/>
          <w:kern w:val="0"/>
          <w:sz w:val="32"/>
          <w:szCs w:val="32"/>
          <w:shd w:val="clear" w:color="auto" w:fill="auto"/>
          <w:lang w:val="en-US" w:eastAsia="zh-CN" w:bidi="ar"/>
        </w:rPr>
        <w:t>4.社会保障和就业（类）208（款）05（项）05：指机关事业单位基本养老保险。（类）208（款）08（项）06：指机关事业单位职业年金缴费。</w:t>
      </w:r>
    </w:p>
    <w:p w14:paraId="2D8A7F12">
      <w:pPr>
        <w:keepNext w:val="0"/>
        <w:keepLines w:val="0"/>
        <w:pageBreakBefore w:val="0"/>
        <w:widowControl w:val="0"/>
        <w:numPr>
          <w:ilvl w:val="0"/>
          <w:numId w:val="0"/>
        </w:numPr>
        <w:kinsoku/>
        <w:wordWrap/>
        <w:overflowPunct/>
        <w:topLinePunct w:val="0"/>
        <w:autoSpaceDE/>
        <w:autoSpaceDN/>
        <w:bidi w:val="0"/>
        <w:snapToGrid/>
        <w:spacing w:beforeAutospacing="0" w:afterAutospacing="0" w:line="576" w:lineRule="exact"/>
        <w:jc w:val="both"/>
        <w:textAlignment w:val="auto"/>
        <w:rPr>
          <w:rFonts w:hint="eastAsia" w:ascii="仿宋_GB2312" w:hAnsi="仿宋_GB2312" w:eastAsia="仿宋_GB2312" w:cs="仿宋_GB2312"/>
          <w:strike w:val="0"/>
          <w:dstrike w:val="0"/>
          <w:color w:val="auto"/>
          <w:kern w:val="0"/>
          <w:sz w:val="32"/>
          <w:szCs w:val="32"/>
          <w:shd w:val="clear" w:color="auto" w:fill="auto"/>
          <w:lang w:val="en-US" w:eastAsia="zh-CN" w:bidi="ar"/>
        </w:rPr>
      </w:pPr>
      <w:r>
        <w:rPr>
          <w:rFonts w:hint="eastAsia" w:ascii="仿宋_GB2312" w:hAnsi="仿宋_GB2312" w:eastAsia="仿宋_GB2312" w:cs="仿宋_GB2312"/>
          <w:strike w:val="0"/>
          <w:dstrike w:val="0"/>
          <w:color w:val="auto"/>
          <w:kern w:val="0"/>
          <w:sz w:val="32"/>
          <w:szCs w:val="32"/>
          <w:shd w:val="clear" w:color="auto" w:fill="auto"/>
          <w:lang w:val="en-US" w:eastAsia="zh-CN" w:bidi="ar"/>
        </w:rPr>
        <w:t>　　5.医疗卫生与计划生育（类）210（款）11（项）01：指行政单位医疗。（类）210（款）11（项）03：指公务员医疗补助。</w:t>
      </w:r>
    </w:p>
    <w:p w14:paraId="4BC3FF75">
      <w:pPr>
        <w:keepNext w:val="0"/>
        <w:keepLines w:val="0"/>
        <w:pageBreakBefore w:val="0"/>
        <w:widowControl w:val="0"/>
        <w:numPr>
          <w:ilvl w:val="0"/>
          <w:numId w:val="0"/>
        </w:numPr>
        <w:kinsoku/>
        <w:wordWrap/>
        <w:overflowPunct/>
        <w:topLinePunct w:val="0"/>
        <w:autoSpaceDE/>
        <w:autoSpaceDN/>
        <w:bidi w:val="0"/>
        <w:snapToGrid/>
        <w:spacing w:beforeAutospacing="0" w:afterAutospacing="0" w:line="576" w:lineRule="exact"/>
        <w:jc w:val="both"/>
        <w:textAlignment w:val="auto"/>
        <w:rPr>
          <w:rFonts w:hint="eastAsia" w:ascii="仿宋_GB2312" w:hAnsi="仿宋_GB2312" w:eastAsia="仿宋_GB2312" w:cs="仿宋_GB2312"/>
          <w:strike w:val="0"/>
          <w:dstrike w:val="0"/>
          <w:color w:val="auto"/>
          <w:kern w:val="0"/>
          <w:sz w:val="32"/>
          <w:szCs w:val="32"/>
          <w:shd w:val="clear" w:color="auto" w:fill="auto"/>
          <w:lang w:val="en-US" w:eastAsia="zh-CN" w:bidi="ar"/>
        </w:rPr>
      </w:pPr>
      <w:r>
        <w:rPr>
          <w:rFonts w:hint="eastAsia" w:ascii="仿宋_GB2312" w:hAnsi="仿宋_GB2312" w:eastAsia="仿宋_GB2312" w:cs="仿宋_GB2312"/>
          <w:strike w:val="0"/>
          <w:dstrike w:val="0"/>
          <w:color w:val="auto"/>
          <w:kern w:val="0"/>
          <w:sz w:val="32"/>
          <w:szCs w:val="32"/>
          <w:shd w:val="clear" w:color="auto" w:fill="auto"/>
          <w:lang w:val="en-US" w:eastAsia="zh-CN" w:bidi="ar"/>
        </w:rPr>
        <w:t xml:space="preserve">　　7.住房保障（类）221（款）02（项）01：指住房公积金。 </w:t>
      </w:r>
    </w:p>
    <w:p w14:paraId="79095028">
      <w:pPr>
        <w:keepNext w:val="0"/>
        <w:keepLines w:val="0"/>
        <w:pageBreakBefore w:val="0"/>
        <w:widowControl w:val="0"/>
        <w:numPr>
          <w:ilvl w:val="0"/>
          <w:numId w:val="0"/>
        </w:numPr>
        <w:kinsoku/>
        <w:wordWrap/>
        <w:overflowPunct/>
        <w:topLinePunct w:val="0"/>
        <w:autoSpaceDE/>
        <w:autoSpaceDN/>
        <w:bidi w:val="0"/>
        <w:snapToGrid/>
        <w:spacing w:beforeAutospacing="0" w:afterAutospacing="0" w:line="576" w:lineRule="exact"/>
        <w:jc w:val="both"/>
        <w:textAlignment w:val="auto"/>
        <w:rPr>
          <w:rFonts w:hint="eastAsia" w:ascii="仿宋_GB2312" w:hAnsi="仿宋_GB2312" w:eastAsia="仿宋_GB2312" w:cs="仿宋_GB2312"/>
          <w:strike w:val="0"/>
          <w:dstrike w:val="0"/>
          <w:color w:val="auto"/>
          <w:kern w:val="0"/>
          <w:sz w:val="32"/>
          <w:szCs w:val="32"/>
          <w:shd w:val="clear" w:color="auto" w:fill="auto"/>
          <w:lang w:val="en-US" w:eastAsia="zh-CN" w:bidi="ar"/>
        </w:rPr>
      </w:pPr>
      <w:r>
        <w:rPr>
          <w:rFonts w:hint="eastAsia" w:ascii="仿宋_GB2312" w:hAnsi="仿宋_GB2312" w:eastAsia="仿宋_GB2312" w:cs="仿宋_GB2312"/>
          <w:strike w:val="0"/>
          <w:dstrike w:val="0"/>
          <w:color w:val="auto"/>
          <w:kern w:val="0"/>
          <w:sz w:val="32"/>
          <w:szCs w:val="32"/>
          <w:shd w:val="clear" w:color="auto" w:fill="auto"/>
          <w:lang w:val="en-US" w:eastAsia="zh-CN" w:bidi="ar"/>
        </w:rPr>
        <w:t xml:space="preserve">　　8.年末结转和结余：指本年度或以前年度预算安排、因客观条件发生变化无法按原计划实施，需延迟到以后年度按有关规定继续使用的资金。 </w:t>
      </w:r>
    </w:p>
    <w:p w14:paraId="5FEF95EB">
      <w:pPr>
        <w:keepNext w:val="0"/>
        <w:keepLines w:val="0"/>
        <w:pageBreakBefore w:val="0"/>
        <w:widowControl w:val="0"/>
        <w:numPr>
          <w:ilvl w:val="0"/>
          <w:numId w:val="0"/>
        </w:numPr>
        <w:kinsoku/>
        <w:wordWrap/>
        <w:overflowPunct/>
        <w:topLinePunct w:val="0"/>
        <w:autoSpaceDE/>
        <w:autoSpaceDN/>
        <w:bidi w:val="0"/>
        <w:snapToGrid/>
        <w:spacing w:beforeAutospacing="0" w:afterAutospacing="0" w:line="576" w:lineRule="exact"/>
        <w:jc w:val="both"/>
        <w:textAlignment w:val="auto"/>
        <w:rPr>
          <w:rFonts w:hint="eastAsia" w:ascii="仿宋_GB2312" w:hAnsi="仿宋_GB2312" w:eastAsia="仿宋_GB2312" w:cs="仿宋_GB2312"/>
          <w:strike w:val="0"/>
          <w:dstrike w:val="0"/>
          <w:color w:val="auto"/>
          <w:kern w:val="0"/>
          <w:sz w:val="32"/>
          <w:szCs w:val="32"/>
          <w:shd w:val="clear" w:color="auto" w:fill="auto"/>
          <w:lang w:val="en-US" w:eastAsia="zh-CN" w:bidi="ar"/>
        </w:rPr>
      </w:pPr>
      <w:r>
        <w:rPr>
          <w:rFonts w:hint="eastAsia" w:ascii="仿宋_GB2312" w:hAnsi="仿宋_GB2312" w:eastAsia="仿宋_GB2312" w:cs="仿宋_GB2312"/>
          <w:strike w:val="0"/>
          <w:dstrike w:val="0"/>
          <w:color w:val="auto"/>
          <w:kern w:val="0"/>
          <w:sz w:val="32"/>
          <w:szCs w:val="32"/>
          <w:shd w:val="clear" w:color="auto" w:fill="auto"/>
          <w:lang w:val="en-US" w:eastAsia="zh-CN" w:bidi="ar"/>
        </w:rPr>
        <w:t xml:space="preserve">　　9.基本支出：指为保障机构正常运转、完成日常工作任务而发生的人员支出和公用支出。 </w:t>
      </w:r>
    </w:p>
    <w:p w14:paraId="64074921">
      <w:pPr>
        <w:keepNext w:val="0"/>
        <w:keepLines w:val="0"/>
        <w:pageBreakBefore w:val="0"/>
        <w:widowControl w:val="0"/>
        <w:numPr>
          <w:ilvl w:val="0"/>
          <w:numId w:val="0"/>
        </w:numPr>
        <w:kinsoku/>
        <w:wordWrap/>
        <w:overflowPunct/>
        <w:topLinePunct w:val="0"/>
        <w:autoSpaceDE/>
        <w:autoSpaceDN/>
        <w:bidi w:val="0"/>
        <w:snapToGrid/>
        <w:spacing w:beforeAutospacing="0" w:afterAutospacing="0" w:line="576" w:lineRule="exact"/>
        <w:jc w:val="both"/>
        <w:textAlignment w:val="auto"/>
        <w:rPr>
          <w:rFonts w:hint="eastAsia" w:ascii="仿宋_GB2312" w:hAnsi="仿宋_GB2312" w:eastAsia="仿宋_GB2312" w:cs="仿宋_GB2312"/>
          <w:strike w:val="0"/>
          <w:dstrike w:val="0"/>
          <w:color w:val="auto"/>
          <w:kern w:val="0"/>
          <w:sz w:val="32"/>
          <w:szCs w:val="32"/>
          <w:shd w:val="clear" w:color="auto" w:fill="auto"/>
          <w:lang w:val="en-US" w:eastAsia="zh-CN" w:bidi="ar"/>
        </w:rPr>
      </w:pPr>
      <w:r>
        <w:rPr>
          <w:rFonts w:hint="eastAsia" w:ascii="仿宋_GB2312" w:hAnsi="仿宋_GB2312" w:eastAsia="仿宋_GB2312" w:cs="仿宋_GB2312"/>
          <w:strike w:val="0"/>
          <w:dstrike w:val="0"/>
          <w:color w:val="auto"/>
          <w:kern w:val="0"/>
          <w:sz w:val="32"/>
          <w:szCs w:val="32"/>
          <w:shd w:val="clear" w:color="auto" w:fill="auto"/>
          <w:lang w:val="en-US" w:eastAsia="zh-CN" w:bidi="ar"/>
        </w:rPr>
        <w:t xml:space="preserve">　　10.项目支出：指在基本支出之外为完成特定行政任务和事业发展目标所发生的支出。 </w:t>
      </w:r>
    </w:p>
    <w:p w14:paraId="008D5E0F">
      <w:pPr>
        <w:keepNext w:val="0"/>
        <w:keepLines w:val="0"/>
        <w:pageBreakBefore w:val="0"/>
        <w:widowControl w:val="0"/>
        <w:numPr>
          <w:ilvl w:val="0"/>
          <w:numId w:val="0"/>
        </w:numPr>
        <w:kinsoku/>
        <w:wordWrap/>
        <w:overflowPunct/>
        <w:topLinePunct w:val="0"/>
        <w:autoSpaceDE/>
        <w:autoSpaceDN/>
        <w:bidi w:val="0"/>
        <w:snapToGrid/>
        <w:spacing w:beforeAutospacing="0" w:afterAutospacing="0" w:line="576" w:lineRule="exact"/>
        <w:jc w:val="both"/>
        <w:textAlignment w:val="auto"/>
        <w:rPr>
          <w:rFonts w:hint="eastAsia" w:ascii="仿宋_GB2312" w:hAnsi="仿宋_GB2312" w:eastAsia="仿宋_GB2312" w:cs="仿宋_GB2312"/>
          <w:strike w:val="0"/>
          <w:dstrike w:val="0"/>
          <w:color w:val="auto"/>
          <w:kern w:val="0"/>
          <w:sz w:val="32"/>
          <w:szCs w:val="32"/>
          <w:shd w:val="clear" w:color="auto" w:fill="auto"/>
          <w:lang w:val="en-US" w:eastAsia="zh-CN" w:bidi="ar"/>
        </w:rPr>
      </w:pPr>
      <w:r>
        <w:rPr>
          <w:rFonts w:hint="eastAsia" w:ascii="仿宋_GB2312" w:hAnsi="仿宋_GB2312" w:eastAsia="仿宋_GB2312" w:cs="仿宋_GB2312"/>
          <w:strike w:val="0"/>
          <w:dstrike w:val="0"/>
          <w:color w:val="auto"/>
          <w:kern w:val="0"/>
          <w:sz w:val="32"/>
          <w:szCs w:val="32"/>
          <w:shd w:val="clear" w:color="auto" w:fill="auto"/>
          <w:lang w:val="en-US" w:eastAsia="zh-CN" w:bidi="ar"/>
        </w:rPr>
        <w:t xml:space="preserve">　　11.“三公”经费：纳入县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14:paraId="6580FBEF">
      <w:pPr>
        <w:keepNext w:val="0"/>
        <w:keepLines w:val="0"/>
        <w:pageBreakBefore w:val="0"/>
        <w:widowControl w:val="0"/>
        <w:numPr>
          <w:ilvl w:val="0"/>
          <w:numId w:val="0"/>
        </w:numPr>
        <w:kinsoku/>
        <w:wordWrap/>
        <w:overflowPunct/>
        <w:topLinePunct w:val="0"/>
        <w:autoSpaceDE/>
        <w:autoSpaceDN/>
        <w:bidi w:val="0"/>
        <w:snapToGrid/>
        <w:spacing w:beforeAutospacing="0" w:afterAutospacing="0" w:line="576" w:lineRule="exact"/>
        <w:ind w:firstLine="644"/>
        <w:jc w:val="both"/>
        <w:textAlignment w:val="auto"/>
        <w:rPr>
          <w:rFonts w:hint="eastAsia" w:ascii="仿宋_GB2312" w:hAnsi="仿宋_GB2312" w:eastAsia="仿宋_GB2312" w:cs="仿宋_GB2312"/>
          <w:strike w:val="0"/>
          <w:dstrike w:val="0"/>
          <w:color w:val="auto"/>
          <w:kern w:val="0"/>
          <w:sz w:val="32"/>
          <w:szCs w:val="32"/>
          <w:shd w:val="clear" w:color="auto" w:fill="auto"/>
          <w:lang w:val="en-US" w:eastAsia="zh-CN" w:bidi="ar"/>
        </w:rPr>
      </w:pPr>
      <w:r>
        <w:rPr>
          <w:rFonts w:hint="eastAsia" w:ascii="仿宋_GB2312" w:hAnsi="仿宋_GB2312" w:eastAsia="仿宋_GB2312" w:cs="仿宋_GB2312"/>
          <w:strike w:val="0"/>
          <w:dstrike w:val="0"/>
          <w:color w:val="auto"/>
          <w:kern w:val="0"/>
          <w:sz w:val="32"/>
          <w:szCs w:val="32"/>
          <w:shd w:val="clear" w:color="auto" w:fill="auto"/>
          <w:lang w:val="en-US" w:eastAsia="zh-CN" w:bidi="ar"/>
        </w:rPr>
        <w:t>12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4D690D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98697C0">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6" w:name="_Toc15396618"/>
      <w:bookmarkStart w:id="57" w:name="_Toc15377226"/>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76C2ECC4">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eastAsia="黑体"/>
          <w:b w:val="0"/>
          <w:color w:val="auto"/>
          <w:highlight w:val="none"/>
          <w:lang w:val="en-US" w:eastAsia="zh-CN"/>
        </w:rPr>
        <w:t>四</w:t>
      </w:r>
      <w:r>
        <w:rPr>
          <w:rStyle w:val="29"/>
          <w:rFonts w:hint="eastAsia" w:ascii="Times New Roman" w:hAnsi="Times New Roman" w:eastAsia="黑体"/>
          <w:b w:val="0"/>
          <w:color w:val="auto"/>
          <w:highlight w:val="none"/>
        </w:rPr>
        <w:t>部分 附表</w:t>
      </w:r>
      <w:bookmarkEnd w:id="56"/>
      <w:bookmarkEnd w:id="57"/>
      <w:bookmarkStart w:id="58" w:name="_Toc15396619"/>
    </w:p>
    <w:p w14:paraId="05E561F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A5FDC0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8"/>
    </w:p>
    <w:p w14:paraId="7188389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0"/>
      <w:r>
        <w:rPr>
          <w:rFonts w:hint="eastAsia" w:ascii="Times New Roman" w:hAnsi="Times New Roman" w:eastAsia="仿宋_GB2312" w:cs="仿宋_GB2312"/>
          <w:color w:val="auto"/>
          <w:sz w:val="32"/>
          <w:szCs w:val="32"/>
          <w:highlight w:val="none"/>
        </w:rPr>
        <w:t>二、收入决算表</w:t>
      </w:r>
      <w:bookmarkEnd w:id="59"/>
    </w:p>
    <w:p w14:paraId="1A7472C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1"/>
      <w:r>
        <w:rPr>
          <w:rFonts w:hint="eastAsia" w:ascii="Times New Roman" w:hAnsi="Times New Roman" w:eastAsia="仿宋_GB2312" w:cs="仿宋_GB2312"/>
          <w:color w:val="auto"/>
          <w:sz w:val="32"/>
          <w:szCs w:val="32"/>
          <w:highlight w:val="none"/>
        </w:rPr>
        <w:t>三、支出决算表</w:t>
      </w:r>
      <w:bookmarkEnd w:id="60"/>
    </w:p>
    <w:p w14:paraId="2F2CE90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2"/>
      <w:r>
        <w:rPr>
          <w:rFonts w:hint="eastAsia" w:ascii="Times New Roman" w:hAnsi="Times New Roman" w:eastAsia="仿宋_GB2312" w:cs="仿宋_GB2312"/>
          <w:color w:val="auto"/>
          <w:sz w:val="32"/>
          <w:szCs w:val="32"/>
          <w:highlight w:val="none"/>
        </w:rPr>
        <w:t>四、财政拨款收入支出决算总表</w:t>
      </w:r>
      <w:bookmarkEnd w:id="61"/>
    </w:p>
    <w:p w14:paraId="77CBC5E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3"/>
      <w:r>
        <w:rPr>
          <w:rFonts w:hint="eastAsia" w:ascii="Times New Roman" w:hAnsi="Times New Roman" w:eastAsia="仿宋_GB2312" w:cs="仿宋_GB2312"/>
          <w:color w:val="auto"/>
          <w:sz w:val="32"/>
          <w:szCs w:val="32"/>
          <w:highlight w:val="none"/>
        </w:rPr>
        <w:t>五、财政拨款支出决算明细表</w:t>
      </w:r>
      <w:bookmarkEnd w:id="62"/>
      <w:bookmarkStart w:id="63" w:name="_Toc15396624"/>
    </w:p>
    <w:p w14:paraId="1854333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3"/>
    </w:p>
    <w:p w14:paraId="391EFAA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5"/>
      <w:r>
        <w:rPr>
          <w:rFonts w:hint="eastAsia" w:ascii="Times New Roman" w:hAnsi="Times New Roman" w:eastAsia="仿宋_GB2312" w:cs="仿宋_GB2312"/>
          <w:color w:val="auto"/>
          <w:sz w:val="32"/>
          <w:szCs w:val="32"/>
          <w:highlight w:val="none"/>
        </w:rPr>
        <w:t>七、一般公共预算财政拨款支出决算明细表</w:t>
      </w:r>
      <w:bookmarkEnd w:id="64"/>
    </w:p>
    <w:p w14:paraId="79DA669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6"/>
      <w:r>
        <w:rPr>
          <w:rFonts w:hint="eastAsia" w:ascii="Times New Roman" w:hAnsi="Times New Roman" w:eastAsia="仿宋_GB2312" w:cs="仿宋_GB2312"/>
          <w:color w:val="auto"/>
          <w:sz w:val="32"/>
          <w:szCs w:val="32"/>
          <w:highlight w:val="none"/>
        </w:rPr>
        <w:t>八、一般公共预算财政拨款基本支出决算表</w:t>
      </w:r>
      <w:bookmarkEnd w:id="65"/>
    </w:p>
    <w:p w14:paraId="21AB51F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7"/>
      <w:r>
        <w:rPr>
          <w:rFonts w:hint="eastAsia" w:ascii="Times New Roman" w:hAnsi="Times New Roman" w:eastAsia="仿宋_GB2312" w:cs="仿宋_GB2312"/>
          <w:color w:val="auto"/>
          <w:sz w:val="32"/>
          <w:szCs w:val="32"/>
          <w:highlight w:val="none"/>
        </w:rPr>
        <w:t>九、一般公共预算财政拨款项目支出决算表</w:t>
      </w:r>
      <w:bookmarkEnd w:id="66"/>
    </w:p>
    <w:p w14:paraId="2D1B6AF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8"/>
      <w:r>
        <w:rPr>
          <w:rFonts w:hint="eastAsia" w:ascii="Times New Roman" w:hAnsi="Times New Roman" w:eastAsia="仿宋_GB2312" w:cs="仿宋_GB2312"/>
          <w:color w:val="auto"/>
          <w:sz w:val="32"/>
          <w:szCs w:val="32"/>
          <w:highlight w:val="none"/>
        </w:rPr>
        <w:t>十、</w:t>
      </w:r>
      <w:bookmarkEnd w:id="67"/>
      <w:r>
        <w:rPr>
          <w:rFonts w:hint="eastAsia" w:ascii="Times New Roman" w:hAnsi="Times New Roman" w:eastAsia="仿宋_GB2312" w:cs="仿宋_GB2312"/>
          <w:color w:val="auto"/>
          <w:sz w:val="32"/>
          <w:szCs w:val="32"/>
          <w:highlight w:val="none"/>
        </w:rPr>
        <w:t>政府性基金预算财政拨款收入支出决算表</w:t>
      </w:r>
    </w:p>
    <w:p w14:paraId="583CA85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9"/>
      <w:r>
        <w:rPr>
          <w:rFonts w:hint="eastAsia" w:ascii="Times New Roman" w:hAnsi="Times New Roman" w:eastAsia="仿宋_GB2312" w:cs="仿宋_GB2312"/>
          <w:color w:val="auto"/>
          <w:sz w:val="32"/>
          <w:szCs w:val="32"/>
          <w:highlight w:val="none"/>
        </w:rPr>
        <w:t>十一、</w:t>
      </w:r>
      <w:bookmarkEnd w:id="6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06CF8C2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30"/>
      <w:r>
        <w:rPr>
          <w:rFonts w:hint="eastAsia" w:ascii="Times New Roman" w:hAnsi="Times New Roman" w:eastAsia="仿宋_GB2312" w:cs="仿宋_GB2312"/>
          <w:color w:val="auto"/>
          <w:sz w:val="32"/>
          <w:szCs w:val="32"/>
          <w:highlight w:val="none"/>
        </w:rPr>
        <w:t>十二、</w:t>
      </w:r>
      <w:bookmarkEnd w:id="69"/>
      <w:r>
        <w:rPr>
          <w:rFonts w:hint="eastAsia" w:ascii="Times New Roman" w:hAnsi="Times New Roman" w:eastAsia="仿宋_GB2312" w:cs="仿宋_GB2312"/>
          <w:color w:val="auto"/>
          <w:sz w:val="32"/>
          <w:szCs w:val="32"/>
          <w:highlight w:val="none"/>
          <w:lang w:eastAsia="zh-CN"/>
        </w:rPr>
        <w:t>国有资本经营预算财政拨款支出决算表</w:t>
      </w:r>
    </w:p>
    <w:p w14:paraId="6C3C789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0" w:name="_Toc15396631"/>
      <w:r>
        <w:rPr>
          <w:rFonts w:hint="eastAsia" w:ascii="Times New Roman" w:hAnsi="Times New Roman" w:eastAsia="仿宋_GB2312" w:cs="仿宋_GB2312"/>
          <w:color w:val="auto"/>
          <w:sz w:val="32"/>
          <w:szCs w:val="32"/>
          <w:highlight w:val="none"/>
        </w:rPr>
        <w:t>十三、</w:t>
      </w:r>
      <w:bookmarkEnd w:id="70"/>
      <w:r>
        <w:rPr>
          <w:rFonts w:hint="eastAsia" w:ascii="Times New Roman" w:hAnsi="Times New Roman" w:eastAsia="仿宋_GB2312" w:cs="仿宋_GB2312"/>
          <w:color w:val="auto"/>
          <w:sz w:val="32"/>
          <w:szCs w:val="32"/>
          <w:highlight w:val="none"/>
          <w:lang w:eastAsia="zh-CN"/>
        </w:rPr>
        <w:t>财政拨款“三公”经费支出决算表</w:t>
      </w:r>
    </w:p>
    <w:p w14:paraId="4C734AF7">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58009FF-B2A4-4FF2-BD47-37E7FCC9D55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CFBF7CCA-CF77-41AF-AE64-1979D5144341}"/>
  </w:font>
  <w:font w:name="仿宋">
    <w:panose1 w:val="02010609060101010101"/>
    <w:charset w:val="86"/>
    <w:family w:val="modern"/>
    <w:pitch w:val="default"/>
    <w:sig w:usb0="800002BF" w:usb1="38CF7CFA" w:usb2="00000016" w:usb3="00000000" w:csb0="00040001" w:csb1="00000000"/>
    <w:embedRegular r:id="rId3" w:fontKey="{B7B3AAE4-39EE-48B8-8B58-9ED928FB215A}"/>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1142CC15-6F1E-420A-95A9-92051B6BA4D2}"/>
  </w:font>
  <w:font w:name="楷体_GB2312">
    <w:panose1 w:val="02010609030101010101"/>
    <w:charset w:val="86"/>
    <w:family w:val="auto"/>
    <w:pitch w:val="default"/>
    <w:sig w:usb0="00000001" w:usb1="080E0000" w:usb2="00000000" w:usb3="00000000" w:csb0="00040000" w:csb1="00000000"/>
    <w:embedRegular r:id="rId5" w:fontKey="{85F80B68-01E9-4FAE-A4CF-04A06ADF6A8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12D66">
    <w:pPr>
      <w:pStyle w:val="9"/>
      <w:jc w:val="center"/>
    </w:pPr>
  </w:p>
  <w:p w14:paraId="5EA0A046">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6F501">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29030C">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129030C">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BDCD9">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3A2520"/>
    <w:multiLevelType w:val="singleLevel"/>
    <w:tmpl w:val="E83A2520"/>
    <w:lvl w:ilvl="0" w:tentative="0">
      <w:start w:val="1"/>
      <w:numFmt w:val="chineseCounting"/>
      <w:suff w:val="nothing"/>
      <w:lvlText w:val="%1、"/>
      <w:lvlJc w:val="left"/>
      <w:rPr>
        <w:rFonts w:hint="eastAsia"/>
      </w:rPr>
    </w:lvl>
  </w:abstractNum>
  <w:abstractNum w:abstractNumId="1">
    <w:nsid w:val="22783185"/>
    <w:multiLevelType w:val="singleLevel"/>
    <w:tmpl w:val="22783185"/>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9C64410"/>
    <w:rsid w:val="0A2032A3"/>
    <w:rsid w:val="0BFF6105"/>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6F6145E"/>
    <w:rsid w:val="186504BB"/>
    <w:rsid w:val="1938089F"/>
    <w:rsid w:val="19A445FC"/>
    <w:rsid w:val="1B7D550C"/>
    <w:rsid w:val="1BE8440E"/>
    <w:rsid w:val="1D155CEE"/>
    <w:rsid w:val="1DE178F3"/>
    <w:rsid w:val="1E275B19"/>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6DE12F2"/>
    <w:rsid w:val="376B6AA6"/>
    <w:rsid w:val="376D39B2"/>
    <w:rsid w:val="37E16F03"/>
    <w:rsid w:val="37F53A3B"/>
    <w:rsid w:val="389B6C89"/>
    <w:rsid w:val="38D469F0"/>
    <w:rsid w:val="39627CCD"/>
    <w:rsid w:val="397BAF1F"/>
    <w:rsid w:val="3AB79AF3"/>
    <w:rsid w:val="3B7EF35A"/>
    <w:rsid w:val="3B9FDB6C"/>
    <w:rsid w:val="3BEE2B16"/>
    <w:rsid w:val="3BF5BC2F"/>
    <w:rsid w:val="3CEBA265"/>
    <w:rsid w:val="3D98207C"/>
    <w:rsid w:val="3D9B0D99"/>
    <w:rsid w:val="3DEE7CF3"/>
    <w:rsid w:val="3DF02244"/>
    <w:rsid w:val="3E78745D"/>
    <w:rsid w:val="3FF4CAE0"/>
    <w:rsid w:val="3FF7B227"/>
    <w:rsid w:val="40E54C45"/>
    <w:rsid w:val="41313393"/>
    <w:rsid w:val="42BD4000"/>
    <w:rsid w:val="43A407DF"/>
    <w:rsid w:val="43B01385"/>
    <w:rsid w:val="44515BEA"/>
    <w:rsid w:val="44E268DA"/>
    <w:rsid w:val="452F6D54"/>
    <w:rsid w:val="453F7E5B"/>
    <w:rsid w:val="486A6C7A"/>
    <w:rsid w:val="48DD6139"/>
    <w:rsid w:val="49176D9B"/>
    <w:rsid w:val="494006BD"/>
    <w:rsid w:val="4A627F82"/>
    <w:rsid w:val="4B0E749A"/>
    <w:rsid w:val="4B4F25DA"/>
    <w:rsid w:val="4BDA0CFB"/>
    <w:rsid w:val="4BE068DB"/>
    <w:rsid w:val="4D3C0CCC"/>
    <w:rsid w:val="4D577224"/>
    <w:rsid w:val="4DBF1CEB"/>
    <w:rsid w:val="4EAB630A"/>
    <w:rsid w:val="4ECE2238"/>
    <w:rsid w:val="4F0B2212"/>
    <w:rsid w:val="4F833267"/>
    <w:rsid w:val="4FE9BD67"/>
    <w:rsid w:val="4FFB052F"/>
    <w:rsid w:val="53083A92"/>
    <w:rsid w:val="537E6D0A"/>
    <w:rsid w:val="53AF27A2"/>
    <w:rsid w:val="53F74C96"/>
    <w:rsid w:val="56410092"/>
    <w:rsid w:val="56E47B74"/>
    <w:rsid w:val="5731558C"/>
    <w:rsid w:val="57BD3DD4"/>
    <w:rsid w:val="5AF92295"/>
    <w:rsid w:val="5BDD79E6"/>
    <w:rsid w:val="5BF561CA"/>
    <w:rsid w:val="5BFF5DFC"/>
    <w:rsid w:val="5C264C0F"/>
    <w:rsid w:val="5CD71FC4"/>
    <w:rsid w:val="5D1F11B5"/>
    <w:rsid w:val="5DAE1B18"/>
    <w:rsid w:val="5DE7D9E5"/>
    <w:rsid w:val="5EAC4ED9"/>
    <w:rsid w:val="5ECEC941"/>
    <w:rsid w:val="5F493CB7"/>
    <w:rsid w:val="5FBF9FF3"/>
    <w:rsid w:val="5FCD4E2C"/>
    <w:rsid w:val="5FD15F49"/>
    <w:rsid w:val="5FEF394A"/>
    <w:rsid w:val="5FF67715"/>
    <w:rsid w:val="60DB22E9"/>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A629B1"/>
    <w:rsid w:val="6FCE6052"/>
    <w:rsid w:val="6FD57C00"/>
    <w:rsid w:val="6FEFFFD8"/>
    <w:rsid w:val="6FF5CC65"/>
    <w:rsid w:val="6FFB47EC"/>
    <w:rsid w:val="6FFF034A"/>
    <w:rsid w:val="70496804"/>
    <w:rsid w:val="707676B0"/>
    <w:rsid w:val="712A28F1"/>
    <w:rsid w:val="715C0E4B"/>
    <w:rsid w:val="7197758D"/>
    <w:rsid w:val="71D517EE"/>
    <w:rsid w:val="72233669"/>
    <w:rsid w:val="72734D90"/>
    <w:rsid w:val="72B72780"/>
    <w:rsid w:val="72DE1397"/>
    <w:rsid w:val="7332FE48"/>
    <w:rsid w:val="73AB61DA"/>
    <w:rsid w:val="73AD73D5"/>
    <w:rsid w:val="73B65637"/>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2"/>
    <w:semiHidden/>
    <w:unhideWhenUsed/>
    <w:qFormat/>
    <w:uiPriority w:val="99"/>
    <w:rPr>
      <w:sz w:val="18"/>
      <w:szCs w:val="18"/>
    </w:rPr>
  </w:style>
  <w:style w:type="paragraph" w:styleId="9">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footnote text"/>
    <w:basedOn w:val="1"/>
    <w:next w:val="13"/>
    <w:semiHidden/>
    <w:qFormat/>
    <w:uiPriority w:val="0"/>
    <w:pPr>
      <w:snapToGrid w:val="0"/>
      <w:jc w:val="left"/>
    </w:pPr>
    <w:rPr>
      <w:sz w:val="18"/>
      <w:szCs w:val="18"/>
    </w:rPr>
  </w:style>
  <w:style w:type="paragraph" w:styleId="13">
    <w:name w:val="Body Text First Indent 2"/>
    <w:basedOn w:val="6"/>
    <w:unhideWhenUsed/>
    <w:qFormat/>
    <w:uiPriority w:val="99"/>
    <w:pPr>
      <w:ind w:firstLine="420" w:firstLineChars="200"/>
    </w:pPr>
  </w:style>
  <w:style w:type="paragraph" w:styleId="14">
    <w:name w:val="table of figures"/>
    <w:basedOn w:val="1"/>
    <w:next w:val="1"/>
    <w:qFormat/>
    <w:uiPriority w:val="0"/>
    <w:pPr>
      <w:spacing w:before="100" w:beforeAutospacing="1" w:after="100" w:afterAutospacing="1"/>
      <w:ind w:left="400" w:leftChars="200" w:hanging="200" w:hangingChars="200"/>
    </w:pPr>
    <w:rPr>
      <w:rFonts w:ascii="Calibri" w:hAnsi="Calibri" w:eastAsia="宋体" w:cs="Times New Roman"/>
      <w:kern w:val="0"/>
      <w:sz w:val="20"/>
      <w:szCs w:val="21"/>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0"/>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9"/>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8"/>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f85ddc1a-6292-43ef-8b91-00bbc4103324</errorID>
      <errorWord>（</errorWord>
      <group>L1_Punc</group>
      <groupName>标点问题</groupName>
      <ability>L2_Punc_CN</ability>
      <abilityName>标点符号问题</abilityName>
      <candidateList/>
      <explain>同一形式括号套用。</explain>
      <paraID>6D7BDBB8</paraID>
      <start>32</start>
      <end>33</end>
      <status>ignored</status>
      <modifiedWord/>
      <trackRevisions>false</trackRevisions>
    </reviewItem>
    <reviewItem>
      <errorID>5e79c1f4-d4ac-4cac-b47c-7c62890c9abf</errorID>
      <errorWord>）</errorWord>
      <group>L1_Punc</group>
      <groupName>标点问题</groupName>
      <ability>L2_Punc_CN</ability>
      <abilityName>标点符号问题</abilityName>
      <candidateList/>
      <explain>同一形式括号套用。</explain>
      <paraID>6D7BDBB8</paraID>
      <start>34</start>
      <end>35</end>
      <status>ignored</status>
      <modifiedWord/>
      <trackRevisions>false</trackRevisions>
    </reviewItem>
    <reviewItem>
      <errorID>0d6ed96e-23a7-48fd-bf85-ba9bdf2475b8</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5DC0006A</paraID>
      <start>64</start>
      <end>70</end>
      <status>modified</status>
      <modifiedWord>“三公”经费</modifiedWord>
      <trackRevisions>false</trackRevisions>
    </reviewItem>
    <reviewItem>
      <errorID>4d5645a3-da16-4edc-9f83-bd890414aa61</errorID>
      <errorWord>主要用于主要用于</errorWord>
      <group>L1_Word</group>
      <groupName>字词问题</groupName>
      <ability>L2_Typo</ability>
      <abilityName>字词错误</abilityName>
      <candidateList>
        <item>主要用于</item>
      </candidateList>
      <explain/>
      <paraID>13A5EA71</paraID>
      <start>87</start>
      <end>91</end>
      <status>modified</status>
      <modifiedWord>主要用于</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f98b6ad-535c-47b1-a189-3b3aa9876bfe}">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15</Pages>
  <Words>5043</Words>
  <Characters>5560</Characters>
  <Lines>61</Lines>
  <Paragraphs>17</Paragraphs>
  <TotalTime>2</TotalTime>
  <ScaleCrop>false</ScaleCrop>
  <LinksUpToDate>false</LinksUpToDate>
  <CharactersWithSpaces>5608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2026-10-08T08:55:00Z</cp:lastPrinted>
  <dcterms:modified xsi:type="dcterms:W3CDTF">2026-10-09T03:06:45Z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