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191B4">
      <w:pPr>
        <w:spacing w:line="600" w:lineRule="exact"/>
        <w:jc w:val="center"/>
        <w:outlineLvl w:val="0"/>
        <w:rPr>
          <w:rFonts w:ascii="方正小标宋简体" w:hAnsi="宋体" w:eastAsia="方正小标宋简体"/>
          <w:color w:val="000000"/>
          <w:sz w:val="72"/>
          <w:szCs w:val="72"/>
        </w:rPr>
      </w:pPr>
      <w:bookmarkStart w:id="0" w:name="_Toc15306267"/>
      <w:bookmarkStart w:id="162" w:name="_GoBack"/>
      <w:bookmarkEnd w:id="162"/>
    </w:p>
    <w:p w14:paraId="281D93B2">
      <w:pPr>
        <w:spacing w:line="600" w:lineRule="exact"/>
        <w:jc w:val="center"/>
        <w:outlineLvl w:val="0"/>
        <w:rPr>
          <w:rFonts w:ascii="方正小标宋简体" w:hAnsi="宋体" w:eastAsia="方正小标宋简体"/>
          <w:color w:val="000000"/>
          <w:sz w:val="72"/>
          <w:szCs w:val="72"/>
        </w:rPr>
      </w:pPr>
    </w:p>
    <w:p w14:paraId="4B489997">
      <w:pPr>
        <w:spacing w:line="600" w:lineRule="exact"/>
        <w:jc w:val="center"/>
        <w:outlineLvl w:val="0"/>
        <w:rPr>
          <w:rFonts w:ascii="方正小标宋简体" w:hAnsi="宋体" w:eastAsia="方正小标宋简体"/>
          <w:color w:val="000000"/>
          <w:sz w:val="72"/>
          <w:szCs w:val="72"/>
        </w:rPr>
      </w:pPr>
    </w:p>
    <w:p w14:paraId="49BCC6BE">
      <w:pPr>
        <w:jc w:val="center"/>
        <w:rPr>
          <w:rFonts w:ascii="黑体" w:hAnsi="黑体" w:eastAsia="黑体"/>
          <w:sz w:val="72"/>
          <w:szCs w:val="72"/>
        </w:rPr>
      </w:pPr>
      <w:bookmarkStart w:id="1" w:name="_Toc15378441"/>
      <w:bookmarkStart w:id="2" w:name="_Toc15377193"/>
      <w:bookmarkStart w:id="3" w:name="_Toc15377425"/>
      <w:bookmarkStart w:id="4" w:name="_Toc15396475"/>
      <w:bookmarkStart w:id="5" w:name="_Toc15396597"/>
      <w:r>
        <w:rPr>
          <w:rFonts w:ascii="黑体" w:hAnsi="黑体" w:eastAsia="黑体"/>
          <w:sz w:val="72"/>
          <w:szCs w:val="72"/>
        </w:rPr>
        <w:t>202</w:t>
      </w:r>
      <w:r>
        <w:rPr>
          <w:rFonts w:hint="eastAsia" w:ascii="黑体" w:hAnsi="黑体" w:eastAsia="黑体"/>
          <w:sz w:val="72"/>
          <w:szCs w:val="72"/>
        </w:rPr>
        <w:t>1年度</w:t>
      </w:r>
      <w:bookmarkEnd w:id="1"/>
      <w:bookmarkEnd w:id="2"/>
      <w:bookmarkEnd w:id="3"/>
      <w:bookmarkEnd w:id="4"/>
      <w:bookmarkEnd w:id="5"/>
    </w:p>
    <w:p w14:paraId="6ABC1592">
      <w:pPr>
        <w:jc w:val="center"/>
        <w:rPr>
          <w:rFonts w:ascii="方正小标宋简体" w:eastAsia="方正小标宋简体"/>
          <w:sz w:val="72"/>
          <w:szCs w:val="72"/>
        </w:rPr>
      </w:pPr>
      <w:bookmarkStart w:id="6" w:name="_Toc15396476"/>
      <w:bookmarkStart w:id="7" w:name="_Toc15377194"/>
      <w:bookmarkStart w:id="8" w:name="_Toc15378442"/>
      <w:bookmarkStart w:id="9" w:name="_Toc15396598"/>
      <w:bookmarkStart w:id="10" w:name="_Toc15377426"/>
      <w:r>
        <w:rPr>
          <w:rFonts w:hint="eastAsia" w:ascii="方正小标宋简体" w:eastAsia="方正小标宋简体"/>
          <w:sz w:val="72"/>
          <w:szCs w:val="72"/>
        </w:rPr>
        <w:t>四川省阿坝州松潘县</w:t>
      </w:r>
      <w:bookmarkEnd w:id="0"/>
      <w:bookmarkStart w:id="11" w:name="_Toc15306268"/>
      <w:r>
        <w:rPr>
          <w:rFonts w:hint="eastAsia" w:ascii="方正小标宋简体" w:eastAsia="方正小标宋简体"/>
          <w:sz w:val="72"/>
          <w:szCs w:val="72"/>
          <w:lang w:eastAsia="zh-CN"/>
        </w:rPr>
        <w:t>发展和改革局</w:t>
      </w:r>
      <w:r>
        <w:rPr>
          <w:rFonts w:hint="eastAsia" w:ascii="方正小标宋简体" w:eastAsia="方正小标宋简体"/>
          <w:sz w:val="72"/>
          <w:szCs w:val="72"/>
        </w:rPr>
        <w:t>部门决算</w:t>
      </w:r>
      <w:bookmarkEnd w:id="6"/>
      <w:bookmarkEnd w:id="7"/>
      <w:bookmarkEnd w:id="8"/>
      <w:bookmarkEnd w:id="9"/>
      <w:bookmarkEnd w:id="10"/>
      <w:bookmarkEnd w:id="11"/>
    </w:p>
    <w:p w14:paraId="53109E8E">
      <w:pPr>
        <w:rPr>
          <w:rFonts w:ascii="方正小标宋简体" w:hAnsi="宋体" w:eastAsia="方正小标宋简体"/>
          <w:sz w:val="36"/>
          <w:szCs w:val="36"/>
        </w:rPr>
      </w:pPr>
    </w:p>
    <w:p w14:paraId="2DB90CDB">
      <w:pPr>
        <w:rPr>
          <w:rFonts w:ascii="方正小标宋简体" w:hAnsi="宋体" w:eastAsia="方正小标宋简体"/>
          <w:sz w:val="36"/>
          <w:szCs w:val="36"/>
        </w:rPr>
      </w:pPr>
    </w:p>
    <w:p w14:paraId="38EC4192">
      <w:pPr>
        <w:rPr>
          <w:rFonts w:ascii="方正小标宋简体" w:hAnsi="宋体" w:eastAsia="方正小标宋简体"/>
          <w:sz w:val="36"/>
          <w:szCs w:val="36"/>
        </w:rPr>
      </w:pPr>
    </w:p>
    <w:p w14:paraId="77BE7D0F">
      <w:pPr>
        <w:rPr>
          <w:rFonts w:ascii="方正小标宋简体" w:hAnsi="宋体" w:eastAsia="方正小标宋简体"/>
          <w:sz w:val="36"/>
          <w:szCs w:val="36"/>
        </w:rPr>
      </w:pPr>
    </w:p>
    <w:p w14:paraId="03A2B251">
      <w:pPr>
        <w:rPr>
          <w:rFonts w:ascii="方正小标宋简体" w:hAnsi="宋体" w:eastAsia="方正小标宋简体"/>
          <w:sz w:val="36"/>
          <w:szCs w:val="36"/>
        </w:rPr>
      </w:pPr>
    </w:p>
    <w:p w14:paraId="5C8D3C1B">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保密审查情况：已审查，内容审定</w:t>
      </w:r>
    </w:p>
    <w:p w14:paraId="423F4E40">
      <w:pPr>
        <w:autoSpaceDE w:val="0"/>
        <w:autoSpaceDN w:val="0"/>
        <w:adjustRightInd w:val="0"/>
        <w:ind w:left="420" w:leftChars="200"/>
        <w:jc w:val="left"/>
        <w:rPr>
          <w:rFonts w:ascii="宋体" w:hAnsi="宋体"/>
          <w:sz w:val="32"/>
          <w:szCs w:val="32"/>
        </w:rPr>
      </w:pPr>
      <w:r>
        <w:rPr>
          <w:rFonts w:hint="eastAsia" w:ascii="宋体" w:hAnsi="宋体" w:cs="仿宋_GB2312"/>
          <w:sz w:val="32"/>
          <w:szCs w:val="32"/>
        </w:rPr>
        <w:t>部门主要负责人审签情况：已审签，同意对外公开</w:t>
      </w:r>
    </w:p>
    <w:p w14:paraId="76ED9020">
      <w:pPr>
        <w:widowControl/>
        <w:jc w:val="center"/>
        <w:rPr>
          <w:rFonts w:ascii="方正小标宋简体" w:hAnsi="宋体" w:eastAsia="方正小标宋简体"/>
          <w:color w:val="000000"/>
          <w:sz w:val="36"/>
          <w:szCs w:val="36"/>
        </w:rPr>
      </w:pPr>
    </w:p>
    <w:p w14:paraId="1F6E2A0D">
      <w:pPr>
        <w:widowControl/>
        <w:jc w:val="center"/>
        <w:rPr>
          <w:rFonts w:ascii="黑体" w:hAnsi="黑体" w:eastAsia="黑体"/>
          <w:color w:val="000000"/>
          <w:sz w:val="48"/>
          <w:szCs w:val="48"/>
        </w:rPr>
      </w:pPr>
      <w:r>
        <w:rPr>
          <w:rFonts w:ascii="方正小标宋简体" w:hAnsi="宋体" w:eastAsia="方正小标宋简体"/>
          <w:sz w:val="36"/>
          <w:szCs w:val="36"/>
        </w:rPr>
        <w:br w:type="page"/>
      </w:r>
      <w:r>
        <w:rPr>
          <w:rFonts w:hint="eastAsia" w:ascii="黑体" w:hAnsi="黑体" w:eastAsia="黑体"/>
          <w:color w:val="000000"/>
          <w:sz w:val="48"/>
          <w:szCs w:val="48"/>
        </w:rPr>
        <w:t>目录</w:t>
      </w:r>
    </w:p>
    <w:p w14:paraId="51A8E9A7">
      <w:pPr>
        <w:pStyle w:val="15"/>
        <w:jc w:val="center"/>
        <w:rPr>
          <w:rFonts w:hAnsiTheme="minorHAnsi"/>
          <w:b w:val="0"/>
          <w:bCs w:val="0"/>
          <w:sz w:val="24"/>
          <w:szCs w:val="24"/>
        </w:rPr>
      </w:pPr>
      <w:r>
        <w:rPr>
          <w:rFonts w:hint="eastAsia" w:hAnsiTheme="minorHAnsi"/>
          <w:b w:val="0"/>
          <w:bCs w:val="0"/>
          <w:sz w:val="24"/>
          <w:szCs w:val="24"/>
        </w:rPr>
        <w:t>公开时间：2022年</w:t>
      </w:r>
      <w:r>
        <w:rPr>
          <w:rFonts w:hint="eastAsia" w:hAnsiTheme="minorHAnsi"/>
          <w:b w:val="0"/>
          <w:bCs w:val="0"/>
          <w:sz w:val="24"/>
          <w:szCs w:val="24"/>
          <w:lang w:val="en-US" w:eastAsia="zh-CN"/>
        </w:rPr>
        <w:t>9</w:t>
      </w:r>
      <w:r>
        <w:rPr>
          <w:rFonts w:hint="eastAsia" w:hAnsiTheme="minorHAnsi"/>
          <w:b w:val="0"/>
          <w:bCs w:val="0"/>
          <w:sz w:val="24"/>
          <w:szCs w:val="24"/>
        </w:rPr>
        <w:t>月</w:t>
      </w:r>
      <w:r>
        <w:rPr>
          <w:rFonts w:hint="eastAsia" w:hAnsiTheme="minorHAnsi"/>
          <w:b w:val="0"/>
          <w:bCs w:val="0"/>
          <w:sz w:val="24"/>
          <w:szCs w:val="24"/>
          <w:lang w:val="en-US" w:eastAsia="zh-CN"/>
        </w:rPr>
        <w:t>23</w:t>
      </w:r>
      <w:r>
        <w:rPr>
          <w:rFonts w:hint="eastAsia" w:hAnsiTheme="minorHAnsi"/>
          <w:b w:val="0"/>
          <w:bCs w:val="0"/>
          <w:sz w:val="24"/>
          <w:szCs w:val="24"/>
        </w:rPr>
        <w:t>日</w:t>
      </w:r>
    </w:p>
    <w:p w14:paraId="7AE96AFC">
      <w:pPr>
        <w:pStyle w:val="15"/>
        <w:tabs>
          <w:tab w:val="right" w:leader="dot" w:pos="8296"/>
        </w:tabs>
        <w:rPr>
          <w:rFonts w:hAnsiTheme="minorHAnsi" w:eastAsiaTheme="minorEastAsia" w:cstheme="minorBidi"/>
          <w:b w:val="0"/>
          <w:bCs w:val="0"/>
          <w:caps w:val="0"/>
          <w:sz w:val="21"/>
          <w:szCs w:val="22"/>
        </w:rPr>
      </w:pPr>
      <w:r>
        <w:rPr>
          <w:b w:val="0"/>
          <w:bCs w:val="0"/>
          <w:caps w:val="0"/>
        </w:rPr>
        <w:fldChar w:fldCharType="begin"/>
      </w:r>
      <w:r>
        <w:rPr>
          <w:b w:val="0"/>
          <w:bCs w:val="0"/>
          <w:caps w:val="0"/>
        </w:rPr>
        <w:instrText xml:space="preserve"> TOC \o \u </w:instrText>
      </w:r>
      <w:r>
        <w:rPr>
          <w:b w:val="0"/>
          <w:bCs w:val="0"/>
          <w:caps w:val="0"/>
        </w:rPr>
        <w:fldChar w:fldCharType="separate"/>
      </w:r>
      <w:r>
        <w:rPr>
          <w:rFonts w:ascii="黑体" w:hAnsi="黑体" w:eastAsia="黑体"/>
          <w:b w:val="0"/>
        </w:rPr>
        <w:t xml:space="preserve">第一部分 </w:t>
      </w:r>
      <w:r>
        <w:rPr>
          <w:rFonts w:ascii="黑体" w:hAnsi="黑体" w:eastAsia="黑体"/>
          <w:b w:val="0"/>
          <w:bCs w:val="0"/>
        </w:rPr>
        <w:t>部门概况</w:t>
      </w:r>
      <w:r>
        <w:tab/>
      </w:r>
      <w:r>
        <w:fldChar w:fldCharType="begin"/>
      </w:r>
      <w:r>
        <w:instrText xml:space="preserve"> PAGEREF _Toc79163851 \h </w:instrText>
      </w:r>
      <w:r>
        <w:fldChar w:fldCharType="separate"/>
      </w:r>
      <w:r>
        <w:t>5</w:t>
      </w:r>
      <w:r>
        <w:fldChar w:fldCharType="end"/>
      </w:r>
    </w:p>
    <w:p w14:paraId="232F0927">
      <w:pPr>
        <w:pStyle w:val="18"/>
        <w:tabs>
          <w:tab w:val="right" w:leader="dot" w:pos="8296"/>
        </w:tabs>
        <w:rPr>
          <w:rFonts w:hAnsiTheme="minorHAnsi" w:eastAsiaTheme="minorEastAsia" w:cstheme="minorBidi"/>
          <w:smallCaps w:val="0"/>
          <w:sz w:val="21"/>
          <w:szCs w:val="22"/>
        </w:rPr>
      </w:pPr>
      <w:r>
        <w:rPr>
          <w:rFonts w:ascii="黑体" w:hAnsi="黑体" w:eastAsia="黑体"/>
          <w:color w:val="000000"/>
        </w:rPr>
        <w:t>一、基</w:t>
      </w:r>
      <w:r>
        <w:rPr>
          <w:rFonts w:ascii="黑体" w:hAnsi="黑体" w:eastAsia="黑体"/>
        </w:rPr>
        <w:t>本职能及主要工作</w:t>
      </w:r>
      <w:r>
        <w:tab/>
      </w:r>
      <w:r>
        <w:fldChar w:fldCharType="begin"/>
      </w:r>
      <w:r>
        <w:instrText xml:space="preserve"> PAGEREF _Toc79163852 \h </w:instrText>
      </w:r>
      <w:r>
        <w:fldChar w:fldCharType="separate"/>
      </w:r>
      <w:r>
        <w:t>5</w:t>
      </w:r>
      <w:r>
        <w:fldChar w:fldCharType="end"/>
      </w:r>
    </w:p>
    <w:p w14:paraId="7F16CF16">
      <w:pPr>
        <w:pStyle w:val="10"/>
        <w:tabs>
          <w:tab w:val="right" w:leader="dot" w:pos="8296"/>
        </w:tabs>
        <w:rPr>
          <w:rFonts w:hAnsiTheme="minorHAnsi" w:eastAsiaTheme="minorEastAsia" w:cstheme="minorBidi"/>
          <w:i w:val="0"/>
          <w:iCs w:val="0"/>
          <w:sz w:val="21"/>
          <w:szCs w:val="22"/>
        </w:rPr>
      </w:pPr>
      <w:r>
        <w:rPr>
          <w:rFonts w:ascii="仿宋" w:hAnsi="仿宋" w:eastAsia="仿宋"/>
          <w:bCs/>
          <w:color w:val="000000"/>
        </w:rPr>
        <w:t>（一）主要职能。</w:t>
      </w:r>
      <w:r>
        <w:tab/>
      </w:r>
      <w:r>
        <w:fldChar w:fldCharType="begin"/>
      </w:r>
      <w:r>
        <w:instrText xml:space="preserve"> PAGEREF _Toc79163853 \h </w:instrText>
      </w:r>
      <w:r>
        <w:fldChar w:fldCharType="separate"/>
      </w:r>
      <w:r>
        <w:t>5</w:t>
      </w:r>
      <w:r>
        <w:fldChar w:fldCharType="end"/>
      </w:r>
    </w:p>
    <w:p w14:paraId="0946C8A8">
      <w:pPr>
        <w:pStyle w:val="10"/>
        <w:tabs>
          <w:tab w:val="right" w:leader="dot" w:pos="8296"/>
        </w:tabs>
        <w:rPr>
          <w:rFonts w:hAnsiTheme="minorHAnsi" w:eastAsiaTheme="minorEastAsia" w:cstheme="minorBidi"/>
          <w:i w:val="0"/>
          <w:iCs w:val="0"/>
          <w:sz w:val="21"/>
          <w:szCs w:val="22"/>
        </w:rPr>
      </w:pPr>
      <w:r>
        <w:rPr>
          <w:rFonts w:ascii="仿宋" w:hAnsi="仿宋" w:eastAsia="仿宋"/>
          <w:bCs/>
          <w:color w:val="000000"/>
        </w:rPr>
        <w:t>（二）2</w:t>
      </w:r>
      <w:r>
        <w:rPr>
          <w:rFonts w:hint="eastAsia" w:ascii="仿宋" w:hAnsi="仿宋" w:eastAsia="仿宋"/>
          <w:bCs/>
          <w:color w:val="000000"/>
          <w:lang w:val="en-US" w:eastAsia="zh-CN"/>
        </w:rPr>
        <w:t>021</w:t>
      </w:r>
      <w:r>
        <w:rPr>
          <w:rFonts w:ascii="仿宋" w:hAnsi="仿宋" w:eastAsia="仿宋"/>
          <w:bCs/>
          <w:color w:val="000000"/>
        </w:rPr>
        <w:t>年重点工作完成情况。</w:t>
      </w:r>
      <w:r>
        <w:tab/>
      </w:r>
      <w:r>
        <w:fldChar w:fldCharType="begin"/>
      </w:r>
      <w:r>
        <w:instrText xml:space="preserve"> PAGEREF _Toc79163854 \h </w:instrText>
      </w:r>
      <w:r>
        <w:fldChar w:fldCharType="separate"/>
      </w:r>
      <w:r>
        <w:t>5</w:t>
      </w:r>
      <w:r>
        <w:fldChar w:fldCharType="end"/>
      </w:r>
    </w:p>
    <w:p w14:paraId="1CA08122">
      <w:pPr>
        <w:pStyle w:val="18"/>
        <w:tabs>
          <w:tab w:val="right" w:leader="dot" w:pos="8296"/>
        </w:tabs>
        <w:rPr>
          <w:rFonts w:hAnsiTheme="minorHAnsi" w:eastAsiaTheme="minorEastAsia" w:cstheme="minorBidi"/>
          <w:i w:val="0"/>
          <w:iCs w:val="0"/>
          <w:sz w:val="21"/>
          <w:szCs w:val="22"/>
        </w:rPr>
      </w:pPr>
      <w:r>
        <w:rPr>
          <w:rFonts w:ascii="黑体" w:eastAsia="黑体"/>
          <w:color w:val="000000"/>
        </w:rPr>
        <w:t>二、</w:t>
      </w:r>
      <w:r>
        <w:rPr>
          <w:rFonts w:ascii="黑体" w:hAnsi="黑体" w:eastAsia="黑体"/>
          <w:color w:val="000000"/>
        </w:rPr>
        <w:t>机</w:t>
      </w:r>
      <w:r>
        <w:rPr>
          <w:rFonts w:ascii="黑体" w:hAnsi="黑体" w:eastAsia="黑体"/>
        </w:rPr>
        <w:t>构设置</w:t>
      </w:r>
      <w:r>
        <w:tab/>
      </w:r>
      <w:r>
        <w:fldChar w:fldCharType="begin"/>
      </w:r>
      <w:r>
        <w:instrText xml:space="preserve"> PAGEREF _Toc79163855 \h </w:instrText>
      </w:r>
      <w:r>
        <w:fldChar w:fldCharType="separate"/>
      </w:r>
      <w:r>
        <w:t>13</w:t>
      </w:r>
      <w:r>
        <w:fldChar w:fldCharType="end"/>
      </w:r>
    </w:p>
    <w:p w14:paraId="6482D61C">
      <w:pPr>
        <w:pStyle w:val="15"/>
        <w:tabs>
          <w:tab w:val="right" w:leader="dot" w:pos="8296"/>
        </w:tabs>
        <w:rPr>
          <w:rFonts w:hAnsiTheme="minorHAnsi" w:eastAsiaTheme="minorEastAsia" w:cstheme="minorBidi"/>
          <w:b w:val="0"/>
          <w:bCs w:val="0"/>
          <w:caps w:val="0"/>
          <w:sz w:val="21"/>
          <w:szCs w:val="22"/>
        </w:rPr>
      </w:pPr>
      <w:r>
        <w:rPr>
          <w:rFonts w:ascii="黑体" w:hAnsi="黑体" w:eastAsia="黑体"/>
          <w:b w:val="0"/>
          <w:color w:val="000000"/>
        </w:rPr>
        <w:t>第二部分</w:t>
      </w:r>
      <w:r>
        <w:rPr>
          <w:rFonts w:ascii="黑体" w:hAnsi="黑体" w:eastAsia="黑体"/>
          <w:color w:val="000000"/>
        </w:rPr>
        <w:t xml:space="preserve"> </w:t>
      </w:r>
      <w:r>
        <w:rPr>
          <w:rFonts w:ascii="黑体" w:hAnsi="黑体" w:eastAsia="黑体"/>
          <w:b w:val="0"/>
          <w:bCs w:val="0"/>
        </w:rPr>
        <w:t>202</w:t>
      </w:r>
      <w:r>
        <w:rPr>
          <w:rFonts w:hint="eastAsia" w:ascii="黑体" w:hAnsi="黑体" w:eastAsia="黑体"/>
          <w:b w:val="0"/>
          <w:bCs w:val="0"/>
          <w:lang w:val="en-US" w:eastAsia="zh-CN"/>
        </w:rPr>
        <w:t>1</w:t>
      </w:r>
      <w:r>
        <w:rPr>
          <w:rFonts w:ascii="黑体" w:hAnsi="黑体" w:eastAsia="黑体"/>
          <w:b w:val="0"/>
          <w:bCs w:val="0"/>
        </w:rPr>
        <w:t>年度部门决算情况说明</w:t>
      </w:r>
      <w:r>
        <w:tab/>
      </w:r>
      <w:r>
        <w:fldChar w:fldCharType="begin"/>
      </w:r>
      <w:r>
        <w:instrText xml:space="preserve"> PAGEREF _Toc79163859 \h </w:instrText>
      </w:r>
      <w:r>
        <w:fldChar w:fldCharType="separate"/>
      </w:r>
      <w:r>
        <w:t>15</w:t>
      </w:r>
      <w:r>
        <w:fldChar w:fldCharType="end"/>
      </w:r>
    </w:p>
    <w:p w14:paraId="7F70C19A">
      <w:pPr>
        <w:pStyle w:val="18"/>
        <w:tabs>
          <w:tab w:val="left" w:pos="840"/>
          <w:tab w:val="right" w:leader="dot" w:pos="8296"/>
        </w:tabs>
        <w:rPr>
          <w:rFonts w:hAnsiTheme="minorHAnsi" w:eastAsiaTheme="minorEastAsia" w:cstheme="minorBidi"/>
          <w:smallCaps w:val="0"/>
          <w:sz w:val="21"/>
          <w:szCs w:val="22"/>
        </w:rPr>
      </w:pPr>
      <w:r>
        <w:rPr>
          <w:rFonts w:ascii="黑体" w:hAnsi="黑体" w:eastAsia="黑体"/>
          <w:bCs/>
        </w:rPr>
        <w:t>一、</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入支出决算总体情况说明</w:t>
      </w:r>
      <w:r>
        <w:tab/>
      </w:r>
      <w:r>
        <w:fldChar w:fldCharType="begin"/>
      </w:r>
      <w:r>
        <w:instrText xml:space="preserve"> PAGEREF _Toc79163860 \h </w:instrText>
      </w:r>
      <w:r>
        <w:fldChar w:fldCharType="separate"/>
      </w:r>
      <w:r>
        <w:t>15</w:t>
      </w:r>
      <w:r>
        <w:fldChar w:fldCharType="end"/>
      </w:r>
    </w:p>
    <w:p w14:paraId="23F79940">
      <w:pPr>
        <w:pStyle w:val="18"/>
        <w:tabs>
          <w:tab w:val="left" w:pos="840"/>
          <w:tab w:val="right" w:leader="dot" w:pos="8296"/>
        </w:tabs>
        <w:rPr>
          <w:rFonts w:hAnsiTheme="minorHAnsi" w:eastAsiaTheme="minorEastAsia" w:cstheme="minorBidi"/>
          <w:smallCaps w:val="0"/>
          <w:sz w:val="21"/>
          <w:szCs w:val="22"/>
        </w:rPr>
      </w:pPr>
      <w:r>
        <w:rPr>
          <w:rFonts w:ascii="黑体" w:hAnsi="黑体" w:eastAsia="黑体"/>
          <w:bCs/>
        </w:rPr>
        <w:t>二、</w:t>
      </w:r>
      <w:r>
        <w:rPr>
          <w:rFonts w:hAnsiTheme="minorHAnsi" w:eastAsiaTheme="minorEastAsia" w:cstheme="minorBidi"/>
          <w:smallCaps w:val="0"/>
          <w:sz w:val="21"/>
          <w:szCs w:val="22"/>
        </w:rPr>
        <w:tab/>
      </w:r>
      <w:r>
        <w:rPr>
          <w:rFonts w:ascii="黑体" w:hAnsi="黑体" w:eastAsia="黑体"/>
          <w:color w:val="000000"/>
        </w:rPr>
        <w:t>收</w:t>
      </w:r>
      <w:r>
        <w:rPr>
          <w:rFonts w:ascii="黑体" w:hAnsi="黑体" w:eastAsia="黑体"/>
          <w:bCs/>
        </w:rPr>
        <w:t>入决算情况说明</w:t>
      </w:r>
      <w:r>
        <w:tab/>
      </w:r>
      <w:r>
        <w:fldChar w:fldCharType="begin"/>
      </w:r>
      <w:r>
        <w:instrText xml:space="preserve"> PAGEREF _Toc79163861 \h </w:instrText>
      </w:r>
      <w:r>
        <w:fldChar w:fldCharType="separate"/>
      </w:r>
      <w:r>
        <w:t>15</w:t>
      </w:r>
      <w:r>
        <w:fldChar w:fldCharType="end"/>
      </w:r>
    </w:p>
    <w:p w14:paraId="1CF5CA19">
      <w:pPr>
        <w:pStyle w:val="18"/>
        <w:tabs>
          <w:tab w:val="left" w:pos="840"/>
          <w:tab w:val="right" w:leader="dot" w:pos="8296"/>
        </w:tabs>
        <w:rPr>
          <w:rFonts w:hAnsiTheme="minorHAnsi" w:eastAsiaTheme="minorEastAsia" w:cstheme="minorBidi"/>
          <w:smallCaps w:val="0"/>
          <w:sz w:val="21"/>
          <w:szCs w:val="22"/>
        </w:rPr>
      </w:pPr>
      <w:r>
        <w:rPr>
          <w:rFonts w:ascii="黑体" w:hAnsi="黑体" w:eastAsia="黑体"/>
          <w:bCs/>
        </w:rPr>
        <w:t>三、</w:t>
      </w:r>
      <w:r>
        <w:rPr>
          <w:rFonts w:hAnsiTheme="minorHAnsi" w:eastAsiaTheme="minorEastAsia" w:cstheme="minorBidi"/>
          <w:smallCaps w:val="0"/>
          <w:sz w:val="21"/>
          <w:szCs w:val="22"/>
        </w:rPr>
        <w:tab/>
      </w:r>
      <w:r>
        <w:rPr>
          <w:rFonts w:ascii="黑体" w:hAnsi="黑体" w:eastAsia="黑体"/>
          <w:color w:val="000000"/>
        </w:rPr>
        <w:t>支</w:t>
      </w:r>
      <w:r>
        <w:rPr>
          <w:rFonts w:ascii="黑体" w:hAnsi="黑体" w:eastAsia="黑体"/>
          <w:bCs/>
        </w:rPr>
        <w:t>出决算情况说明</w:t>
      </w:r>
      <w:r>
        <w:tab/>
      </w:r>
      <w:r>
        <w:fldChar w:fldCharType="begin"/>
      </w:r>
      <w:r>
        <w:instrText xml:space="preserve"> PAGEREF _Toc79163862 \h </w:instrText>
      </w:r>
      <w:r>
        <w:fldChar w:fldCharType="separate"/>
      </w:r>
      <w:r>
        <w:t>15</w:t>
      </w:r>
      <w:r>
        <w:fldChar w:fldCharType="end"/>
      </w:r>
    </w:p>
    <w:p w14:paraId="132D7090">
      <w:pPr>
        <w:pStyle w:val="18"/>
        <w:tabs>
          <w:tab w:val="right" w:leader="dot" w:pos="8296"/>
        </w:tabs>
        <w:rPr>
          <w:rFonts w:hAnsiTheme="minorHAnsi" w:eastAsiaTheme="minorEastAsia" w:cstheme="minorBidi"/>
          <w:smallCaps w:val="0"/>
          <w:sz w:val="21"/>
          <w:szCs w:val="22"/>
        </w:rPr>
      </w:pPr>
      <w:r>
        <w:rPr>
          <w:rFonts w:ascii="黑体" w:hAnsi="黑体" w:eastAsia="黑体"/>
          <w:color w:val="000000"/>
        </w:rPr>
        <w:t>四、财</w:t>
      </w:r>
      <w:r>
        <w:rPr>
          <w:rFonts w:ascii="黑体" w:hAnsi="黑体" w:eastAsia="黑体"/>
          <w:bCs/>
        </w:rPr>
        <w:t>政拨款收入支出决算总体情况说明</w:t>
      </w:r>
      <w:r>
        <w:tab/>
      </w:r>
      <w:r>
        <w:fldChar w:fldCharType="begin"/>
      </w:r>
      <w:r>
        <w:instrText xml:space="preserve"> PAGEREF _Toc79163863 \h </w:instrText>
      </w:r>
      <w:r>
        <w:fldChar w:fldCharType="separate"/>
      </w:r>
      <w:r>
        <w:t>15</w:t>
      </w:r>
      <w:r>
        <w:fldChar w:fldCharType="end"/>
      </w:r>
    </w:p>
    <w:p w14:paraId="46329652">
      <w:pPr>
        <w:pStyle w:val="18"/>
        <w:tabs>
          <w:tab w:val="right" w:leader="dot" w:pos="8296"/>
        </w:tabs>
        <w:rPr>
          <w:rFonts w:hAnsiTheme="minorHAnsi" w:eastAsiaTheme="minorEastAsia" w:cstheme="minorBidi"/>
          <w:smallCaps w:val="0"/>
          <w:sz w:val="21"/>
          <w:szCs w:val="22"/>
        </w:rPr>
      </w:pPr>
      <w:r>
        <w:rPr>
          <w:rFonts w:ascii="黑体" w:hAnsi="黑体" w:eastAsia="黑体"/>
          <w:color w:val="000000"/>
        </w:rPr>
        <w:t>五、</w:t>
      </w:r>
      <w:r>
        <w:rPr>
          <w:rFonts w:ascii="黑体" w:hAnsi="黑体" w:eastAsia="黑体"/>
          <w:b/>
          <w:color w:val="000000"/>
        </w:rPr>
        <w:t>一</w:t>
      </w:r>
      <w:r>
        <w:rPr>
          <w:rFonts w:ascii="黑体" w:hAnsi="黑体" w:eastAsia="黑体"/>
          <w:bCs/>
        </w:rPr>
        <w:t>般公共预算财政拨款支出决算情况说明</w:t>
      </w:r>
      <w:r>
        <w:tab/>
      </w:r>
      <w:r>
        <w:fldChar w:fldCharType="begin"/>
      </w:r>
      <w:r>
        <w:instrText xml:space="preserve"> PAGEREF _Toc79163864 \h </w:instrText>
      </w:r>
      <w:r>
        <w:fldChar w:fldCharType="separate"/>
      </w:r>
      <w:r>
        <w:t>16</w:t>
      </w:r>
      <w:r>
        <w:fldChar w:fldCharType="end"/>
      </w:r>
    </w:p>
    <w:p w14:paraId="1E2C9C1D">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（一）一般公共预算财政拨款支出决算总体情况</w:t>
      </w:r>
      <w:r>
        <w:tab/>
      </w:r>
      <w:r>
        <w:fldChar w:fldCharType="begin"/>
      </w:r>
      <w:r>
        <w:instrText xml:space="preserve"> PAGEREF _Toc79163865 \h </w:instrText>
      </w:r>
      <w:r>
        <w:fldChar w:fldCharType="separate"/>
      </w:r>
      <w:r>
        <w:t>16</w:t>
      </w:r>
      <w:r>
        <w:fldChar w:fldCharType="end"/>
      </w:r>
    </w:p>
    <w:p w14:paraId="23E861D9">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（二）一般公共预算财政拨款支出决算结构情况</w:t>
      </w:r>
      <w:r>
        <w:tab/>
      </w:r>
      <w:r>
        <w:fldChar w:fldCharType="begin"/>
      </w:r>
      <w:r>
        <w:instrText xml:space="preserve"> PAGEREF _Toc79163866 \h </w:instrText>
      </w:r>
      <w:r>
        <w:fldChar w:fldCharType="separate"/>
      </w:r>
      <w:r>
        <w:t>16</w:t>
      </w:r>
      <w:r>
        <w:fldChar w:fldCharType="end"/>
      </w:r>
    </w:p>
    <w:p w14:paraId="0440EBF5">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（三）一般公共预算财政拨款支出决算具体情况</w:t>
      </w:r>
      <w:r>
        <w:tab/>
      </w:r>
      <w:r>
        <w:fldChar w:fldCharType="begin"/>
      </w:r>
      <w:r>
        <w:instrText xml:space="preserve"> PAGEREF _Toc79163867 \h </w:instrText>
      </w:r>
      <w:r>
        <w:fldChar w:fldCharType="separate"/>
      </w:r>
      <w:r>
        <w:t>16</w:t>
      </w:r>
      <w:r>
        <w:fldChar w:fldCharType="end"/>
      </w:r>
    </w:p>
    <w:p w14:paraId="32FA80CF">
      <w:pPr>
        <w:pStyle w:val="18"/>
        <w:tabs>
          <w:tab w:val="right" w:leader="dot" w:pos="8296"/>
        </w:tabs>
        <w:rPr>
          <w:rFonts w:hAnsiTheme="minorHAnsi" w:eastAsiaTheme="minorEastAsia" w:cstheme="minorBidi"/>
          <w:smallCaps w:val="0"/>
          <w:sz w:val="21"/>
          <w:szCs w:val="22"/>
        </w:rPr>
      </w:pPr>
      <w:r>
        <w:rPr>
          <w:rFonts w:ascii="黑体" w:eastAsia="黑体"/>
          <w:color w:val="000000"/>
        </w:rPr>
        <w:t>六</w:t>
      </w:r>
      <w:r>
        <w:rPr>
          <w:rFonts w:ascii="黑体" w:eastAsia="黑体"/>
          <w:b/>
          <w:color w:val="000000"/>
        </w:rPr>
        <w:t>、</w:t>
      </w:r>
      <w:r>
        <w:rPr>
          <w:rFonts w:ascii="黑体" w:hAnsi="黑体" w:eastAsia="黑体"/>
          <w:b/>
          <w:color w:val="000000"/>
        </w:rPr>
        <w:t>一</w:t>
      </w:r>
      <w:r>
        <w:rPr>
          <w:rFonts w:ascii="黑体" w:hAnsi="黑体" w:eastAsia="黑体"/>
          <w:bCs/>
        </w:rPr>
        <w:t>般公共预算财政拨款基本支出决算情况说明</w:t>
      </w:r>
      <w:r>
        <w:tab/>
      </w:r>
      <w:r>
        <w:fldChar w:fldCharType="begin"/>
      </w:r>
      <w:r>
        <w:instrText xml:space="preserve"> PAGEREF _Toc79163868 \h </w:instrText>
      </w:r>
      <w:r>
        <w:fldChar w:fldCharType="separate"/>
      </w:r>
      <w:r>
        <w:t>17</w:t>
      </w:r>
      <w:r>
        <w:fldChar w:fldCharType="end"/>
      </w:r>
    </w:p>
    <w:p w14:paraId="7E1C685C">
      <w:pPr>
        <w:pStyle w:val="18"/>
        <w:tabs>
          <w:tab w:val="right" w:leader="dot" w:pos="8296"/>
        </w:tabs>
        <w:rPr>
          <w:rFonts w:hAnsiTheme="minorHAnsi" w:eastAsiaTheme="minorEastAsia" w:cstheme="minorBidi"/>
          <w:smallCaps w:val="0"/>
          <w:sz w:val="21"/>
          <w:szCs w:val="22"/>
        </w:rPr>
      </w:pPr>
      <w:r>
        <w:rPr>
          <w:rFonts w:ascii="黑体" w:eastAsia="黑体"/>
          <w:color w:val="000000"/>
        </w:rPr>
        <w:t>七、</w:t>
      </w:r>
      <w:r>
        <w:rPr>
          <w:rFonts w:ascii="黑体" w:hAnsi="黑体" w:eastAsia="黑体"/>
          <w:b/>
          <w:bCs/>
        </w:rPr>
        <w:t>“</w:t>
      </w:r>
      <w:r>
        <w:rPr>
          <w:rFonts w:ascii="黑体" w:hAnsi="黑体" w:eastAsia="黑体"/>
          <w:bCs/>
        </w:rPr>
        <w:t>三公”经费财政拨款支出决算情况说明</w:t>
      </w:r>
      <w:r>
        <w:tab/>
      </w:r>
      <w:r>
        <w:fldChar w:fldCharType="begin"/>
      </w:r>
      <w:r>
        <w:instrText xml:space="preserve"> PAGEREF _Toc79163869 \h </w:instrText>
      </w:r>
      <w:r>
        <w:fldChar w:fldCharType="separate"/>
      </w:r>
      <w:r>
        <w:t>18</w:t>
      </w:r>
      <w:r>
        <w:fldChar w:fldCharType="end"/>
      </w:r>
    </w:p>
    <w:p w14:paraId="05DBC5A0">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（一）“三公”经费财政拨款支出决算总体情况说明</w:t>
      </w:r>
      <w:r>
        <w:tab/>
      </w:r>
      <w:r>
        <w:fldChar w:fldCharType="begin"/>
      </w:r>
      <w:r>
        <w:instrText xml:space="preserve"> PAGEREF _Toc79163870 \h </w:instrText>
      </w:r>
      <w:r>
        <w:fldChar w:fldCharType="separate"/>
      </w:r>
      <w:r>
        <w:t>18</w:t>
      </w:r>
      <w:r>
        <w:fldChar w:fldCharType="end"/>
      </w:r>
    </w:p>
    <w:p w14:paraId="1D3DC92A">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（二）“三公”经费财政拨款支出决算具体情况说明</w:t>
      </w:r>
      <w:r>
        <w:tab/>
      </w:r>
      <w:r>
        <w:fldChar w:fldCharType="begin"/>
      </w:r>
      <w:r>
        <w:instrText xml:space="preserve"> PAGEREF _Toc79163871 \h </w:instrText>
      </w:r>
      <w:r>
        <w:fldChar w:fldCharType="separate"/>
      </w:r>
      <w:r>
        <w:t>18</w:t>
      </w:r>
      <w:r>
        <w:fldChar w:fldCharType="end"/>
      </w:r>
    </w:p>
    <w:p w14:paraId="1EEAF942">
      <w:pPr>
        <w:pStyle w:val="18"/>
        <w:tabs>
          <w:tab w:val="right" w:leader="dot" w:pos="8296"/>
        </w:tabs>
        <w:rPr>
          <w:rFonts w:hAnsiTheme="minorHAnsi" w:eastAsiaTheme="minorEastAsia" w:cstheme="minorBidi"/>
          <w:smallCaps w:val="0"/>
          <w:sz w:val="21"/>
          <w:szCs w:val="22"/>
        </w:rPr>
      </w:pPr>
      <w:r>
        <w:rPr>
          <w:rFonts w:ascii="黑体" w:eastAsia="黑体"/>
          <w:color w:val="000000"/>
        </w:rPr>
        <w:t>八、</w:t>
      </w:r>
      <w:r>
        <w:rPr>
          <w:rFonts w:ascii="黑体" w:hAnsi="黑体" w:eastAsia="黑体"/>
          <w:bCs/>
        </w:rPr>
        <w:t>政府性基金预算支出决算情况说明</w:t>
      </w:r>
      <w:r>
        <w:tab/>
      </w:r>
      <w:r>
        <w:fldChar w:fldCharType="begin"/>
      </w:r>
      <w:r>
        <w:instrText xml:space="preserve"> PAGEREF _Toc79163872 \h </w:instrText>
      </w:r>
      <w:r>
        <w:fldChar w:fldCharType="separate"/>
      </w:r>
      <w:r>
        <w:t>19</w:t>
      </w:r>
      <w:r>
        <w:fldChar w:fldCharType="end"/>
      </w:r>
    </w:p>
    <w:p w14:paraId="4CBDF63A">
      <w:pPr>
        <w:pStyle w:val="18"/>
        <w:tabs>
          <w:tab w:val="right" w:leader="dot" w:pos="8296"/>
        </w:tabs>
        <w:rPr>
          <w:rFonts w:hAnsiTheme="minorHAnsi" w:eastAsiaTheme="minorEastAsia" w:cstheme="minorBidi"/>
          <w:smallCaps w:val="0"/>
          <w:sz w:val="21"/>
          <w:szCs w:val="22"/>
        </w:rPr>
      </w:pPr>
      <w:r>
        <w:rPr>
          <w:rFonts w:ascii="黑体" w:hAnsi="黑体" w:eastAsia="黑体"/>
          <w:bCs/>
        </w:rPr>
        <w:t>九、国有资本经营预算支出决算情况说明</w:t>
      </w:r>
      <w:r>
        <w:tab/>
      </w:r>
      <w:r>
        <w:fldChar w:fldCharType="begin"/>
      </w:r>
      <w:r>
        <w:instrText xml:space="preserve"> PAGEREF _Toc79163873 \h </w:instrText>
      </w:r>
      <w:r>
        <w:fldChar w:fldCharType="separate"/>
      </w:r>
      <w:r>
        <w:t>19</w:t>
      </w:r>
      <w:r>
        <w:fldChar w:fldCharType="end"/>
      </w:r>
    </w:p>
    <w:p w14:paraId="58D3658E">
      <w:pPr>
        <w:pStyle w:val="18"/>
        <w:tabs>
          <w:tab w:val="right" w:leader="dot" w:pos="8296"/>
        </w:tabs>
        <w:rPr>
          <w:rFonts w:hAnsiTheme="minorHAnsi" w:eastAsiaTheme="minorEastAsia" w:cstheme="minorBidi"/>
          <w:smallCaps w:val="0"/>
          <w:sz w:val="21"/>
          <w:szCs w:val="22"/>
        </w:rPr>
      </w:pPr>
      <w:r>
        <w:rPr>
          <w:rFonts w:ascii="黑体" w:hAnsi="黑体" w:eastAsia="黑体"/>
          <w:color w:val="000000"/>
        </w:rPr>
        <w:t>十</w:t>
      </w:r>
      <w:r>
        <w:rPr>
          <w:rFonts w:ascii="黑体" w:hAnsi="黑体" w:eastAsia="黑体"/>
          <w:b/>
          <w:bCs/>
        </w:rPr>
        <w:t>、</w:t>
      </w:r>
      <w:r>
        <w:rPr>
          <w:rFonts w:ascii="黑体" w:hAnsi="黑体" w:eastAsia="黑体"/>
          <w:bCs/>
        </w:rPr>
        <w:t>其他重要事项的情况说明</w:t>
      </w:r>
      <w:r>
        <w:tab/>
      </w:r>
      <w:r>
        <w:fldChar w:fldCharType="begin"/>
      </w:r>
      <w:r>
        <w:instrText xml:space="preserve"> PAGEREF _Toc79163874 \h </w:instrText>
      </w:r>
      <w:r>
        <w:fldChar w:fldCharType="separate"/>
      </w:r>
      <w:r>
        <w:t>19</w:t>
      </w:r>
      <w:r>
        <w:fldChar w:fldCharType="end"/>
      </w:r>
    </w:p>
    <w:p w14:paraId="6BA9EAA6">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（一）机关运行经费支出情况</w:t>
      </w:r>
      <w:r>
        <w:tab/>
      </w:r>
      <w:r>
        <w:fldChar w:fldCharType="begin"/>
      </w:r>
      <w:r>
        <w:instrText xml:space="preserve"> PAGEREF _Toc79163875 \h </w:instrText>
      </w:r>
      <w:r>
        <w:fldChar w:fldCharType="separate"/>
      </w:r>
      <w:r>
        <w:t>19</w:t>
      </w:r>
      <w:r>
        <w:fldChar w:fldCharType="end"/>
      </w:r>
    </w:p>
    <w:p w14:paraId="262CCFB0">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（二）政府采购支出情况</w:t>
      </w:r>
      <w:r>
        <w:tab/>
      </w:r>
      <w:r>
        <w:rPr>
          <w:rFonts w:hint="eastAsia"/>
          <w:lang w:val="en-US" w:eastAsia="zh-CN"/>
        </w:rPr>
        <w:t>19</w:t>
      </w:r>
    </w:p>
    <w:p w14:paraId="61C1E277">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（三）国有资产占有使用情况</w:t>
      </w:r>
      <w:r>
        <w:tab/>
      </w:r>
      <w:r>
        <w:fldChar w:fldCharType="begin"/>
      </w:r>
      <w:r>
        <w:instrText xml:space="preserve"> PAGEREF _Toc79163877 \h </w:instrText>
      </w:r>
      <w:r>
        <w:fldChar w:fldCharType="separate"/>
      </w:r>
      <w:r>
        <w:t>20</w:t>
      </w:r>
      <w:r>
        <w:fldChar w:fldCharType="end"/>
      </w:r>
    </w:p>
    <w:p w14:paraId="4123773B">
      <w:pPr>
        <w:pStyle w:val="10"/>
        <w:tabs>
          <w:tab w:val="right" w:leader="dot" w:pos="8296"/>
        </w:tabs>
        <w:rPr>
          <w:rFonts w:hAnsiTheme="minorHAnsi" w:eastAsiaTheme="minorEastAsia" w:cstheme="minorBidi"/>
          <w:i w:val="0"/>
          <w:iCs w:val="0"/>
          <w:sz w:val="21"/>
          <w:szCs w:val="22"/>
        </w:rPr>
      </w:pPr>
      <w:r>
        <w:rPr>
          <w:rFonts w:ascii="仿宋" w:hAnsi="仿宋" w:eastAsia="仿宋"/>
          <w:b/>
          <w:color w:val="000000"/>
        </w:rPr>
        <w:t>（四）预算绩效管理情况。</w:t>
      </w:r>
      <w:r>
        <w:tab/>
      </w:r>
      <w:r>
        <w:fldChar w:fldCharType="begin"/>
      </w:r>
      <w:r>
        <w:instrText xml:space="preserve"> PAGEREF _Toc79163878 \h </w:instrText>
      </w:r>
      <w:r>
        <w:fldChar w:fldCharType="separate"/>
      </w:r>
      <w:r>
        <w:t>20</w:t>
      </w:r>
      <w:r>
        <w:fldChar w:fldCharType="end"/>
      </w:r>
    </w:p>
    <w:p w14:paraId="3728D4A6">
      <w:pPr>
        <w:pStyle w:val="15"/>
        <w:tabs>
          <w:tab w:val="right" w:leader="dot" w:pos="8296"/>
        </w:tabs>
        <w:rPr>
          <w:rFonts w:hAnsiTheme="minorHAnsi" w:eastAsiaTheme="minorEastAsia" w:cstheme="minorBidi"/>
          <w:b w:val="0"/>
          <w:bCs w:val="0"/>
          <w:caps w:val="0"/>
          <w:sz w:val="21"/>
          <w:szCs w:val="22"/>
        </w:rPr>
      </w:pPr>
      <w:r>
        <w:rPr>
          <w:rFonts w:ascii="黑体" w:hAnsi="黑体" w:eastAsia="黑体"/>
          <w:kern w:val="44"/>
        </w:rPr>
        <w:t>第三部分</w:t>
      </w:r>
      <w:r>
        <w:rPr>
          <w:rFonts w:ascii="黑体" w:hAnsi="黑体" w:eastAsia="黑体"/>
          <w:color w:val="000000"/>
        </w:rPr>
        <w:t xml:space="preserve"> 名</w:t>
      </w:r>
      <w:r>
        <w:rPr>
          <w:rFonts w:ascii="黑体" w:hAnsi="黑体" w:eastAsia="黑体"/>
          <w:kern w:val="44"/>
        </w:rPr>
        <w:t>词解释</w:t>
      </w:r>
      <w:r>
        <w:tab/>
      </w:r>
      <w:r>
        <w:fldChar w:fldCharType="begin"/>
      </w:r>
      <w:r>
        <w:instrText xml:space="preserve"> PAGEREF _Toc79163879 \h </w:instrText>
      </w:r>
      <w:r>
        <w:fldChar w:fldCharType="separate"/>
      </w:r>
      <w:r>
        <w:t>25</w:t>
      </w:r>
      <w:r>
        <w:fldChar w:fldCharType="end"/>
      </w:r>
    </w:p>
    <w:p w14:paraId="422361D3">
      <w:pPr>
        <w:pStyle w:val="15"/>
        <w:tabs>
          <w:tab w:val="right" w:leader="dot" w:pos="8296"/>
        </w:tabs>
        <w:rPr>
          <w:rFonts w:hAnsiTheme="minorHAnsi" w:eastAsiaTheme="minorEastAsia" w:cstheme="minorBidi"/>
          <w:b w:val="0"/>
          <w:bCs w:val="0"/>
          <w:caps w:val="0"/>
          <w:sz w:val="21"/>
          <w:szCs w:val="22"/>
        </w:rPr>
      </w:pPr>
      <w:r>
        <w:rPr>
          <w:rFonts w:ascii="黑体" w:hAnsi="黑体" w:eastAsia="黑体"/>
          <w:color w:val="000000"/>
        </w:rPr>
        <w:t>第</w:t>
      </w:r>
      <w:r>
        <w:rPr>
          <w:rFonts w:ascii="黑体" w:hAnsi="黑体" w:eastAsia="黑体"/>
          <w:kern w:val="44"/>
        </w:rPr>
        <w:t>四部分 附件</w:t>
      </w:r>
      <w:r>
        <w:tab/>
      </w:r>
      <w:r>
        <w:fldChar w:fldCharType="begin"/>
      </w:r>
      <w:r>
        <w:instrText xml:space="preserve"> PAGEREF _Toc79163880 \h </w:instrText>
      </w:r>
      <w:r>
        <w:fldChar w:fldCharType="separate"/>
      </w:r>
      <w:r>
        <w:t>28</w:t>
      </w:r>
      <w:r>
        <w:fldChar w:fldCharType="end"/>
      </w:r>
    </w:p>
    <w:p w14:paraId="2EE45719">
      <w:pPr>
        <w:pStyle w:val="15"/>
        <w:tabs>
          <w:tab w:val="right" w:leader="dot" w:pos="8296"/>
        </w:tabs>
        <w:rPr>
          <w:rFonts w:hAnsiTheme="minorHAnsi" w:eastAsiaTheme="minorEastAsia" w:cstheme="minorBidi"/>
          <w:b w:val="0"/>
          <w:bCs w:val="0"/>
          <w:caps w:val="0"/>
          <w:sz w:val="21"/>
          <w:szCs w:val="22"/>
        </w:rPr>
      </w:pPr>
      <w:r>
        <w:rPr>
          <w:rFonts w:ascii="黑体" w:hAnsi="黑体" w:eastAsia="黑体" w:cs="黑体"/>
        </w:rPr>
        <w:t>附件1</w:t>
      </w:r>
      <w:r>
        <w:rPr>
          <w:rFonts w:hint="eastAsia" w:ascii="方正小标宋简体" w:hAnsi="黑体" w:eastAsia="方正小标宋简体" w:cs="黑体"/>
        </w:rPr>
        <w:t>松潘县</w:t>
      </w:r>
      <w:r>
        <w:rPr>
          <w:rFonts w:hint="eastAsia" w:ascii="方正小标宋简体" w:hAnsi="黑体" w:eastAsia="方正小标宋简体" w:cs="黑体"/>
          <w:lang w:eastAsia="zh-CN"/>
        </w:rPr>
        <w:t>发展和改革局</w:t>
      </w:r>
      <w:r>
        <w:rPr>
          <w:rFonts w:ascii="方正小标宋简体" w:hAnsi="黑体" w:eastAsia="方正小标宋简体" w:cs="黑体"/>
        </w:rPr>
        <w:t>202</w:t>
      </w:r>
      <w:r>
        <w:rPr>
          <w:rFonts w:hint="eastAsia" w:ascii="方正小标宋简体" w:hAnsi="黑体" w:eastAsia="方正小标宋简体" w:cs="黑体"/>
          <w:lang w:val="en-US" w:eastAsia="zh-CN"/>
        </w:rPr>
        <w:t>1</w:t>
      </w:r>
      <w:r>
        <w:rPr>
          <w:rFonts w:ascii="方正小标宋简体" w:hAnsi="黑体" w:eastAsia="方正小标宋简体" w:cs="黑体"/>
        </w:rPr>
        <w:t>年部门整体支出绩效评价报告</w:t>
      </w:r>
      <w:r>
        <w:tab/>
      </w:r>
      <w:r>
        <w:fldChar w:fldCharType="begin"/>
      </w:r>
      <w:r>
        <w:instrText xml:space="preserve"> PAGEREF _Toc79163882 \h </w:instrText>
      </w:r>
      <w:r>
        <w:fldChar w:fldCharType="separate"/>
      </w:r>
      <w:r>
        <w:t>28</w:t>
      </w:r>
      <w:r>
        <w:fldChar w:fldCharType="end"/>
      </w:r>
    </w:p>
    <w:p w14:paraId="287AB6D1">
      <w:pPr>
        <w:pStyle w:val="15"/>
        <w:tabs>
          <w:tab w:val="right" w:leader="dot" w:pos="8296"/>
        </w:tabs>
        <w:rPr>
          <w:rFonts w:hAnsiTheme="minorHAnsi" w:eastAsiaTheme="minorEastAsia" w:cstheme="minorBidi"/>
          <w:b w:val="0"/>
          <w:bCs w:val="0"/>
          <w:caps w:val="0"/>
          <w:sz w:val="21"/>
          <w:szCs w:val="22"/>
        </w:rPr>
      </w:pPr>
      <w:r>
        <w:rPr>
          <w:rFonts w:ascii="黑体" w:hAnsi="黑体" w:eastAsia="黑体" w:cs="黑体"/>
        </w:rPr>
        <w:t>附件2</w:t>
      </w:r>
      <w:r>
        <w:rPr>
          <w:rFonts w:hint="eastAsia" w:ascii="方正小标宋简体" w:hAnsi="黑体" w:eastAsia="方正小标宋简体" w:cs="黑体"/>
          <w:lang w:eastAsia="zh-CN"/>
        </w:rPr>
        <w:t>“十四五”规划编制服务</w:t>
      </w:r>
      <w:r>
        <w:rPr>
          <w:rFonts w:hint="eastAsia" w:ascii="方正小标宋简体" w:hAnsi="黑体" w:eastAsia="方正小标宋简体" w:cs="黑体"/>
        </w:rPr>
        <w:t>项目</w:t>
      </w:r>
      <w:r>
        <w:rPr>
          <w:rFonts w:ascii="方正小标宋简体" w:hAnsi="黑体" w:eastAsia="方正小标宋简体" w:cs="黑体"/>
        </w:rPr>
        <w:t>202</w:t>
      </w:r>
      <w:r>
        <w:rPr>
          <w:rFonts w:hint="eastAsia" w:ascii="方正小标宋简体" w:hAnsi="黑体" w:eastAsia="方正小标宋简体" w:cs="黑体"/>
          <w:lang w:val="en-US" w:eastAsia="zh-CN"/>
        </w:rPr>
        <w:t>1</w:t>
      </w:r>
      <w:r>
        <w:rPr>
          <w:rFonts w:ascii="方正小标宋简体" w:hAnsi="黑体" w:eastAsia="方正小标宋简体" w:cs="黑体"/>
        </w:rPr>
        <w:t>年绩效评价报告</w:t>
      </w:r>
      <w:r>
        <w:tab/>
      </w:r>
      <w:r>
        <w:fldChar w:fldCharType="begin"/>
      </w:r>
      <w:r>
        <w:instrText xml:space="preserve"> PAGEREF _Toc79163884 \h </w:instrText>
      </w:r>
      <w:r>
        <w:fldChar w:fldCharType="separate"/>
      </w:r>
      <w:r>
        <w:t>44</w:t>
      </w:r>
      <w:r>
        <w:fldChar w:fldCharType="end"/>
      </w:r>
    </w:p>
    <w:p w14:paraId="57C438B3">
      <w:pPr>
        <w:pStyle w:val="15"/>
        <w:tabs>
          <w:tab w:val="right" w:leader="dot" w:pos="8296"/>
        </w:tabs>
        <w:rPr>
          <w:rFonts w:hAnsiTheme="minorHAnsi" w:eastAsiaTheme="minorEastAsia" w:cstheme="minorBidi"/>
          <w:b w:val="0"/>
          <w:bCs w:val="0"/>
          <w:caps w:val="0"/>
          <w:sz w:val="21"/>
          <w:szCs w:val="22"/>
        </w:rPr>
      </w:pPr>
      <w:r>
        <w:rPr>
          <w:rFonts w:ascii="黑体" w:hAnsi="黑体" w:eastAsia="黑体"/>
          <w:color w:val="000000"/>
        </w:rPr>
        <w:t>第</w:t>
      </w:r>
      <w:r>
        <w:rPr>
          <w:rFonts w:ascii="黑体" w:hAnsi="黑体" w:eastAsia="黑体"/>
          <w:kern w:val="44"/>
        </w:rPr>
        <w:t>五部分 附表</w:t>
      </w:r>
      <w:r>
        <w:tab/>
      </w:r>
      <w:r>
        <w:fldChar w:fldCharType="begin"/>
      </w:r>
      <w:r>
        <w:instrText xml:space="preserve"> PAGEREF _Toc79163885 \h </w:instrText>
      </w:r>
      <w:r>
        <w:fldChar w:fldCharType="separate"/>
      </w:r>
      <w:r>
        <w:t>51</w:t>
      </w:r>
      <w:r>
        <w:fldChar w:fldCharType="end"/>
      </w:r>
    </w:p>
    <w:p w14:paraId="74B9D0CE">
      <w:pPr>
        <w:pStyle w:val="18"/>
        <w:tabs>
          <w:tab w:val="right" w:leader="dot" w:pos="8296"/>
        </w:tabs>
        <w:rPr>
          <w:rFonts w:hAnsiTheme="minorHAnsi" w:eastAsiaTheme="minorEastAsia" w:cstheme="minorBidi"/>
          <w:smallCaps w:val="0"/>
          <w:sz w:val="21"/>
          <w:szCs w:val="22"/>
        </w:rPr>
      </w:pPr>
      <w:r>
        <w:rPr>
          <w:rFonts w:ascii="仿宋" w:hAnsi="仿宋" w:eastAsia="仿宋"/>
          <w:color w:val="000000"/>
        </w:rPr>
        <w:t>一、收</w:t>
      </w:r>
      <w:r>
        <w:rPr>
          <w:rFonts w:ascii="仿宋" w:hAnsi="仿宋" w:eastAsia="仿宋"/>
        </w:rPr>
        <w:t>入支出决算总表</w:t>
      </w:r>
      <w:r>
        <w:tab/>
      </w:r>
      <w:r>
        <w:fldChar w:fldCharType="begin"/>
      </w:r>
      <w:r>
        <w:instrText xml:space="preserve"> PAGEREF _Toc79163886 \h </w:instrText>
      </w:r>
      <w:r>
        <w:fldChar w:fldCharType="separate"/>
      </w:r>
      <w:r>
        <w:t>51</w:t>
      </w:r>
      <w:r>
        <w:fldChar w:fldCharType="end"/>
      </w:r>
    </w:p>
    <w:p w14:paraId="0EF53FF2">
      <w:pPr>
        <w:pStyle w:val="18"/>
        <w:tabs>
          <w:tab w:val="right" w:leader="dot" w:pos="8296"/>
        </w:tabs>
        <w:rPr>
          <w:rFonts w:hAnsiTheme="minorHAnsi" w:eastAsiaTheme="minorEastAsia" w:cstheme="minorBidi"/>
          <w:smallCaps w:val="0"/>
          <w:sz w:val="21"/>
          <w:szCs w:val="22"/>
        </w:rPr>
      </w:pPr>
      <w:r>
        <w:rPr>
          <w:rFonts w:ascii="仿宋" w:hAnsi="仿宋" w:eastAsia="仿宋"/>
          <w:color w:val="000000"/>
        </w:rPr>
        <w:t>二、收</w:t>
      </w:r>
      <w:r>
        <w:rPr>
          <w:rFonts w:ascii="仿宋" w:hAnsi="仿宋" w:eastAsia="仿宋"/>
        </w:rPr>
        <w:t>入决算表</w:t>
      </w:r>
      <w:r>
        <w:tab/>
      </w:r>
      <w:r>
        <w:fldChar w:fldCharType="begin"/>
      </w:r>
      <w:r>
        <w:instrText xml:space="preserve"> PAGEREF _Toc79163887 \h </w:instrText>
      </w:r>
      <w:r>
        <w:fldChar w:fldCharType="separate"/>
      </w:r>
      <w:r>
        <w:t>51</w:t>
      </w:r>
      <w:r>
        <w:fldChar w:fldCharType="end"/>
      </w:r>
    </w:p>
    <w:p w14:paraId="71F6D852">
      <w:pPr>
        <w:pStyle w:val="18"/>
        <w:tabs>
          <w:tab w:val="right" w:leader="dot" w:pos="8296"/>
        </w:tabs>
        <w:rPr>
          <w:rFonts w:hAnsiTheme="minorHAnsi" w:eastAsiaTheme="minorEastAsia" w:cstheme="minorBidi"/>
          <w:smallCaps w:val="0"/>
          <w:sz w:val="21"/>
          <w:szCs w:val="22"/>
        </w:rPr>
      </w:pPr>
      <w:r>
        <w:rPr>
          <w:rFonts w:ascii="仿宋" w:hAnsi="仿宋" w:eastAsia="仿宋"/>
        </w:rPr>
        <w:t>三、</w:t>
      </w:r>
      <w:r>
        <w:rPr>
          <w:rFonts w:ascii="仿宋" w:hAnsi="仿宋" w:eastAsia="仿宋"/>
          <w:color w:val="000000"/>
        </w:rPr>
        <w:t>支</w:t>
      </w:r>
      <w:r>
        <w:rPr>
          <w:rFonts w:ascii="仿宋" w:hAnsi="仿宋" w:eastAsia="仿宋"/>
        </w:rPr>
        <w:t>出决算表</w:t>
      </w:r>
      <w:r>
        <w:tab/>
      </w:r>
      <w:r>
        <w:fldChar w:fldCharType="begin"/>
      </w:r>
      <w:r>
        <w:instrText xml:space="preserve"> PAGEREF _Toc79163888 \h </w:instrText>
      </w:r>
      <w:r>
        <w:fldChar w:fldCharType="separate"/>
      </w:r>
      <w:r>
        <w:t>51</w:t>
      </w:r>
      <w:r>
        <w:fldChar w:fldCharType="end"/>
      </w:r>
    </w:p>
    <w:p w14:paraId="4DC5EEF3">
      <w:pPr>
        <w:pStyle w:val="18"/>
        <w:tabs>
          <w:tab w:val="right" w:leader="dot" w:pos="8296"/>
        </w:tabs>
        <w:rPr>
          <w:rFonts w:hAnsiTheme="minorHAnsi" w:eastAsiaTheme="minorEastAsia" w:cstheme="minorBidi"/>
          <w:smallCaps w:val="0"/>
          <w:sz w:val="21"/>
          <w:szCs w:val="22"/>
        </w:rPr>
      </w:pPr>
      <w:r>
        <w:rPr>
          <w:rFonts w:ascii="仿宋" w:hAnsi="仿宋" w:eastAsia="仿宋"/>
        </w:rPr>
        <w:t>四、</w:t>
      </w:r>
      <w:r>
        <w:rPr>
          <w:rFonts w:ascii="仿宋" w:hAnsi="仿宋" w:eastAsia="仿宋"/>
          <w:color w:val="000000"/>
        </w:rPr>
        <w:t>财</w:t>
      </w:r>
      <w:r>
        <w:rPr>
          <w:rFonts w:ascii="仿宋" w:hAnsi="仿宋" w:eastAsia="仿宋"/>
        </w:rPr>
        <w:t>政拨款收入支出决算总表</w:t>
      </w:r>
      <w:r>
        <w:tab/>
      </w:r>
      <w:r>
        <w:fldChar w:fldCharType="begin"/>
      </w:r>
      <w:r>
        <w:instrText xml:space="preserve"> PAGEREF _Toc79163889 \h </w:instrText>
      </w:r>
      <w:r>
        <w:fldChar w:fldCharType="separate"/>
      </w:r>
      <w:r>
        <w:t>51</w:t>
      </w:r>
      <w:r>
        <w:fldChar w:fldCharType="end"/>
      </w:r>
    </w:p>
    <w:p w14:paraId="52EEF276">
      <w:pPr>
        <w:pStyle w:val="18"/>
        <w:tabs>
          <w:tab w:val="right" w:leader="dot" w:pos="8296"/>
        </w:tabs>
        <w:rPr>
          <w:rFonts w:hAnsiTheme="minorHAnsi" w:eastAsiaTheme="minorEastAsia" w:cstheme="minorBidi"/>
          <w:smallCaps w:val="0"/>
          <w:sz w:val="21"/>
          <w:szCs w:val="22"/>
        </w:rPr>
      </w:pPr>
      <w:r>
        <w:rPr>
          <w:rFonts w:ascii="仿宋" w:hAnsi="仿宋" w:eastAsia="仿宋"/>
        </w:rPr>
        <w:t>五、</w:t>
      </w:r>
      <w:r>
        <w:rPr>
          <w:rFonts w:ascii="仿宋" w:hAnsi="仿宋" w:eastAsia="仿宋"/>
          <w:color w:val="000000"/>
        </w:rPr>
        <w:t>财</w:t>
      </w:r>
      <w:r>
        <w:rPr>
          <w:rFonts w:ascii="仿宋" w:hAnsi="仿宋" w:eastAsia="仿宋"/>
        </w:rPr>
        <w:t>政拨款支出决算明细表</w:t>
      </w:r>
      <w:r>
        <w:tab/>
      </w:r>
      <w:r>
        <w:fldChar w:fldCharType="begin"/>
      </w:r>
      <w:r>
        <w:instrText xml:space="preserve"> PAGEREF _Toc79163890 \h </w:instrText>
      </w:r>
      <w:r>
        <w:fldChar w:fldCharType="separate"/>
      </w:r>
      <w:r>
        <w:t>51</w:t>
      </w:r>
      <w:r>
        <w:fldChar w:fldCharType="end"/>
      </w:r>
    </w:p>
    <w:p w14:paraId="4DC786B4">
      <w:pPr>
        <w:pStyle w:val="18"/>
        <w:tabs>
          <w:tab w:val="right" w:leader="dot" w:pos="8296"/>
        </w:tabs>
        <w:rPr>
          <w:rFonts w:hAnsiTheme="minorHAnsi" w:eastAsiaTheme="minorEastAsia" w:cstheme="minorBidi"/>
          <w:smallCaps w:val="0"/>
          <w:sz w:val="21"/>
          <w:szCs w:val="22"/>
        </w:rPr>
      </w:pPr>
      <w:r>
        <w:rPr>
          <w:rFonts w:ascii="仿宋" w:hAnsi="仿宋" w:eastAsia="仿宋"/>
        </w:rPr>
        <w:t>六、</w:t>
      </w:r>
      <w:r>
        <w:rPr>
          <w:rFonts w:ascii="仿宋" w:hAnsi="仿宋" w:eastAsia="仿宋"/>
          <w:color w:val="000000"/>
        </w:rPr>
        <w:t>一</w:t>
      </w:r>
      <w:r>
        <w:rPr>
          <w:rFonts w:ascii="仿宋" w:hAnsi="仿宋" w:eastAsia="仿宋"/>
        </w:rPr>
        <w:t>般公共预算财政拨款支出决算表</w:t>
      </w:r>
      <w:r>
        <w:tab/>
      </w:r>
      <w:r>
        <w:fldChar w:fldCharType="begin"/>
      </w:r>
      <w:r>
        <w:instrText xml:space="preserve"> PAGEREF _Toc79163891 \h </w:instrText>
      </w:r>
      <w:r>
        <w:fldChar w:fldCharType="separate"/>
      </w:r>
      <w:r>
        <w:t>51</w:t>
      </w:r>
      <w:r>
        <w:fldChar w:fldCharType="end"/>
      </w:r>
    </w:p>
    <w:p w14:paraId="79FF706E">
      <w:pPr>
        <w:pStyle w:val="18"/>
        <w:tabs>
          <w:tab w:val="right" w:leader="dot" w:pos="8296"/>
        </w:tabs>
        <w:rPr>
          <w:rFonts w:hAnsiTheme="minorHAnsi" w:eastAsiaTheme="minorEastAsia" w:cstheme="minorBidi"/>
          <w:smallCaps w:val="0"/>
          <w:sz w:val="21"/>
          <w:szCs w:val="22"/>
        </w:rPr>
      </w:pPr>
      <w:r>
        <w:rPr>
          <w:rFonts w:ascii="仿宋" w:hAnsi="仿宋" w:eastAsia="仿宋"/>
        </w:rPr>
        <w:t>七、</w:t>
      </w:r>
      <w:r>
        <w:rPr>
          <w:rFonts w:ascii="仿宋" w:hAnsi="仿宋" w:eastAsia="仿宋"/>
          <w:color w:val="000000"/>
        </w:rPr>
        <w:t>一</w:t>
      </w:r>
      <w:r>
        <w:rPr>
          <w:rFonts w:ascii="仿宋" w:hAnsi="仿宋" w:eastAsia="仿宋"/>
        </w:rPr>
        <w:t>般公共预算财政拨款支出决算明细表</w:t>
      </w:r>
      <w:r>
        <w:tab/>
      </w:r>
      <w:r>
        <w:fldChar w:fldCharType="begin"/>
      </w:r>
      <w:r>
        <w:instrText xml:space="preserve"> PAGEREF _Toc79163892 \h </w:instrText>
      </w:r>
      <w:r>
        <w:fldChar w:fldCharType="separate"/>
      </w:r>
      <w:r>
        <w:t>51</w:t>
      </w:r>
      <w:r>
        <w:fldChar w:fldCharType="end"/>
      </w:r>
    </w:p>
    <w:p w14:paraId="0001D6FA">
      <w:pPr>
        <w:pStyle w:val="18"/>
        <w:tabs>
          <w:tab w:val="right" w:leader="dot" w:pos="8296"/>
        </w:tabs>
        <w:rPr>
          <w:rFonts w:hAnsiTheme="minorHAnsi" w:eastAsiaTheme="minorEastAsia" w:cstheme="minorBidi"/>
          <w:smallCaps w:val="0"/>
          <w:sz w:val="21"/>
          <w:szCs w:val="22"/>
        </w:rPr>
      </w:pPr>
      <w:r>
        <w:rPr>
          <w:rFonts w:ascii="仿宋" w:hAnsi="仿宋" w:eastAsia="仿宋"/>
        </w:rPr>
        <w:t>八、</w:t>
      </w:r>
      <w:r>
        <w:rPr>
          <w:rFonts w:ascii="仿宋" w:hAnsi="仿宋" w:eastAsia="仿宋"/>
          <w:color w:val="000000"/>
        </w:rPr>
        <w:t>一</w:t>
      </w:r>
      <w:r>
        <w:rPr>
          <w:rFonts w:ascii="仿宋" w:hAnsi="仿宋" w:eastAsia="仿宋"/>
        </w:rPr>
        <w:t>般公共预算财政拨款基本支出决算表</w:t>
      </w:r>
      <w:r>
        <w:tab/>
      </w:r>
      <w:r>
        <w:fldChar w:fldCharType="begin"/>
      </w:r>
      <w:r>
        <w:instrText xml:space="preserve"> PAGEREF _Toc79163893 \h </w:instrText>
      </w:r>
      <w:r>
        <w:fldChar w:fldCharType="separate"/>
      </w:r>
      <w:r>
        <w:t>51</w:t>
      </w:r>
      <w:r>
        <w:fldChar w:fldCharType="end"/>
      </w:r>
    </w:p>
    <w:p w14:paraId="65EC8834">
      <w:pPr>
        <w:pStyle w:val="18"/>
        <w:tabs>
          <w:tab w:val="right" w:leader="dot" w:pos="8296"/>
        </w:tabs>
        <w:rPr>
          <w:rFonts w:hAnsiTheme="minorHAnsi" w:eastAsiaTheme="minorEastAsia" w:cstheme="minorBidi"/>
          <w:smallCaps w:val="0"/>
          <w:sz w:val="21"/>
          <w:szCs w:val="22"/>
        </w:rPr>
      </w:pPr>
      <w:r>
        <w:rPr>
          <w:rFonts w:ascii="仿宋" w:hAnsi="仿宋" w:eastAsia="仿宋"/>
        </w:rPr>
        <w:t>九、</w:t>
      </w:r>
      <w:r>
        <w:rPr>
          <w:rFonts w:ascii="仿宋" w:hAnsi="仿宋" w:eastAsia="仿宋"/>
          <w:color w:val="000000"/>
        </w:rPr>
        <w:t>一</w:t>
      </w:r>
      <w:r>
        <w:rPr>
          <w:rFonts w:ascii="仿宋" w:hAnsi="仿宋" w:eastAsia="仿宋"/>
        </w:rPr>
        <w:t>般公共预算财政拨款项目支出决算表</w:t>
      </w:r>
      <w:r>
        <w:tab/>
      </w:r>
      <w:r>
        <w:fldChar w:fldCharType="begin"/>
      </w:r>
      <w:r>
        <w:instrText xml:space="preserve"> PAGEREF _Toc79163894 \h </w:instrText>
      </w:r>
      <w:r>
        <w:fldChar w:fldCharType="separate"/>
      </w:r>
      <w:r>
        <w:t>51</w:t>
      </w:r>
      <w:r>
        <w:fldChar w:fldCharType="end"/>
      </w:r>
    </w:p>
    <w:p w14:paraId="175BADF0">
      <w:pPr>
        <w:pStyle w:val="18"/>
        <w:tabs>
          <w:tab w:val="right" w:leader="dot" w:pos="8296"/>
        </w:tabs>
        <w:rPr>
          <w:rFonts w:hAnsiTheme="minorHAnsi" w:eastAsiaTheme="minorEastAsia" w:cstheme="minorBidi"/>
          <w:smallCaps w:val="0"/>
          <w:sz w:val="21"/>
          <w:szCs w:val="22"/>
        </w:rPr>
      </w:pPr>
      <w:r>
        <w:rPr>
          <w:rFonts w:ascii="仿宋" w:hAnsi="仿宋" w:eastAsia="仿宋"/>
        </w:rPr>
        <w:t>十、</w:t>
      </w:r>
      <w:r>
        <w:rPr>
          <w:rFonts w:ascii="仿宋" w:hAnsi="仿宋" w:eastAsia="仿宋"/>
          <w:color w:val="000000"/>
        </w:rPr>
        <w:t>一</w:t>
      </w:r>
      <w:r>
        <w:rPr>
          <w:rFonts w:ascii="仿宋" w:hAnsi="仿宋" w:eastAsia="仿宋"/>
        </w:rPr>
        <w:t>般公共预算财政拨款“三公”经费支出决算表</w:t>
      </w:r>
      <w:r>
        <w:tab/>
      </w:r>
      <w:r>
        <w:fldChar w:fldCharType="begin"/>
      </w:r>
      <w:r>
        <w:instrText xml:space="preserve"> PAGEREF _Toc79163895 \h </w:instrText>
      </w:r>
      <w:r>
        <w:fldChar w:fldCharType="separate"/>
      </w:r>
      <w:r>
        <w:t>51</w:t>
      </w:r>
      <w:r>
        <w:fldChar w:fldCharType="end"/>
      </w:r>
    </w:p>
    <w:p w14:paraId="77DF128C">
      <w:pPr>
        <w:pStyle w:val="18"/>
        <w:tabs>
          <w:tab w:val="right" w:leader="dot" w:pos="8296"/>
        </w:tabs>
        <w:rPr>
          <w:rFonts w:hAnsiTheme="minorHAnsi" w:eastAsiaTheme="minorEastAsia" w:cstheme="minorBidi"/>
          <w:smallCaps w:val="0"/>
          <w:sz w:val="21"/>
          <w:szCs w:val="22"/>
        </w:rPr>
      </w:pPr>
      <w:r>
        <w:rPr>
          <w:rFonts w:ascii="仿宋" w:hAnsi="仿宋" w:eastAsia="仿宋"/>
        </w:rPr>
        <w:t>十一、</w:t>
      </w:r>
      <w:r>
        <w:rPr>
          <w:rFonts w:ascii="仿宋" w:hAnsi="仿宋" w:eastAsia="仿宋"/>
          <w:color w:val="000000"/>
        </w:rPr>
        <w:t>政</w:t>
      </w:r>
      <w:r>
        <w:rPr>
          <w:rFonts w:ascii="仿宋" w:hAnsi="仿宋" w:eastAsia="仿宋"/>
        </w:rPr>
        <w:t>府性基金预算财政拨款收入支出决算表</w:t>
      </w:r>
      <w:r>
        <w:tab/>
      </w:r>
      <w:r>
        <w:fldChar w:fldCharType="begin"/>
      </w:r>
      <w:r>
        <w:instrText xml:space="preserve"> PAGEREF _Toc79163896 \h </w:instrText>
      </w:r>
      <w:r>
        <w:fldChar w:fldCharType="separate"/>
      </w:r>
      <w:r>
        <w:t>51</w:t>
      </w:r>
      <w:r>
        <w:fldChar w:fldCharType="end"/>
      </w:r>
    </w:p>
    <w:p w14:paraId="1FE83AA9">
      <w:pPr>
        <w:pStyle w:val="18"/>
        <w:tabs>
          <w:tab w:val="right" w:leader="dot" w:pos="8296"/>
        </w:tabs>
        <w:rPr>
          <w:rFonts w:hAnsiTheme="minorHAnsi" w:eastAsiaTheme="minorEastAsia" w:cstheme="minorBidi"/>
          <w:smallCaps w:val="0"/>
          <w:sz w:val="21"/>
          <w:szCs w:val="22"/>
        </w:rPr>
      </w:pPr>
      <w:r>
        <w:rPr>
          <w:rFonts w:ascii="仿宋" w:hAnsi="仿宋" w:eastAsia="仿宋"/>
        </w:rPr>
        <w:t>十二、</w:t>
      </w:r>
      <w:r>
        <w:rPr>
          <w:rFonts w:ascii="仿宋" w:hAnsi="仿宋" w:eastAsia="仿宋"/>
          <w:color w:val="000000"/>
        </w:rPr>
        <w:t>政</w:t>
      </w:r>
      <w:r>
        <w:rPr>
          <w:rFonts w:ascii="仿宋" w:hAnsi="仿宋" w:eastAsia="仿宋"/>
        </w:rPr>
        <w:t>府性基金预算财政拨款“三公”经费支出决算表</w:t>
      </w:r>
      <w:r>
        <w:tab/>
      </w:r>
      <w:r>
        <w:fldChar w:fldCharType="begin"/>
      </w:r>
      <w:r>
        <w:instrText xml:space="preserve"> PAGEREF _Toc79163897 \h </w:instrText>
      </w:r>
      <w:r>
        <w:fldChar w:fldCharType="separate"/>
      </w:r>
      <w:r>
        <w:t>51</w:t>
      </w:r>
      <w:r>
        <w:fldChar w:fldCharType="end"/>
      </w:r>
    </w:p>
    <w:p w14:paraId="779348FC">
      <w:pPr>
        <w:pStyle w:val="18"/>
        <w:tabs>
          <w:tab w:val="right" w:leader="dot" w:pos="8296"/>
        </w:tabs>
        <w:rPr>
          <w:rFonts w:hAnsiTheme="minorHAnsi" w:eastAsiaTheme="minorEastAsia" w:cstheme="minorBidi"/>
          <w:smallCaps w:val="0"/>
          <w:sz w:val="21"/>
          <w:szCs w:val="22"/>
        </w:rPr>
      </w:pPr>
      <w:r>
        <w:rPr>
          <w:rFonts w:ascii="仿宋" w:hAnsi="仿宋" w:eastAsia="仿宋"/>
        </w:rPr>
        <w:t>十三、</w:t>
      </w:r>
      <w:r>
        <w:rPr>
          <w:rFonts w:ascii="仿宋" w:hAnsi="仿宋" w:eastAsia="仿宋"/>
          <w:color w:val="000000"/>
        </w:rPr>
        <w:t>国</w:t>
      </w:r>
      <w:r>
        <w:rPr>
          <w:rFonts w:ascii="仿宋" w:hAnsi="仿宋" w:eastAsia="仿宋"/>
        </w:rPr>
        <w:t>有资本经营预算财政拨款</w:t>
      </w:r>
      <w:r>
        <w:rPr>
          <w:rFonts w:hint="eastAsia" w:ascii="仿宋" w:hAnsi="仿宋" w:eastAsia="仿宋"/>
          <w:lang w:eastAsia="zh-CN"/>
        </w:rPr>
        <w:t>收入</w:t>
      </w:r>
      <w:r>
        <w:rPr>
          <w:rFonts w:ascii="仿宋" w:hAnsi="仿宋" w:eastAsia="仿宋"/>
        </w:rPr>
        <w:t>支出决算表</w:t>
      </w:r>
      <w:r>
        <w:tab/>
      </w:r>
      <w:r>
        <w:fldChar w:fldCharType="begin"/>
      </w:r>
      <w:r>
        <w:instrText xml:space="preserve"> PAGEREF _Toc79163898 \h </w:instrText>
      </w:r>
      <w:r>
        <w:fldChar w:fldCharType="separate"/>
      </w:r>
      <w:r>
        <w:t>51</w:t>
      </w:r>
      <w:r>
        <w:fldChar w:fldCharType="end"/>
      </w:r>
    </w:p>
    <w:p w14:paraId="2D5968D7">
      <w:pPr>
        <w:pStyle w:val="18"/>
        <w:tabs>
          <w:tab w:val="right" w:leader="dot" w:pos="8296"/>
        </w:tabs>
        <w:rPr>
          <w:rFonts w:hAnsiTheme="minorHAnsi" w:eastAsiaTheme="minorEastAsia" w:cstheme="minorBidi"/>
          <w:smallCaps w:val="0"/>
          <w:sz w:val="21"/>
          <w:szCs w:val="22"/>
        </w:rPr>
      </w:pPr>
      <w:r>
        <w:rPr>
          <w:rFonts w:ascii="仿宋" w:hAnsi="仿宋" w:eastAsia="仿宋"/>
        </w:rPr>
        <w:t>十四、国有资本经营预算财政拨款支出决算表</w:t>
      </w:r>
      <w:r>
        <w:tab/>
      </w:r>
      <w:r>
        <w:fldChar w:fldCharType="begin"/>
      </w:r>
      <w:r>
        <w:instrText xml:space="preserve"> PAGEREF _Toc79163899 \h </w:instrText>
      </w:r>
      <w:r>
        <w:fldChar w:fldCharType="separate"/>
      </w:r>
      <w:r>
        <w:t>51</w:t>
      </w:r>
      <w:r>
        <w:fldChar w:fldCharType="end"/>
      </w:r>
    </w:p>
    <w:p w14:paraId="2BEB9928">
      <w:r>
        <w:rPr>
          <w:rFonts w:asciiTheme="minorHAnsi" w:eastAsiaTheme="minorHAnsi"/>
          <w:b/>
          <w:bCs/>
          <w:caps/>
          <w:sz w:val="20"/>
          <w:szCs w:val="20"/>
        </w:rPr>
        <w:fldChar w:fldCharType="end"/>
      </w:r>
    </w:p>
    <w:p w14:paraId="74A0CACB">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62DFAA3D">
      <w:pPr>
        <w:pStyle w:val="4"/>
        <w:jc w:val="center"/>
        <w:rPr>
          <w:rStyle w:val="25"/>
          <w:rFonts w:ascii="黑体" w:hAnsi="黑体" w:eastAsia="黑体"/>
          <w:b/>
          <w:bCs w:val="0"/>
        </w:rPr>
      </w:pPr>
      <w:bookmarkStart w:id="14" w:name="_Toc79163601"/>
      <w:bookmarkStart w:id="15" w:name="_Toc79163851"/>
      <w:r>
        <w:rPr>
          <w:rFonts w:hint="eastAsia" w:ascii="黑体" w:hAnsi="黑体" w:eastAsia="黑体"/>
          <w:b w:val="0"/>
        </w:rPr>
        <w:t>第一部分</w:t>
      </w:r>
      <w:r>
        <w:rPr>
          <w:rFonts w:ascii="黑体" w:hAnsi="黑体" w:eastAsia="黑体"/>
          <w:b w:val="0"/>
        </w:rPr>
        <w:t xml:space="preserve"> </w:t>
      </w:r>
      <w:r>
        <w:rPr>
          <w:rStyle w:val="25"/>
          <w:rFonts w:hint="eastAsia" w:ascii="黑体" w:hAnsi="黑体" w:eastAsia="黑体"/>
          <w:b w:val="0"/>
          <w:bCs w:val="0"/>
        </w:rPr>
        <w:t>部门概况</w:t>
      </w:r>
      <w:bookmarkEnd w:id="12"/>
      <w:bookmarkEnd w:id="13"/>
      <w:bookmarkEnd w:id="14"/>
      <w:bookmarkEnd w:id="15"/>
    </w:p>
    <w:p w14:paraId="4AA9A84F">
      <w:pPr>
        <w:widowControl/>
        <w:jc w:val="left"/>
        <w:rPr>
          <w:rFonts w:ascii="黑体" w:eastAsia="黑体"/>
          <w:color w:val="000000"/>
          <w:sz w:val="32"/>
          <w:szCs w:val="32"/>
        </w:rPr>
      </w:pPr>
    </w:p>
    <w:p w14:paraId="2479F8AD">
      <w:pPr>
        <w:pStyle w:val="5"/>
        <w:rPr>
          <w:rStyle w:val="26"/>
          <w:rFonts w:ascii="仿宋" w:hAnsi="仿宋" w:eastAsia="仿宋"/>
          <w:b w:val="0"/>
          <w:bCs w:val="0"/>
        </w:rPr>
      </w:pPr>
      <w:bookmarkStart w:id="16" w:name="_Toc15396600"/>
      <w:bookmarkStart w:id="17" w:name="_Toc79163852"/>
      <w:bookmarkStart w:id="18" w:name="_Toc15377197"/>
      <w:bookmarkStart w:id="19" w:name="_Toc79163602"/>
      <w:r>
        <w:rPr>
          <w:rFonts w:hint="eastAsia" w:ascii="黑体" w:hAnsi="黑体" w:eastAsia="黑体"/>
          <w:b w:val="0"/>
          <w:color w:val="000000"/>
        </w:rPr>
        <w:t>一、基</w:t>
      </w:r>
      <w:r>
        <w:rPr>
          <w:rStyle w:val="26"/>
          <w:rFonts w:hint="eastAsia" w:ascii="黑体" w:hAnsi="黑体" w:eastAsia="黑体"/>
          <w:b w:val="0"/>
          <w:bCs w:val="0"/>
        </w:rPr>
        <w:t>本职能及主要工作</w:t>
      </w:r>
      <w:bookmarkEnd w:id="16"/>
      <w:bookmarkEnd w:id="17"/>
      <w:bookmarkEnd w:id="18"/>
      <w:bookmarkEnd w:id="19"/>
    </w:p>
    <w:p w14:paraId="280DBDFA">
      <w:pPr>
        <w:pStyle w:val="8"/>
        <w:adjustRightInd w:val="0"/>
        <w:snapToGrid w:val="0"/>
        <w:spacing w:before="93" w:line="600" w:lineRule="exact"/>
        <w:ind w:firstLine="672" w:firstLineChars="210"/>
        <w:outlineLvl w:val="2"/>
        <w:rPr>
          <w:rFonts w:ascii="仿宋" w:hAnsi="仿宋" w:eastAsia="仿宋"/>
          <w:bCs/>
          <w:color w:val="000000"/>
          <w:sz w:val="32"/>
          <w:szCs w:val="32"/>
        </w:rPr>
      </w:pPr>
      <w:bookmarkStart w:id="20" w:name="_Toc79163603"/>
      <w:bookmarkStart w:id="21" w:name="_Toc79163853"/>
      <w:bookmarkStart w:id="22" w:name="_Toc15377198"/>
      <w:bookmarkStart w:id="23" w:name="_Toc15378445"/>
      <w:r>
        <w:rPr>
          <w:rFonts w:hint="eastAsia" w:ascii="仿宋" w:hAnsi="仿宋" w:eastAsia="仿宋"/>
          <w:bCs/>
          <w:color w:val="000000"/>
          <w:sz w:val="32"/>
          <w:szCs w:val="32"/>
        </w:rPr>
        <w:t>（一）主要职能。</w:t>
      </w:r>
      <w:bookmarkEnd w:id="20"/>
      <w:bookmarkEnd w:id="21"/>
    </w:p>
    <w:bookmarkEnd w:id="22"/>
    <w:bookmarkEnd w:id="23"/>
    <w:p w14:paraId="61D26DCD">
      <w:pPr>
        <w:pStyle w:val="3"/>
        <w:spacing w:line="360" w:lineRule="auto"/>
        <w:jc w:val="left"/>
        <w:rPr>
          <w:rFonts w:hint="eastAsia" w:ascii="仿宋" w:hAnsi="仿宋" w:eastAsia="仿宋" w:cs="仿宋"/>
          <w:szCs w:val="32"/>
        </w:rPr>
      </w:pPr>
      <w:bookmarkStart w:id="24" w:name="_Toc79163854"/>
      <w:bookmarkStart w:id="25" w:name="_Toc79163604"/>
      <w:bookmarkStart w:id="26" w:name="_Toc15377199"/>
      <w:bookmarkStart w:id="27" w:name="_Toc15378446"/>
      <w:r>
        <w:rPr>
          <w:rFonts w:hint="eastAsia" w:ascii="仿宋" w:hAnsi="仿宋" w:eastAsia="仿宋" w:cs="仿宋"/>
          <w:szCs w:val="32"/>
        </w:rPr>
        <w:t>1、贯彻实施国家有关国民经济和社会发展、经济体制改革的方针、政策和法律、法规。拟订全县有关国民经济和社会发展、经济体制改革的地方性法规、规章草案，负责本系统、本部门依法行政工作，落实行政执法责任制。</w:t>
      </w:r>
    </w:p>
    <w:p w14:paraId="1F9DC5DE">
      <w:pPr>
        <w:pStyle w:val="3"/>
        <w:spacing w:line="360" w:lineRule="auto"/>
        <w:jc w:val="left"/>
        <w:rPr>
          <w:rFonts w:hint="eastAsia" w:ascii="仿宋" w:hAnsi="仿宋" w:eastAsia="仿宋" w:cs="仿宋"/>
          <w:szCs w:val="32"/>
        </w:rPr>
      </w:pPr>
      <w:r>
        <w:rPr>
          <w:rFonts w:hint="eastAsia" w:ascii="仿宋" w:hAnsi="仿宋" w:eastAsia="仿宋" w:cs="仿宋"/>
          <w:szCs w:val="32"/>
        </w:rPr>
        <w:t>2、负责拟订并组织实施全县国民经济和社会发展战略、中长期规划和年度计划，统筹协调全县经济社会发展，研究分析宏观经济形势，提出全县经济社会发展、经济结构优化、价格总水平调控目标和政策建议。受县政府委托向县人大提交国民经济和社会发展计划报告。</w:t>
      </w:r>
    </w:p>
    <w:p w14:paraId="476819F6">
      <w:pPr>
        <w:pStyle w:val="3"/>
        <w:spacing w:line="360" w:lineRule="auto"/>
        <w:jc w:val="left"/>
        <w:rPr>
          <w:rFonts w:hint="eastAsia" w:ascii="仿宋" w:hAnsi="仿宋" w:eastAsia="仿宋" w:cs="仿宋"/>
          <w:szCs w:val="32"/>
        </w:rPr>
      </w:pPr>
      <w:r>
        <w:rPr>
          <w:rFonts w:hint="eastAsia" w:ascii="仿宋" w:hAnsi="仿宋" w:eastAsia="仿宋" w:cs="仿宋"/>
          <w:szCs w:val="32"/>
        </w:rPr>
        <w:t>3、负责监测宏观经济和社会发展态势，承担预测预警和信息引导的责任，研究宏观调控重大问题并提出政策建议，搞好总量平衡，综合协调经济社会发展中的重大问题。负责县级以上开发区的指导、协调和宏观管理。</w:t>
      </w:r>
    </w:p>
    <w:p w14:paraId="0949358E">
      <w:pPr>
        <w:pStyle w:val="3"/>
        <w:spacing w:line="360" w:lineRule="auto"/>
        <w:jc w:val="left"/>
        <w:rPr>
          <w:rFonts w:hint="eastAsia" w:ascii="仿宋" w:hAnsi="仿宋" w:eastAsia="仿宋" w:cs="仿宋"/>
          <w:szCs w:val="32"/>
        </w:rPr>
      </w:pPr>
      <w:r>
        <w:rPr>
          <w:rFonts w:hint="eastAsia" w:ascii="仿宋" w:hAnsi="仿宋" w:eastAsia="仿宋" w:cs="仿宋"/>
          <w:szCs w:val="32"/>
        </w:rPr>
        <w:t>4、负责汇总分析全县财政、金融等方面情况；提出多渠道融资的政策建议；综合协调财政、金融、价格和产业政策等经济杠杆以及县上直接掌握的经济手段的使用并通过法规和政策协调、信息指导，保证全县国民经济计划和发展规划的实施。</w:t>
      </w:r>
    </w:p>
    <w:p w14:paraId="30340125">
      <w:pPr>
        <w:pStyle w:val="3"/>
        <w:spacing w:line="360" w:lineRule="auto"/>
        <w:jc w:val="left"/>
        <w:rPr>
          <w:rFonts w:hint="eastAsia" w:ascii="仿宋" w:hAnsi="仿宋" w:eastAsia="仿宋" w:cs="仿宋"/>
          <w:szCs w:val="32"/>
        </w:rPr>
      </w:pPr>
      <w:r>
        <w:rPr>
          <w:rFonts w:hint="eastAsia" w:ascii="仿宋" w:hAnsi="仿宋" w:eastAsia="仿宋" w:cs="仿宋"/>
          <w:szCs w:val="32"/>
        </w:rPr>
        <w:t>5、承担指导推进和综合协调全县经济体制改革的责任，研究经济体制改革和对外开放的重大问题，组织拟订综合性经济体制改革方案，协调有关专项经济体制改革方案，指导和推进总体经济体制改革以及综合配套改革与体制创新，组织、指导和协调综合配套改革试点和重大专项经济体制改革试点。</w:t>
      </w:r>
    </w:p>
    <w:p w14:paraId="31399264">
      <w:pPr>
        <w:pStyle w:val="3"/>
        <w:spacing w:line="360" w:lineRule="auto"/>
        <w:jc w:val="left"/>
        <w:rPr>
          <w:rFonts w:hint="eastAsia" w:ascii="仿宋" w:hAnsi="仿宋" w:eastAsia="仿宋" w:cs="仿宋"/>
          <w:szCs w:val="32"/>
        </w:rPr>
      </w:pPr>
      <w:r>
        <w:rPr>
          <w:rFonts w:hint="eastAsia" w:ascii="仿宋" w:hAnsi="仿宋" w:eastAsia="仿宋" w:cs="仿宋"/>
          <w:szCs w:val="32"/>
        </w:rPr>
        <w:t>6、负责贯彻落实国家、省、州关于价格、收费改革的方针政策，拟订全县价格、收费改革方案并组织实施；负责研究草拟价格收费地方性法规、规章、政策；提出全县价格总水平调控目标和措施，研究提出保持价格总水平基本稳定的措施建议；负责监测、分析、预报全县市场价格动态和变化趋势，提出政策建议；负责监督指导全县价格法律、法规和规章制度的贯彻实施，开展反价格垄断行政执法和价格公共服务工作；负责贯彻实施国家、省各项价格规定和统一调价方案，拟订全县重要商品和服务项目的价格政策；负责研究制定县管定价目录和管理办法，制定并公布政府定价和政府指导价；负责贯彻执行国家、省行政事业性收费管理政策，会同有关部门审定行政事业性收费项目和标准，组织实施行政事业性收费、经营性收费许可证制度和年度审验制度；负责监督检查政府定价、政府指导价以及政策规定的收费标准的执行情况；负责受理价格、收费违法行为和不正当价格行为的举报、投诉；负责实施价格行政执法，依法查处价格违法行为和违法案件，实施行政处罚；承担涉案物品价格评估；承担组织对农产品、垄断行业、公用事业和公益性服务价格的成本调查和监审；承担商品和服务价格定价成本监审工作。</w:t>
      </w:r>
    </w:p>
    <w:p w14:paraId="44B4F52C">
      <w:pPr>
        <w:pStyle w:val="3"/>
        <w:spacing w:line="360" w:lineRule="auto"/>
        <w:jc w:val="left"/>
        <w:rPr>
          <w:rFonts w:hint="eastAsia" w:ascii="仿宋" w:hAnsi="仿宋" w:eastAsia="仿宋" w:cs="仿宋"/>
          <w:szCs w:val="32"/>
        </w:rPr>
      </w:pPr>
      <w:r>
        <w:rPr>
          <w:rFonts w:hint="eastAsia" w:ascii="仿宋" w:hAnsi="仿宋" w:eastAsia="仿宋" w:cs="仿宋"/>
          <w:szCs w:val="32"/>
        </w:rPr>
        <w:t>7、负责重要商品总量平衡和宏观调控。研究分析县内外市场和对外贸易运行情况，编制重要农产品、工业品和原材料进出口总量计划并监督执行。会同有关部门管理粮食等重要物资和商品的县级储备工作，提出重要商品市场、生产要素市场的总体布局和发展规划。贯彻执行国家粮食流通和储备粮管理的方针、政策和法律、法规，拟定全县粮食流通和县级储备粮管理的有关法规草案、规章制度和有关政策，并组织执行。承担粮食预警监测和应急责任，负责全县粮食宏观调控具体工作，组织指导全县粮食系统统计工作；负责州级储备粮管理，指导全县粮食储备体系建设。监督检查县级储备粮库存数量、质量和安全，研究提出县级储备粮的收购、轮换、抛售计划，并组织实施。负责全县粮食收购、储存环节和政策性用粮质量安全，负责库存原粮卫生监督管理，指导粮食行业安全生产和抢险救灾，指导全县农村科学储粮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安全生产工作；承担行业统计工作。</w:t>
      </w:r>
    </w:p>
    <w:p w14:paraId="71AC4276">
      <w:pPr>
        <w:pStyle w:val="3"/>
        <w:spacing w:line="360" w:lineRule="auto"/>
        <w:jc w:val="left"/>
        <w:rPr>
          <w:rFonts w:hint="eastAsia" w:ascii="仿宋" w:hAnsi="仿宋" w:eastAsia="仿宋" w:cs="仿宋"/>
          <w:szCs w:val="32"/>
        </w:rPr>
      </w:pPr>
      <w:r>
        <w:rPr>
          <w:rFonts w:hint="eastAsia" w:ascii="仿宋" w:hAnsi="仿宋" w:eastAsia="仿宋" w:cs="仿宋"/>
          <w:szCs w:val="32"/>
        </w:rPr>
        <w:t>8、负责全县投资宏观管理和协调推进重大项目建设。拟订全社会固定资产投资总规模和投资结构，编制年度投资计划；研究提出有关重大投资政策，规划重大项目和生产力布局；安排财政性建设资金，指导和监督政策性贷款的使用方向；申报限额以上和审批权限以内的基本建设项目；按照基本建设程序，负责全县基本建设项目立项、可行性研究报告和国家出资的工业（含内贸）、农业、水利、交通、信息产业等行业和产业项目的初步设计审查、开工报告审批工作；引导民间资金用于固定资产投资的方向；研究提出全县利用外资的发展战略、总量平衡和结构优化的目标和政策措施；提出拟订全县工商领域外的外商投资产业指导目录的意见；审批权限以内国外贷款、外商提资和境外投资项目；申报和审核利用外资、境外投资的重大项目；负责编制全县重点建设项目和年度投资计划；负责组织和管理重大建设项目稽察工作。</w:t>
      </w:r>
    </w:p>
    <w:p w14:paraId="6F3B544E">
      <w:pPr>
        <w:pStyle w:val="3"/>
        <w:spacing w:line="360" w:lineRule="auto"/>
        <w:jc w:val="left"/>
        <w:rPr>
          <w:rFonts w:hint="eastAsia" w:ascii="仿宋" w:hAnsi="仿宋" w:eastAsia="仿宋" w:cs="仿宋"/>
          <w:szCs w:val="32"/>
        </w:rPr>
      </w:pPr>
      <w:r>
        <w:rPr>
          <w:rFonts w:hint="eastAsia" w:ascii="仿宋" w:hAnsi="仿宋" w:eastAsia="仿宋" w:cs="仿宋"/>
          <w:szCs w:val="32"/>
        </w:rPr>
        <w:t>9、推进经济结构战略性调整。组织拟订全县综合性产业政策，负责协调第一、二、三产业发展的重大问题，衔接平衡相关发展规划和重大政策，协调农业和农村经济社会发展的重大问题，衔接农村专项规划和政策。拟订重大产业发展规划，引导全县重大生产力合理布局，协调推进全县重大技术装备推广应用和重大产业基地建设，会同有关部门拟订服务业、现代物流业发展战略、规划和重大政策。组织拟订高技术产业发展、产业技术进步的战略、规划和重大政策，指导全县自主创新体系建设发展。</w:t>
      </w:r>
    </w:p>
    <w:p w14:paraId="7495BDC3">
      <w:pPr>
        <w:pStyle w:val="3"/>
        <w:spacing w:line="360" w:lineRule="auto"/>
        <w:jc w:val="left"/>
        <w:rPr>
          <w:rFonts w:hint="eastAsia" w:ascii="仿宋" w:hAnsi="仿宋" w:eastAsia="仿宋" w:cs="仿宋"/>
          <w:szCs w:val="32"/>
        </w:rPr>
      </w:pPr>
      <w:r>
        <w:rPr>
          <w:rFonts w:hint="eastAsia" w:ascii="仿宋" w:hAnsi="仿宋" w:eastAsia="仿宋" w:cs="仿宋"/>
          <w:szCs w:val="32"/>
        </w:rPr>
        <w:t>10、促进城乡区域协调发展。组织编制全县主体功能区规划并协调规划实施和进行监测评估，组织拟订区域协调发展战略、规划和重大政策，研究提出城镇化发展战略和统筹城乡发展的重大政策，负责地区经济协作的统筹协调。</w:t>
      </w:r>
    </w:p>
    <w:p w14:paraId="4CADC390">
      <w:pPr>
        <w:pStyle w:val="3"/>
        <w:spacing w:line="360" w:lineRule="auto"/>
        <w:jc w:val="left"/>
        <w:rPr>
          <w:rFonts w:hint="eastAsia" w:ascii="仿宋" w:hAnsi="仿宋" w:eastAsia="仿宋" w:cs="仿宋"/>
          <w:szCs w:val="32"/>
        </w:rPr>
      </w:pPr>
      <w:r>
        <w:rPr>
          <w:rFonts w:hint="eastAsia" w:ascii="仿宋" w:hAnsi="仿宋" w:eastAsia="仿宋" w:cs="仿宋"/>
          <w:szCs w:val="32"/>
        </w:rPr>
        <w:t>11、负责全县社会发展与国民经济发展的政策衔接，组织拟订社会发展战略、总体规划和年度计划，参与拟订人口和计划生育、科学技术、教育、文化、卫生、民政等发展政策，推进社会事业建设。研究提出促进就业、调整收入分配、完善社会保障与经济协调发展的政策建议，协调社会事业发展和政策中的重大问题及政策。</w:t>
      </w:r>
    </w:p>
    <w:p w14:paraId="1B38FDFD">
      <w:pPr>
        <w:pStyle w:val="3"/>
        <w:spacing w:line="360" w:lineRule="auto"/>
        <w:jc w:val="left"/>
        <w:rPr>
          <w:rFonts w:hint="eastAsia" w:ascii="仿宋" w:hAnsi="仿宋" w:eastAsia="仿宋" w:cs="仿宋"/>
          <w:szCs w:val="32"/>
        </w:rPr>
      </w:pPr>
      <w:r>
        <w:rPr>
          <w:rFonts w:hint="eastAsia" w:ascii="仿宋" w:hAnsi="仿宋" w:eastAsia="仿宋" w:cs="仿宋"/>
          <w:szCs w:val="32"/>
        </w:rPr>
        <w:t>12、推进可持续发展，负责全县节能减排的综合协调工作，组织拟订并协调实施全州发展循环经济、能源资源节约和综合利用规划及政策措施，参与编制生态建设、环境保护规划，协调生态建设、能源资源节约和综合利用的重大问题。</w:t>
      </w:r>
    </w:p>
    <w:p w14:paraId="335EE026">
      <w:pPr>
        <w:pStyle w:val="3"/>
        <w:spacing w:line="360" w:lineRule="auto"/>
        <w:jc w:val="left"/>
        <w:rPr>
          <w:rFonts w:hint="eastAsia" w:ascii="仿宋" w:hAnsi="仿宋" w:eastAsia="仿宋" w:cs="仿宋"/>
          <w:szCs w:val="32"/>
        </w:rPr>
      </w:pPr>
      <w:r>
        <w:rPr>
          <w:rFonts w:hint="eastAsia" w:ascii="仿宋" w:hAnsi="仿宋" w:eastAsia="仿宋" w:cs="仿宋"/>
          <w:szCs w:val="32"/>
        </w:rPr>
        <w:t>13、指导、协调并综合管理全县招标投标工作，对国家和县重大建设项目建设过程中的工程招标投标活动实施监督检查。</w:t>
      </w:r>
    </w:p>
    <w:p w14:paraId="0781B4E2">
      <w:pPr>
        <w:pStyle w:val="3"/>
        <w:spacing w:line="360" w:lineRule="auto"/>
        <w:jc w:val="left"/>
        <w:rPr>
          <w:rFonts w:hint="eastAsia" w:ascii="仿宋" w:hAnsi="仿宋" w:eastAsia="仿宋" w:cs="仿宋"/>
          <w:szCs w:val="32"/>
        </w:rPr>
      </w:pPr>
      <w:r>
        <w:rPr>
          <w:rFonts w:hint="eastAsia" w:ascii="仿宋" w:hAnsi="仿宋" w:eastAsia="仿宋" w:cs="仿宋"/>
          <w:szCs w:val="32"/>
        </w:rPr>
        <w:t>14、负责铁路、机场等综合交通的规划和发展协调；参与协调高速公路项目建设中涉及的重大问题，组织协调和处理全县铁路建设项目前期工作、征地拆迁、建设过程中涉及的重大问题，协同做好全县铁路建设规划及年度计划编制的相关工作。</w:t>
      </w:r>
    </w:p>
    <w:p w14:paraId="67DE6048">
      <w:pPr>
        <w:pStyle w:val="3"/>
        <w:spacing w:line="360" w:lineRule="auto"/>
        <w:jc w:val="left"/>
        <w:rPr>
          <w:rFonts w:hint="eastAsia" w:ascii="仿宋" w:hAnsi="仿宋" w:eastAsia="仿宋" w:cs="仿宋"/>
          <w:szCs w:val="32"/>
        </w:rPr>
      </w:pPr>
      <w:r>
        <w:rPr>
          <w:rFonts w:hint="eastAsia" w:ascii="仿宋" w:hAnsi="仿宋" w:eastAsia="仿宋" w:cs="仿宋"/>
          <w:szCs w:val="32"/>
        </w:rPr>
        <w:t>15、负责组织编制全县国民经济动员与装备动员规划、计划，研究国民经济动员与装备动员和国民经济、国防建设的关系，协调相关重大问题，组织实施国民经济动员与装备动员有关工作。</w:t>
      </w:r>
    </w:p>
    <w:p w14:paraId="55857D67">
      <w:pPr>
        <w:pStyle w:val="3"/>
        <w:spacing w:line="360" w:lineRule="auto"/>
        <w:jc w:val="left"/>
        <w:rPr>
          <w:rFonts w:hint="eastAsia" w:ascii="仿宋" w:hAnsi="仿宋" w:eastAsia="仿宋" w:cs="仿宋"/>
          <w:szCs w:val="32"/>
        </w:rPr>
      </w:pPr>
      <w:r>
        <w:rPr>
          <w:rFonts w:hint="eastAsia" w:ascii="仿宋" w:hAnsi="仿宋" w:eastAsia="仿宋" w:cs="仿宋"/>
          <w:szCs w:val="32"/>
        </w:rPr>
        <w:t>16、承担县实施西部大开发领导小组、县重点项目领导小组的具体工作。</w:t>
      </w:r>
    </w:p>
    <w:p w14:paraId="0870E41E">
      <w:pPr>
        <w:pStyle w:val="3"/>
        <w:spacing w:line="360" w:lineRule="auto"/>
        <w:jc w:val="left"/>
        <w:rPr>
          <w:rFonts w:hint="eastAsia" w:ascii="仿宋" w:hAnsi="仿宋" w:eastAsia="仿宋" w:cs="仿宋"/>
          <w:szCs w:val="32"/>
        </w:rPr>
      </w:pPr>
      <w:r>
        <w:rPr>
          <w:rFonts w:hint="eastAsia" w:ascii="仿宋" w:hAnsi="仿宋" w:eastAsia="仿宋" w:cs="仿宋"/>
          <w:szCs w:val="32"/>
        </w:rPr>
        <w:t>17、承担县政府公布的有关行政审批事项。</w:t>
      </w:r>
    </w:p>
    <w:p w14:paraId="089AD2A4">
      <w:pPr>
        <w:pStyle w:val="8"/>
        <w:adjustRightInd w:val="0"/>
        <w:snapToGrid w:val="0"/>
        <w:spacing w:before="93" w:line="600" w:lineRule="exact"/>
        <w:ind w:firstLine="672" w:firstLineChars="210"/>
        <w:outlineLvl w:val="2"/>
        <w:rPr>
          <w:rFonts w:hint="eastAsia" w:ascii="仿宋" w:hAnsi="仿宋" w:eastAsia="仿宋"/>
          <w:bCs/>
          <w:color w:val="000000"/>
          <w:sz w:val="32"/>
          <w:szCs w:val="32"/>
        </w:rPr>
      </w:pPr>
      <w:r>
        <w:rPr>
          <w:rFonts w:hint="eastAsia" w:ascii="仿宋" w:hAnsi="仿宋" w:eastAsia="仿宋"/>
          <w:bCs/>
          <w:color w:val="000000"/>
          <w:sz w:val="32"/>
          <w:szCs w:val="32"/>
        </w:rPr>
        <w:t>（二）</w:t>
      </w:r>
      <w:r>
        <w:rPr>
          <w:rFonts w:ascii="仿宋" w:hAnsi="仿宋" w:eastAsia="仿宋"/>
          <w:bCs/>
          <w:color w:val="000000"/>
          <w:sz w:val="32"/>
          <w:szCs w:val="32"/>
        </w:rPr>
        <w:t>202</w:t>
      </w:r>
      <w:r>
        <w:rPr>
          <w:rFonts w:hint="eastAsia" w:ascii="仿宋" w:hAnsi="仿宋" w:eastAsia="仿宋"/>
          <w:bCs/>
          <w:color w:val="000000"/>
          <w:sz w:val="32"/>
          <w:szCs w:val="32"/>
        </w:rPr>
        <w:t>1年重点工作完成情况。</w:t>
      </w:r>
      <w:bookmarkEnd w:id="24"/>
      <w:bookmarkEnd w:id="25"/>
      <w:bookmarkEnd w:id="26"/>
      <w:bookmarkEnd w:id="27"/>
    </w:p>
    <w:p w14:paraId="1ACE89A5">
      <w:pPr>
        <w:keepNext w:val="0"/>
        <w:keepLines w:val="0"/>
        <w:pageBreakBefore w:val="0"/>
        <w:widowControl w:val="0"/>
        <w:numPr>
          <w:ilvl w:val="0"/>
          <w:numId w:val="0"/>
        </w:numPr>
        <w:kinsoku/>
        <w:wordWrap/>
        <w:overflowPunct w:val="0"/>
        <w:topLinePunct w:val="0"/>
        <w:autoSpaceDE/>
        <w:autoSpaceDN/>
        <w:bidi w:val="0"/>
        <w:adjustRightInd/>
        <w:snapToGrid/>
        <w:spacing w:line="578" w:lineRule="exact"/>
        <w:ind w:leftChars="200" w:right="0" w:rightChars="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1、致力抓经济稳增长，发展步伐更加稳健</w:t>
      </w:r>
    </w:p>
    <w:p w14:paraId="0373AC02">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3"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bCs/>
          <w:color w:val="auto"/>
          <w:sz w:val="32"/>
          <w:szCs w:val="32"/>
        </w:rPr>
        <w:t>经济运行分析</w:t>
      </w:r>
      <w:r>
        <w:rPr>
          <w:rFonts w:hint="eastAsia" w:ascii="仿宋_GB2312" w:hAnsi="仿宋_GB2312" w:eastAsia="仿宋_GB2312" w:cs="仿宋_GB2312"/>
          <w:b/>
          <w:bCs/>
          <w:color w:val="auto"/>
          <w:sz w:val="32"/>
          <w:szCs w:val="32"/>
          <w:lang w:val="en-US" w:eastAsia="zh-CN"/>
        </w:rPr>
        <w:t>精准有效。</w:t>
      </w:r>
      <w:r>
        <w:rPr>
          <w:rFonts w:hint="eastAsia" w:ascii="仿宋_GB2312" w:hAnsi="仿宋_GB2312" w:eastAsia="仿宋_GB2312" w:cs="仿宋_GB2312"/>
          <w:sz w:val="32"/>
          <w:szCs w:val="32"/>
        </w:rPr>
        <w:t>面对复杂的宏观经济形势，</w:t>
      </w:r>
      <w:r>
        <w:rPr>
          <w:rFonts w:hint="eastAsia" w:ascii="仿宋_GB2312" w:hAnsi="仿宋_GB2312" w:eastAsia="仿宋_GB2312" w:cs="仿宋_GB2312"/>
          <w:color w:val="auto"/>
          <w:sz w:val="32"/>
          <w:szCs w:val="32"/>
        </w:rPr>
        <w:t>定期召集行业主管部门</w:t>
      </w:r>
      <w:r>
        <w:rPr>
          <w:rFonts w:hint="eastAsia" w:ascii="仿宋_GB2312" w:hAnsi="仿宋_GB2312" w:eastAsia="仿宋_GB2312" w:cs="仿宋_GB2312"/>
          <w:color w:val="auto"/>
          <w:sz w:val="32"/>
          <w:szCs w:val="32"/>
          <w:lang w:eastAsia="zh-CN"/>
        </w:rPr>
        <w:t>召开经济运行分析会，专题</w:t>
      </w:r>
      <w:r>
        <w:rPr>
          <w:rFonts w:hint="eastAsia" w:ascii="仿宋_GB2312" w:hAnsi="仿宋_GB2312" w:eastAsia="仿宋_GB2312" w:cs="仿宋_GB2312"/>
          <w:color w:val="auto"/>
          <w:sz w:val="32"/>
          <w:szCs w:val="32"/>
        </w:rPr>
        <w:t>研判</w:t>
      </w:r>
      <w:r>
        <w:rPr>
          <w:rFonts w:hint="eastAsia" w:ascii="仿宋_GB2312" w:hAnsi="仿宋_GB2312" w:eastAsia="仿宋_GB2312" w:cs="仿宋_GB2312"/>
          <w:color w:val="auto"/>
          <w:sz w:val="32"/>
          <w:szCs w:val="32"/>
          <w:lang w:eastAsia="zh-CN"/>
        </w:rPr>
        <w:t>当前</w:t>
      </w:r>
      <w:r>
        <w:rPr>
          <w:rFonts w:hint="eastAsia" w:ascii="仿宋_GB2312" w:hAnsi="仿宋_GB2312" w:eastAsia="仿宋_GB2312" w:cs="仿宋_GB2312"/>
          <w:color w:val="auto"/>
          <w:sz w:val="32"/>
          <w:szCs w:val="32"/>
        </w:rPr>
        <w:t>经济形势、</w:t>
      </w:r>
      <w:r>
        <w:rPr>
          <w:rFonts w:hint="eastAsia" w:ascii="仿宋_GB2312" w:hAnsi="仿宋_GB2312" w:eastAsia="仿宋_GB2312" w:cs="仿宋_GB2312"/>
          <w:sz w:val="32"/>
          <w:szCs w:val="32"/>
          <w:lang w:eastAsia="zh-CN"/>
        </w:rPr>
        <w:t>查找</w:t>
      </w:r>
      <w:r>
        <w:rPr>
          <w:rFonts w:hint="eastAsia" w:ascii="仿宋_GB2312" w:hAnsi="仿宋_GB2312" w:eastAsia="仿宋_GB2312" w:cs="仿宋_GB2312"/>
          <w:sz w:val="32"/>
          <w:szCs w:val="32"/>
        </w:rPr>
        <w:t>薄弱环节</w:t>
      </w:r>
      <w:r>
        <w:rPr>
          <w:rFonts w:hint="eastAsia" w:ascii="仿宋_GB2312" w:hAnsi="仿宋_GB2312" w:eastAsia="仿宋_GB2312" w:cs="仿宋_GB2312"/>
          <w:color w:val="auto"/>
          <w:sz w:val="32"/>
          <w:szCs w:val="32"/>
          <w:lang w:eastAsia="zh-CN"/>
        </w:rPr>
        <w:t>、制定</w:t>
      </w:r>
      <w:r>
        <w:rPr>
          <w:rFonts w:hint="eastAsia" w:ascii="仿宋_GB2312" w:hAnsi="仿宋_GB2312" w:eastAsia="仿宋_GB2312" w:cs="仿宋_GB2312"/>
          <w:color w:val="auto"/>
          <w:sz w:val="32"/>
          <w:szCs w:val="32"/>
        </w:rPr>
        <w:t>化解问题风险</w:t>
      </w:r>
      <w:r>
        <w:rPr>
          <w:rFonts w:hint="eastAsia" w:ascii="仿宋_GB2312" w:hAnsi="仿宋_GB2312" w:eastAsia="仿宋_GB2312" w:cs="仿宋_GB2312"/>
          <w:color w:val="auto"/>
          <w:sz w:val="32"/>
          <w:szCs w:val="32"/>
          <w:lang w:eastAsia="zh-CN"/>
        </w:rPr>
        <w:t>方案，</w:t>
      </w:r>
      <w:r>
        <w:rPr>
          <w:rFonts w:hint="eastAsia" w:ascii="仿宋_GB2312" w:hAnsi="仿宋_GB2312" w:eastAsia="仿宋_GB2312" w:cs="仿宋_GB2312"/>
          <w:color w:val="auto"/>
          <w:sz w:val="32"/>
          <w:szCs w:val="32"/>
        </w:rPr>
        <w:t>全</w:t>
      </w:r>
      <w:r>
        <w:rPr>
          <w:rFonts w:hint="eastAsia" w:ascii="仿宋_GB2312" w:hAnsi="仿宋_GB2312" w:eastAsia="仿宋_GB2312" w:cs="仿宋_GB2312"/>
          <w:color w:val="auto"/>
          <w:sz w:val="32"/>
          <w:szCs w:val="32"/>
          <w:lang w:eastAsia="zh-CN"/>
        </w:rPr>
        <w:t>县</w:t>
      </w:r>
      <w:r>
        <w:rPr>
          <w:rFonts w:hint="eastAsia" w:ascii="仿宋_GB2312" w:hAnsi="仿宋_GB2312" w:eastAsia="仿宋_GB2312" w:cs="仿宋_GB2312"/>
          <w:color w:val="auto"/>
          <w:sz w:val="32"/>
          <w:szCs w:val="32"/>
        </w:rPr>
        <w:t>经济呈现</w:t>
      </w:r>
      <w:r>
        <w:rPr>
          <w:rFonts w:hint="eastAsia" w:ascii="仿宋_GB2312" w:hAnsi="仿宋_GB2312" w:eastAsia="仿宋_GB2312" w:cs="仿宋_GB2312"/>
          <w:color w:val="auto"/>
          <w:sz w:val="32"/>
          <w:szCs w:val="32"/>
          <w:lang w:eastAsia="zh-CN"/>
        </w:rPr>
        <w:t>整体平稳的</w:t>
      </w:r>
      <w:r>
        <w:rPr>
          <w:rFonts w:hint="eastAsia" w:ascii="仿宋_GB2312" w:hAnsi="仿宋_GB2312" w:eastAsia="仿宋_GB2312" w:cs="仿宋_GB2312"/>
          <w:color w:val="auto"/>
          <w:sz w:val="32"/>
          <w:szCs w:val="32"/>
        </w:rPr>
        <w:t>态势，</w:t>
      </w:r>
      <w:r>
        <w:rPr>
          <w:rFonts w:hint="eastAsia" w:ascii="仿宋_GB2312" w:hAnsi="仿宋_GB2312" w:eastAsia="仿宋_GB2312" w:cs="仿宋_GB2312"/>
          <w:b w:val="0"/>
          <w:bCs w:val="0"/>
          <w:color w:val="auto"/>
          <w:sz w:val="32"/>
          <w:szCs w:val="32"/>
          <w:lang w:val="en-US" w:eastAsia="zh-CN"/>
        </w:rPr>
        <w:t>前三季度，预计实现地区生产总值20.73亿元，增长7%</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sz w:val="32"/>
          <w:szCs w:val="32"/>
        </w:rPr>
        <w:t>经预测，</w:t>
      </w:r>
      <w:r>
        <w:rPr>
          <w:rFonts w:hint="eastAsia" w:ascii="仿宋_GB2312" w:hAnsi="仿宋_GB2312" w:eastAsia="仿宋_GB2312" w:cs="仿宋_GB2312"/>
          <w:sz w:val="32"/>
          <w:szCs w:val="32"/>
          <w:lang w:eastAsia="zh-CN"/>
        </w:rPr>
        <w:t>全年</w:t>
      </w:r>
      <w:r>
        <w:rPr>
          <w:rFonts w:hint="eastAsia" w:ascii="仿宋_GB2312" w:hAnsi="仿宋_GB2312" w:eastAsia="仿宋_GB2312" w:cs="仿宋_GB2312"/>
          <w:sz w:val="32"/>
          <w:szCs w:val="32"/>
          <w:lang w:val="en-US" w:eastAsia="zh-CN"/>
        </w:rPr>
        <w:t>全县</w:t>
      </w:r>
      <w:r>
        <w:rPr>
          <w:rFonts w:hint="eastAsia" w:ascii="仿宋_GB2312" w:hAnsi="仿宋_GB2312" w:eastAsia="仿宋_GB2312" w:cs="仿宋_GB2312"/>
          <w:sz w:val="32"/>
          <w:szCs w:val="32"/>
        </w:rPr>
        <w:t>实现地区生产总值</w:t>
      </w:r>
      <w:r>
        <w:rPr>
          <w:rFonts w:hint="eastAsia" w:ascii="仿宋_GB2312" w:hAnsi="仿宋_GB2312" w:eastAsia="仿宋_GB2312" w:cs="仿宋_GB2312"/>
          <w:sz w:val="32"/>
          <w:szCs w:val="32"/>
          <w:lang w:val="en-US" w:eastAsia="zh-CN"/>
        </w:rPr>
        <w:t>28.54</w:t>
      </w:r>
      <w:r>
        <w:rPr>
          <w:rFonts w:hint="eastAsia" w:ascii="仿宋_GB2312" w:hAnsi="仿宋_GB2312" w:eastAsia="仿宋_GB2312" w:cs="仿宋_GB2312"/>
          <w:sz w:val="32"/>
          <w:szCs w:val="32"/>
        </w:rPr>
        <w:t>亿元，</w:t>
      </w:r>
      <w:r>
        <w:rPr>
          <w:rFonts w:hint="eastAsia" w:ascii="仿宋_GB2312" w:hAnsi="仿宋_GB2312" w:eastAsia="仿宋_GB2312" w:cs="仿宋_GB2312"/>
          <w:b w:val="0"/>
          <w:bCs w:val="0"/>
          <w:color w:val="000000" w:themeColor="text1"/>
          <w:spacing w:val="0"/>
          <w:kern w:val="2"/>
          <w:sz w:val="32"/>
          <w:szCs w:val="32"/>
          <w:u w:val="none" w:color="auto"/>
          <w:lang w:val="en-US" w:eastAsia="zh-CN" w:bidi="ar-SA"/>
          <w14:textFill>
            <w14:solidFill>
              <w14:schemeClr w14:val="tx1"/>
            </w14:solidFill>
          </w14:textFill>
        </w:rPr>
        <w:t>同比增长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7.5</w:t>
      </w:r>
      <w:r>
        <w:rPr>
          <w:rFonts w:hint="eastAsia" w:ascii="仿宋_GB2312" w:hAnsi="仿宋_GB2312" w:eastAsia="仿宋_GB2312" w:cs="仿宋_GB2312"/>
          <w:color w:val="000000" w:themeColor="text1"/>
          <w:sz w:val="32"/>
          <w:szCs w:val="32"/>
          <w14:textFill>
            <w14:solidFill>
              <w14:schemeClr w14:val="tx1"/>
            </w14:solidFill>
          </w14:textFill>
        </w:rPr>
        <w:t>%；规模以上工业增加值增长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1.3</w:t>
      </w:r>
      <w:r>
        <w:rPr>
          <w:rFonts w:hint="eastAsia" w:ascii="仿宋_GB2312" w:hAnsi="仿宋_GB2312" w:eastAsia="仿宋_GB2312" w:cs="仿宋_GB2312"/>
          <w:color w:val="000000" w:themeColor="text1"/>
          <w:sz w:val="32"/>
          <w:szCs w:val="32"/>
          <w14:textFill>
            <w14:solidFill>
              <w14:schemeClr w14:val="tx1"/>
            </w14:solidFill>
          </w14:textFill>
        </w:rPr>
        <w:t>%；固定资产投资增长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%；完成全社会消费品零售总额</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6.43亿</w:t>
      </w:r>
      <w:r>
        <w:rPr>
          <w:rFonts w:hint="eastAsia" w:ascii="仿宋_GB2312" w:hAnsi="仿宋_GB2312" w:eastAsia="仿宋_GB2312" w:cs="仿宋_GB2312"/>
          <w:color w:val="000000" w:themeColor="text1"/>
          <w:sz w:val="32"/>
          <w:szCs w:val="32"/>
          <w14:textFill>
            <w14:solidFill>
              <w14:schemeClr w14:val="tx1"/>
            </w14:solidFill>
          </w14:textFill>
        </w:rPr>
        <w:t>元，增长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14.1</w:t>
      </w:r>
      <w:r>
        <w:rPr>
          <w:rFonts w:hint="eastAsia" w:ascii="仿宋_GB2312" w:hAnsi="仿宋_GB2312" w:eastAsia="仿宋_GB2312" w:cs="仿宋_GB2312"/>
          <w:color w:val="000000" w:themeColor="text1"/>
          <w:sz w:val="32"/>
          <w:szCs w:val="32"/>
          <w14:textFill>
            <w14:solidFill>
              <w14:schemeClr w14:val="tx1"/>
            </w14:solidFill>
          </w14:textFill>
        </w:rPr>
        <w:t>%；完成财政预算收入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10080</w:t>
      </w:r>
      <w:r>
        <w:rPr>
          <w:rFonts w:hint="eastAsia" w:ascii="仿宋_GB2312" w:hAnsi="仿宋_GB2312" w:eastAsia="仿宋_GB2312" w:cs="仿宋_GB2312"/>
          <w:color w:val="000000" w:themeColor="text1"/>
          <w:sz w:val="32"/>
          <w:szCs w:val="32"/>
          <w14:textFill>
            <w14:solidFill>
              <w14:schemeClr w14:val="tx1"/>
            </w14:solidFill>
          </w14:textFill>
        </w:rPr>
        <w:t>万元，增长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5.0</w:t>
      </w:r>
      <w:r>
        <w:rPr>
          <w:rFonts w:hint="eastAsia" w:ascii="仿宋_GB2312" w:hAnsi="仿宋_GB2312" w:eastAsia="仿宋_GB2312" w:cs="仿宋_GB2312"/>
          <w:color w:val="000000" w:themeColor="text1"/>
          <w:sz w:val="32"/>
          <w:szCs w:val="32"/>
          <w14:textFill>
            <w14:solidFill>
              <w14:schemeClr w14:val="tx1"/>
            </w14:solidFill>
          </w14:textFill>
        </w:rPr>
        <w:t>%；农村居民人均可支配收入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达17409</w:t>
      </w:r>
      <w:r>
        <w:rPr>
          <w:rFonts w:hint="eastAsia" w:ascii="仿宋_GB2312" w:hAnsi="仿宋_GB2312" w:eastAsia="仿宋_GB2312" w:cs="仿宋_GB2312"/>
          <w:color w:val="000000" w:themeColor="text1"/>
          <w:sz w:val="32"/>
          <w:szCs w:val="32"/>
          <w14:textFill>
            <w14:solidFill>
              <w14:schemeClr w14:val="tx1"/>
            </w14:solidFill>
          </w14:textFill>
        </w:rPr>
        <w:t>元，增长12%；城镇居民人均可支配收入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达40785</w:t>
      </w:r>
      <w:r>
        <w:rPr>
          <w:rFonts w:hint="eastAsia" w:ascii="仿宋_GB2312" w:hAnsi="仿宋_GB2312" w:eastAsia="仿宋_GB2312" w:cs="仿宋_GB2312"/>
          <w:color w:val="000000" w:themeColor="text1"/>
          <w:sz w:val="32"/>
          <w:szCs w:val="32"/>
          <w14:textFill>
            <w14:solidFill>
              <w14:schemeClr w14:val="tx1"/>
            </w14:solidFill>
          </w14:textFill>
        </w:rPr>
        <w:t>元，增长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接待</w:t>
      </w:r>
      <w:r>
        <w:rPr>
          <w:rFonts w:hint="eastAsia" w:ascii="仿宋_GB2312" w:hAnsi="仿宋_GB2312" w:eastAsia="仿宋_GB2312" w:cs="仿宋_GB2312"/>
          <w:color w:val="000000" w:themeColor="text1"/>
          <w:sz w:val="32"/>
          <w:szCs w:val="32"/>
          <w14:textFill>
            <w14:solidFill>
              <w14:schemeClr w14:val="tx1"/>
            </w14:solidFill>
          </w14:textFill>
        </w:rPr>
        <w:t>旅游人次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572.8</w:t>
      </w:r>
      <w:r>
        <w:rPr>
          <w:rFonts w:hint="eastAsia" w:ascii="仿宋_GB2312" w:hAnsi="仿宋_GB2312" w:eastAsia="仿宋_GB2312" w:cs="仿宋_GB2312"/>
          <w:color w:val="000000" w:themeColor="text1"/>
          <w:sz w:val="32"/>
          <w:szCs w:val="32"/>
          <w14:textFill>
            <w14:solidFill>
              <w14:schemeClr w14:val="tx1"/>
            </w14:solidFill>
          </w14:textFill>
        </w:rPr>
        <w:t>万人次，增长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15.0</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实现</w:t>
      </w:r>
      <w:r>
        <w:rPr>
          <w:rFonts w:hint="eastAsia" w:ascii="仿宋_GB2312" w:hAnsi="仿宋_GB2312" w:eastAsia="仿宋_GB2312" w:cs="仿宋_GB2312"/>
          <w:color w:val="000000" w:themeColor="text1"/>
          <w:sz w:val="32"/>
          <w:szCs w:val="32"/>
          <w14:textFill>
            <w14:solidFill>
              <w14:schemeClr w14:val="tx1"/>
            </w14:solidFill>
          </w14:textFill>
        </w:rPr>
        <w:t>旅游总收入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49.4</w:t>
      </w:r>
      <w:r>
        <w:rPr>
          <w:rFonts w:hint="eastAsia" w:ascii="仿宋_GB2312" w:hAnsi="仿宋_GB2312" w:eastAsia="仿宋_GB2312" w:cs="仿宋_GB2312"/>
          <w:color w:val="000000" w:themeColor="text1"/>
          <w:sz w:val="32"/>
          <w:szCs w:val="32"/>
          <w14:textFill>
            <w14:solidFill>
              <w14:schemeClr w14:val="tx1"/>
            </w14:solidFill>
          </w14:textFill>
        </w:rPr>
        <w:t>亿元，增长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22.0</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bCs/>
          <w:color w:val="auto"/>
          <w:sz w:val="32"/>
          <w:szCs w:val="32"/>
          <w:lang w:val="en-US" w:eastAsia="zh-CN"/>
        </w:rPr>
        <w:t>绿色生态发展再上台阶</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eastAsia="仿宋_GB2312" w:cs="仿宋_GB2312"/>
          <w:b w:val="0"/>
          <w:bCs w:val="0"/>
          <w:color w:val="auto"/>
          <w:sz w:val="32"/>
          <w:szCs w:val="32"/>
          <w:u w:val="none"/>
          <w:lang w:val="en-US" w:eastAsia="zh-CN"/>
        </w:rPr>
        <w:t>扎实推进长江黄河上游</w:t>
      </w:r>
      <w:r>
        <w:rPr>
          <w:rFonts w:hint="eastAsia" w:ascii="仿宋_GB2312" w:hAnsi="仿宋_GB2312" w:eastAsia="仿宋_GB2312" w:cs="仿宋_GB2312"/>
          <w:b w:val="0"/>
          <w:bCs w:val="0"/>
          <w:color w:val="auto"/>
          <w:sz w:val="32"/>
          <w:szCs w:val="32"/>
          <w:lang w:val="en-US" w:eastAsia="zh-CN"/>
        </w:rPr>
        <w:t>重在保护要在治理高质量发展战略</w:t>
      </w:r>
      <w:r>
        <w:rPr>
          <w:rFonts w:hint="eastAsia" w:ascii="仿宋_GB2312" w:hAnsi="仿宋_GB2312" w:eastAsia="仿宋_GB2312" w:cs="仿宋_GB2312"/>
          <w:b w:val="0"/>
          <w:bCs w:val="0"/>
          <w:color w:val="auto"/>
          <w:sz w:val="32"/>
          <w:szCs w:val="32"/>
          <w:u w:val="none"/>
          <w:lang w:val="en-US" w:eastAsia="zh-CN"/>
        </w:rPr>
        <w:t>，成立了《松潘县推动黄河流域生态保护和高质量发展领导小组》，制定了《松潘县黄河流域生态保护和高质量发展实施方案（征求意见稿）》，谋划储备项目90个。总投资398.25亿元，结合节小水电清理工作整改完善小水电18座、清退4座。</w:t>
      </w:r>
      <w:r>
        <w:rPr>
          <w:rFonts w:hint="eastAsia" w:ascii="仿宋_GB2312" w:hAnsi="仿宋_GB2312" w:eastAsia="仿宋_GB2312" w:cs="仿宋_GB2312"/>
          <w:b/>
          <w:bCs/>
          <w:color w:val="auto"/>
          <w:sz w:val="32"/>
          <w:szCs w:val="32"/>
          <w:lang w:val="en-US" w:eastAsia="zh-CN"/>
        </w:rPr>
        <w:t>对外开放合作持续深化。</w:t>
      </w:r>
      <w:r>
        <w:rPr>
          <w:rFonts w:hint="eastAsia" w:ascii="仿宋_GB2312" w:hAnsi="仿宋_GB2312" w:eastAsia="仿宋_GB2312" w:cs="仿宋_GB2312"/>
          <w:b w:val="0"/>
          <w:bCs w:val="0"/>
          <w:color w:val="auto"/>
          <w:sz w:val="32"/>
          <w:szCs w:val="32"/>
          <w:lang w:val="en-US" w:eastAsia="zh-CN"/>
        </w:rPr>
        <w:t>浙松</w:t>
      </w:r>
      <w:r>
        <w:rPr>
          <w:rFonts w:hint="eastAsia" w:ascii="仿宋_GB2312" w:hAnsi="仿宋_GB2312" w:eastAsia="仿宋_GB2312" w:cs="仿宋_GB2312"/>
          <w:b w:val="0"/>
          <w:bCs/>
          <w:spacing w:val="0"/>
          <w:sz w:val="32"/>
          <w:szCs w:val="32"/>
          <w:lang w:val="en-US" w:eastAsia="zh-CN"/>
        </w:rPr>
        <w:t>两地双方高位拉动，</w:t>
      </w:r>
      <w:r>
        <w:rPr>
          <w:rFonts w:hint="eastAsia" w:ascii="仿宋_GB2312" w:hAnsi="仿宋_GB2312" w:eastAsia="仿宋_GB2312" w:cs="仿宋_GB2312"/>
          <w:b w:val="0"/>
          <w:bCs w:val="0"/>
          <w:sz w:val="32"/>
          <w:szCs w:val="32"/>
          <w:lang w:val="en-US" w:eastAsia="zh-CN"/>
        </w:rPr>
        <w:t>采取“引进来+走出去”的模式互派挂职干部跟岗锻炼，通过“扶智与扶志”的方式开展帮扶，逐步补齐了松潘人才短板，为松潘后续发展注入人才动力。</w:t>
      </w:r>
      <w:r>
        <w:rPr>
          <w:rFonts w:hint="eastAsia" w:ascii="仿宋_GB2312" w:hAnsi="仿宋_GB2312" w:eastAsia="仿宋_GB2312" w:cs="仿宋_GB2312"/>
          <w:b w:val="0"/>
          <w:bCs w:val="0"/>
          <w:sz w:val="32"/>
          <w:szCs w:val="32"/>
          <w:highlight w:val="none"/>
          <w:lang w:val="en-US" w:eastAsia="zh-CN"/>
        </w:rPr>
        <w:t>截至目前，互派挂职干部14人次</w:t>
      </w:r>
      <w:r>
        <w:rPr>
          <w:rFonts w:hint="eastAsia" w:ascii="仿宋_GB2312" w:hAnsi="仿宋_GB2312" w:eastAsia="仿宋_GB2312" w:cs="仿宋_GB2312"/>
          <w:spacing w:val="0"/>
          <w:sz w:val="32"/>
          <w:szCs w:val="32"/>
          <w:highlight w:val="none"/>
          <w:shd w:val="clear" w:color="auto" w:fill="auto"/>
          <w:lang w:eastAsia="zh-CN"/>
        </w:rPr>
        <w:t>党政</w:t>
      </w:r>
      <w:r>
        <w:rPr>
          <w:rFonts w:hint="eastAsia" w:ascii="仿宋_GB2312" w:hAnsi="仿宋_GB2312" w:eastAsia="仿宋_GB2312" w:cs="仿宋_GB2312"/>
          <w:spacing w:val="0"/>
          <w:sz w:val="32"/>
          <w:szCs w:val="32"/>
          <w:highlight w:val="none"/>
          <w:shd w:val="clear" w:color="auto" w:fill="auto"/>
        </w:rPr>
        <w:t>干部培训</w:t>
      </w:r>
      <w:r>
        <w:rPr>
          <w:rFonts w:hint="eastAsia" w:ascii="仿宋_GB2312" w:hAnsi="仿宋_GB2312" w:eastAsia="仿宋_GB2312" w:cs="仿宋_GB2312"/>
          <w:spacing w:val="0"/>
          <w:sz w:val="32"/>
          <w:szCs w:val="32"/>
          <w:highlight w:val="none"/>
          <w:shd w:val="clear" w:color="auto" w:fill="auto"/>
          <w:lang w:val="en-US" w:eastAsia="zh-CN"/>
        </w:rPr>
        <w:t>2</w:t>
      </w:r>
      <w:r>
        <w:rPr>
          <w:rFonts w:hint="eastAsia" w:ascii="仿宋_GB2312" w:hAnsi="仿宋_GB2312" w:eastAsia="仿宋_GB2312" w:cs="仿宋_GB2312"/>
          <w:spacing w:val="0"/>
          <w:sz w:val="32"/>
          <w:szCs w:val="32"/>
          <w:highlight w:val="none"/>
          <w:shd w:val="clear" w:color="auto" w:fill="auto"/>
        </w:rPr>
        <w:t>期</w:t>
      </w:r>
      <w:r>
        <w:rPr>
          <w:rFonts w:hint="eastAsia" w:ascii="仿宋_GB2312" w:hAnsi="仿宋_GB2312" w:eastAsia="仿宋_GB2312" w:cs="仿宋_GB2312"/>
          <w:spacing w:val="0"/>
          <w:sz w:val="32"/>
          <w:szCs w:val="32"/>
          <w:highlight w:val="none"/>
          <w:shd w:val="clear" w:color="auto" w:fill="auto"/>
          <w:lang w:val="en-US" w:eastAsia="zh-CN"/>
        </w:rPr>
        <w:t>604人次、</w:t>
      </w:r>
      <w:r>
        <w:rPr>
          <w:rFonts w:hint="eastAsia" w:ascii="仿宋_GB2312" w:hAnsi="仿宋_GB2312" w:eastAsia="仿宋_GB2312" w:cs="仿宋_GB2312"/>
          <w:spacing w:val="0"/>
          <w:sz w:val="32"/>
          <w:szCs w:val="32"/>
          <w:highlight w:val="none"/>
          <w:shd w:val="clear" w:color="auto" w:fill="auto"/>
        </w:rPr>
        <w:t>专业技术人才培训</w:t>
      </w:r>
      <w:r>
        <w:rPr>
          <w:rFonts w:hint="eastAsia" w:ascii="仿宋_GB2312" w:hAnsi="仿宋_GB2312" w:eastAsia="仿宋_GB2312" w:cs="仿宋_GB2312"/>
          <w:spacing w:val="0"/>
          <w:sz w:val="32"/>
          <w:szCs w:val="32"/>
          <w:highlight w:val="none"/>
          <w:shd w:val="clear" w:color="auto" w:fill="auto"/>
          <w:lang w:val="en-US" w:eastAsia="zh-CN"/>
        </w:rPr>
        <w:t>2</w:t>
      </w:r>
      <w:r>
        <w:rPr>
          <w:rFonts w:hint="eastAsia" w:ascii="仿宋_GB2312" w:hAnsi="仿宋_GB2312" w:eastAsia="仿宋_GB2312" w:cs="仿宋_GB2312"/>
          <w:spacing w:val="0"/>
          <w:sz w:val="32"/>
          <w:szCs w:val="32"/>
          <w:highlight w:val="none"/>
          <w:shd w:val="clear" w:color="auto" w:fill="auto"/>
        </w:rPr>
        <w:t>期</w:t>
      </w:r>
      <w:r>
        <w:rPr>
          <w:rFonts w:hint="eastAsia" w:ascii="仿宋_GB2312" w:hAnsi="仿宋_GB2312" w:eastAsia="仿宋_GB2312" w:cs="仿宋_GB2312"/>
          <w:spacing w:val="0"/>
          <w:sz w:val="32"/>
          <w:szCs w:val="32"/>
          <w:highlight w:val="none"/>
          <w:shd w:val="clear" w:color="auto" w:fill="auto"/>
          <w:lang w:val="en-US" w:eastAsia="zh-CN"/>
        </w:rPr>
        <w:t>871人次</w:t>
      </w:r>
      <w:r>
        <w:rPr>
          <w:rFonts w:hint="eastAsia" w:ascii="仿宋_GB2312" w:hAnsi="仿宋_GB2312" w:eastAsia="仿宋_GB2312" w:cs="仿宋_GB2312"/>
          <w:spacing w:val="0"/>
          <w:sz w:val="32"/>
          <w:szCs w:val="32"/>
          <w:highlight w:val="none"/>
          <w:shd w:val="clear" w:color="auto" w:fill="auto"/>
        </w:rPr>
        <w:t>。</w:t>
      </w:r>
    </w:p>
    <w:p w14:paraId="22C83FC5">
      <w:pPr>
        <w:keepNext w:val="0"/>
        <w:keepLines w:val="0"/>
        <w:pageBreakBefore w:val="0"/>
        <w:widowControl w:val="0"/>
        <w:numPr>
          <w:ilvl w:val="0"/>
          <w:numId w:val="0"/>
        </w:numPr>
        <w:kinsoku/>
        <w:wordWrap/>
        <w:overflowPunct/>
        <w:topLinePunct w:val="0"/>
        <w:autoSpaceDE/>
        <w:bidi w:val="0"/>
        <w:adjustRightInd/>
        <w:snapToGrid/>
        <w:spacing w:line="578" w:lineRule="exact"/>
        <w:ind w:leftChars="20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2、致力抓项目补短板，投资拉动成效明显</w:t>
      </w:r>
    </w:p>
    <w:p w14:paraId="041D26AF">
      <w:pPr>
        <w:keepNext w:val="0"/>
        <w:keepLines w:val="0"/>
        <w:pageBreakBefore w:val="0"/>
        <w:widowControl w:val="0"/>
        <w:numPr>
          <w:ilvl w:val="0"/>
          <w:numId w:val="0"/>
        </w:numPr>
        <w:kinsoku/>
        <w:wordWrap/>
        <w:overflowPunct/>
        <w:topLinePunct w:val="0"/>
        <w:autoSpaceDE/>
        <w:bidi w:val="0"/>
        <w:adjustRightInd/>
        <w:snapToGrid/>
        <w:spacing w:line="578" w:lineRule="exact"/>
        <w:ind w:firstLine="643"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auto"/>
          <w:sz w:val="32"/>
          <w:szCs w:val="32"/>
          <w:lang w:val="en-US" w:eastAsia="zh-CN"/>
        </w:rPr>
        <w:t>重点项目建设扎实推进。</w:t>
      </w:r>
      <w:r>
        <w:rPr>
          <w:rFonts w:hint="eastAsia" w:ascii="仿宋_GB2312" w:hAnsi="仿宋_GB2312" w:eastAsia="仿宋_GB2312" w:cs="仿宋_GB2312"/>
          <w:color w:val="auto"/>
          <w:sz w:val="32"/>
          <w:szCs w:val="32"/>
          <w:lang w:val="en-US" w:eastAsia="zh-CN"/>
        </w:rPr>
        <w:t>深入实施基础设施等重点领域补短板行动，举行</w:t>
      </w:r>
      <w:r>
        <w:rPr>
          <w:rFonts w:hint="eastAsia" w:ascii="仿宋_GB2312" w:hAnsi="仿宋_GB2312" w:eastAsia="仿宋_GB2312" w:cs="仿宋_GB2312"/>
          <w:color w:val="auto"/>
          <w:sz w:val="32"/>
          <w:szCs w:val="32"/>
          <w:u w:val="none"/>
          <w:lang w:val="en-US" w:eastAsia="zh-CN"/>
        </w:rPr>
        <w:t>了1</w:t>
      </w:r>
      <w:r>
        <w:rPr>
          <w:rFonts w:hint="eastAsia" w:ascii="仿宋_GB2312" w:hAnsi="仿宋_GB2312" w:eastAsia="仿宋_GB2312" w:cs="仿宋_GB2312"/>
          <w:color w:val="auto"/>
          <w:sz w:val="32"/>
          <w:szCs w:val="32"/>
          <w:lang w:val="en-US" w:eastAsia="zh-CN"/>
        </w:rPr>
        <w:t>次重大项目集中开工，制定了《松潘县投资促进和项目推进目标绩效考核办法）》，成立了联系常委、分管县长、项目中心、业主单位、属地乡镇的五级项目推进主体，绕城公路、站前广场等重点项目强势推进，1-9月，全社会固定资产投资增长2.8%，居全州第7位。预计全年全社会固定资产投资增长5%以上。</w:t>
      </w:r>
      <w:r>
        <w:rPr>
          <w:rFonts w:hint="eastAsia" w:ascii="仿宋_GB2312" w:hAnsi="仿宋_GB2312" w:eastAsia="仿宋_GB2312" w:cs="仿宋_GB2312"/>
          <w:b/>
          <w:bCs/>
          <w:color w:val="auto"/>
          <w:sz w:val="32"/>
          <w:szCs w:val="32"/>
          <w:lang w:val="en-US" w:eastAsia="zh-CN"/>
        </w:rPr>
        <w:t>项目储备后劲持续增强</w:t>
      </w:r>
      <w:r>
        <w:rPr>
          <w:rFonts w:hint="eastAsia" w:ascii="仿宋_GB2312" w:hAnsi="仿宋_GB2312" w:eastAsia="仿宋_GB2312" w:cs="仿宋_GB2312"/>
          <w:color w:val="auto"/>
          <w:sz w:val="32"/>
          <w:szCs w:val="32"/>
          <w:lang w:val="en-US" w:eastAsia="zh-CN"/>
        </w:rPr>
        <w:t>。按照目前国家政策投向，</w:t>
      </w:r>
      <w:r>
        <w:rPr>
          <w:rFonts w:hint="eastAsia" w:ascii="仿宋_GB2312" w:hAnsi="仿宋_GB2312" w:eastAsia="仿宋_GB2312" w:cs="仿宋_GB2312"/>
          <w:color w:val="auto"/>
          <w:sz w:val="32"/>
          <w:szCs w:val="32"/>
          <w:u w:val="none"/>
          <w:lang w:val="en-US" w:eastAsia="zh-CN"/>
        </w:rPr>
        <w:t>立足全县长远发展，深化“项目储备库”，涵盖交通、能源、文旅、产业、生态和城建等领域涉及项目229个，总投资990亿元。</w:t>
      </w:r>
      <w:r>
        <w:rPr>
          <w:rFonts w:hint="eastAsia" w:ascii="仿宋_GB2312" w:hAnsi="仿宋_GB2312" w:eastAsia="仿宋_GB2312" w:cs="仿宋_GB2312"/>
          <w:b/>
          <w:bCs/>
          <w:color w:val="auto"/>
          <w:sz w:val="32"/>
          <w:szCs w:val="32"/>
          <w:lang w:val="en-US" w:eastAsia="zh-CN"/>
        </w:rPr>
        <w:t>资金支撑争取筹措有力</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u w:val="none"/>
          <w:lang w:val="en-US" w:eastAsia="zh-CN"/>
        </w:rPr>
        <w:t>今年，我县成功争列省州重点项目6个，总投资444.72亿元，年度计划21.2亿元；争取中央预算内投资项目12个，</w:t>
      </w:r>
      <w:r>
        <w:rPr>
          <w:rFonts w:hint="eastAsia" w:ascii="仿宋_GB2312" w:hAnsi="仿宋_GB2312" w:eastAsia="仿宋_GB2312" w:cs="仿宋_GB2312"/>
          <w:color w:val="auto"/>
          <w:sz w:val="32"/>
          <w:szCs w:val="32"/>
          <w:lang w:val="en-US" w:eastAsia="zh-CN"/>
        </w:rPr>
        <w:t>资金1.17亿元；争取的以工代赈项目3个，总投资580万元；共安排县级政府性投资项目共202个，总投资17.16亿元，年度计划投资10.21亿元。政府性投资项目推进顺利。202</w:t>
      </w:r>
      <w:r>
        <w:rPr>
          <w:rFonts w:hint="eastAsia" w:ascii="仿宋_GB2312" w:hAnsi="仿宋_GB2312" w:eastAsia="仿宋_GB2312" w:cs="仿宋_GB2312"/>
          <w:color w:val="auto"/>
          <w:sz w:val="32"/>
          <w:szCs w:val="32"/>
        </w:rPr>
        <w:t>个</w:t>
      </w:r>
      <w:r>
        <w:rPr>
          <w:rFonts w:hint="eastAsia" w:ascii="仿宋_GB2312" w:hAnsi="仿宋_GB2312" w:eastAsia="仿宋_GB2312" w:cs="仿宋_GB2312"/>
          <w:color w:val="000000" w:themeColor="text1"/>
          <w:sz w:val="32"/>
          <w:szCs w:val="32"/>
          <w14:textFill>
            <w14:solidFill>
              <w14:schemeClr w14:val="tx1"/>
            </w14:solidFill>
          </w14:textFill>
        </w:rPr>
        <w:t>政府性投资项目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已</w:t>
      </w:r>
      <w:r>
        <w:rPr>
          <w:rFonts w:hint="eastAsia" w:ascii="仿宋_GB2312" w:hAnsi="仿宋_GB2312" w:eastAsia="仿宋_GB2312" w:cs="仿宋_GB2312"/>
          <w:color w:val="000000" w:themeColor="text1"/>
          <w:sz w:val="32"/>
          <w:szCs w:val="32"/>
          <w:lang w:eastAsia="zh-CN"/>
          <w14:textFill>
            <w14:solidFill>
              <w14:schemeClr w14:val="tx1"/>
            </w14:solidFill>
          </w14:textFill>
        </w:rPr>
        <w:t>全部开工，</w:t>
      </w:r>
      <w:r>
        <w:rPr>
          <w:rFonts w:hint="eastAsia" w:ascii="仿宋_GB2312" w:hAnsi="仿宋_GB2312" w:eastAsia="仿宋_GB2312" w:cs="仿宋_GB2312"/>
          <w:color w:val="000000" w:themeColor="text1"/>
          <w:sz w:val="32"/>
          <w:szCs w:val="32"/>
          <w14:textFill>
            <w14:solidFill>
              <w14:schemeClr w14:val="tx1"/>
            </w14:solidFill>
          </w14:textFill>
        </w:rPr>
        <w:t>开工率达</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100</w:t>
      </w:r>
      <w:r>
        <w:rPr>
          <w:rFonts w:hint="eastAsia" w:ascii="仿宋_GB2312" w:hAnsi="仿宋_GB2312" w:eastAsia="仿宋_GB2312" w:cs="仿宋_GB2312"/>
          <w:color w:val="000000" w:themeColor="text1"/>
          <w:sz w:val="32"/>
          <w:szCs w:val="32"/>
          <w14:textFill>
            <w14:solidFill>
              <w14:schemeClr w14:val="tx1"/>
            </w14:solidFill>
          </w14:textFill>
        </w:rPr>
        <w:t>%，完工</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178</w:t>
      </w:r>
      <w:r>
        <w:rPr>
          <w:rFonts w:hint="eastAsia" w:ascii="仿宋_GB2312" w:hAnsi="仿宋_GB2312" w:eastAsia="仿宋_GB2312" w:cs="仿宋_GB2312"/>
          <w:color w:val="000000" w:themeColor="text1"/>
          <w:sz w:val="32"/>
          <w:szCs w:val="32"/>
          <w14:textFill>
            <w14:solidFill>
              <w14:schemeClr w14:val="tx1"/>
            </w14:solidFill>
          </w14:textFill>
        </w:rPr>
        <w:t>个，完工率</w:t>
      </w:r>
      <w:r>
        <w:rPr>
          <w:rFonts w:hint="eastAsia" w:ascii="仿宋_GB2312" w:hAnsi="仿宋_GB2312" w:eastAsia="仿宋_GB2312" w:cs="仿宋_GB2312"/>
          <w:color w:val="000000" w:themeColor="text1"/>
          <w:sz w:val="32"/>
          <w:szCs w:val="32"/>
          <w:lang w:eastAsia="zh-CN"/>
          <w14:textFill>
            <w14:solidFill>
              <w14:schemeClr w14:val="tx1"/>
            </w14:solidFill>
          </w14:textFill>
        </w:rPr>
        <w:t>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89</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其中：</w:t>
      </w:r>
      <w:r>
        <w:rPr>
          <w:rFonts w:hint="eastAsia" w:ascii="仿宋_GB2312" w:hAnsi="仿宋_GB2312" w:eastAsia="仿宋_GB2312" w:cs="仿宋_GB2312"/>
          <w:color w:val="000000"/>
          <w:spacing w:val="0"/>
          <w:w w:val="100"/>
          <w:sz w:val="32"/>
          <w:szCs w:val="32"/>
          <w:highlight w:val="none"/>
          <w:lang w:val="en-US" w:eastAsia="zh-CN"/>
        </w:rPr>
        <w:t>55个“8·16”洪涝灾害灾后恢复重建项目，已全部开工、开工率为100%，完工项目45个、完工率81%；</w:t>
      </w:r>
      <w:r>
        <w:rPr>
          <w:rFonts w:hint="eastAsia" w:ascii="仿宋_GB2312" w:hAnsi="仿宋_GB2312" w:eastAsia="仿宋_GB2312" w:cs="仿宋_GB2312"/>
          <w:b w:val="0"/>
          <w:bCs w:val="0"/>
          <w:sz w:val="32"/>
          <w:szCs w:val="32"/>
          <w:lang w:val="en-US" w:eastAsia="zh-CN"/>
        </w:rPr>
        <w:t>23个</w:t>
      </w:r>
      <w:r>
        <w:rPr>
          <w:rFonts w:hint="eastAsia" w:ascii="仿宋_GB2312" w:hAnsi="仿宋_GB2312" w:eastAsia="仿宋_GB2312" w:cs="仿宋_GB2312"/>
          <w:b w:val="0"/>
          <w:bCs w:val="0"/>
          <w:color w:val="000000" w:themeColor="text1"/>
          <w:sz w:val="32"/>
          <w:szCs w:val="32"/>
          <w14:textFill>
            <w14:solidFill>
              <w14:schemeClr w14:val="tx1"/>
            </w14:solidFill>
          </w14:textFill>
        </w:rPr>
        <w:t>东西部扶贫协作项目建设</w:t>
      </w:r>
      <w:r>
        <w:rPr>
          <w:rFonts w:hint="eastAsia" w:ascii="仿宋_GB2312" w:hAnsi="仿宋_GB2312" w:eastAsia="仿宋_GB2312" w:cs="仿宋_GB2312"/>
          <w:b w:val="0"/>
          <w:bCs w:val="0"/>
          <w:color w:val="000000" w:themeColor="text1"/>
          <w:sz w:val="32"/>
          <w:szCs w:val="32"/>
          <w:lang w:eastAsia="zh-CN"/>
          <w14:textFill>
            <w14:solidFill>
              <w14:schemeClr w14:val="tx1"/>
            </w14:solidFill>
          </w14:textFill>
        </w:rPr>
        <w:t>，</w:t>
      </w:r>
      <w:r>
        <w:rPr>
          <w:rFonts w:hint="eastAsia" w:ascii="仿宋_GB2312" w:hAnsi="仿宋_GB2312" w:eastAsia="仿宋_GB2312" w:cs="仿宋_GB2312"/>
          <w:b w:val="0"/>
          <w:bCs w:val="0"/>
          <w:sz w:val="32"/>
          <w:szCs w:val="32"/>
          <w:lang w:val="en-US" w:eastAsia="zh-CN"/>
        </w:rPr>
        <w:t>已全部开工、开工率为91%，完工项目17个、完工率为74%，19个旅发大会项目已全部完工，完工率100%。</w:t>
      </w:r>
      <w:r>
        <w:rPr>
          <w:rFonts w:hint="eastAsia" w:ascii="仿宋_GB2312" w:hAnsi="仿宋_GB2312" w:eastAsia="仿宋_GB2312" w:cs="仿宋_GB2312"/>
          <w:b/>
          <w:bCs/>
          <w:color w:val="auto"/>
          <w:sz w:val="32"/>
          <w:szCs w:val="32"/>
          <w:u w:val="none"/>
          <w:lang w:val="en-US" w:eastAsia="zh-CN"/>
        </w:rPr>
        <w:t>招投标监管持续强化</w:t>
      </w:r>
      <w:r>
        <w:rPr>
          <w:rFonts w:hint="eastAsia" w:ascii="仿宋_GB2312" w:hAnsi="仿宋_GB2312" w:eastAsia="仿宋_GB2312" w:cs="仿宋_GB2312"/>
          <w:b/>
          <w:bCs/>
          <w:color w:val="000000" w:themeColor="text1"/>
          <w:sz w:val="32"/>
          <w:szCs w:val="32"/>
          <w14:textFill>
            <w14:solidFill>
              <w14:schemeClr w14:val="tx1"/>
            </w14:solidFill>
          </w14:textFill>
        </w:rPr>
        <w:t>。</w:t>
      </w:r>
      <w:r>
        <w:rPr>
          <w:rFonts w:hint="eastAsia" w:ascii="仿宋_GB2312" w:hAnsi="仿宋_GB2312" w:eastAsia="仿宋_GB2312" w:cs="仿宋_GB2312"/>
          <w:color w:val="auto"/>
          <w:sz w:val="32"/>
          <w:szCs w:val="32"/>
          <w:u w:val="none"/>
          <w:lang w:val="en-US" w:eastAsia="zh-CN"/>
        </w:rPr>
        <w:t>全面开展工程招投标廉洁从政专项行动，深入开展工程招投标领域突出问题系统治理，全面自查项目18个，发现线索3条，完成整改3条；涉嫌违法线索立案调查0个，向纪委监委移送线索0条。建立投标保证金保函制度，进一步降低企业制度性交易成本。</w:t>
      </w:r>
    </w:p>
    <w:p w14:paraId="430442D0">
      <w:pPr>
        <w:keepNext w:val="0"/>
        <w:keepLines w:val="0"/>
        <w:pageBreakBefore w:val="0"/>
        <w:widowControl w:val="0"/>
        <w:numPr>
          <w:ilvl w:val="0"/>
          <w:numId w:val="0"/>
        </w:numPr>
        <w:kinsoku/>
        <w:wordWrap/>
        <w:overflowPunct w:val="0"/>
        <w:topLinePunct w:val="0"/>
        <w:autoSpaceDE/>
        <w:autoSpaceDN/>
        <w:bidi w:val="0"/>
        <w:adjustRightInd/>
        <w:snapToGrid/>
        <w:spacing w:line="578" w:lineRule="exact"/>
        <w:ind w:leftChars="200" w:right="0" w:rightChars="0"/>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3、致力抓民生增福祉，幸福指数大幅提升</w:t>
      </w:r>
    </w:p>
    <w:p w14:paraId="6EA73B9A">
      <w:pPr>
        <w:pStyle w:val="8"/>
        <w:adjustRightInd w:val="0"/>
        <w:snapToGrid w:val="0"/>
        <w:spacing w:before="93" w:line="600" w:lineRule="exact"/>
        <w:ind w:firstLine="675" w:firstLineChars="210"/>
        <w:outlineLvl w:val="2"/>
        <w:rPr>
          <w:rFonts w:hint="eastAsia" w:ascii="仿宋" w:hAnsi="仿宋" w:eastAsia="仿宋"/>
          <w:bCs/>
          <w:color w:val="000000"/>
          <w:sz w:val="32"/>
          <w:szCs w:val="32"/>
        </w:rPr>
      </w:pPr>
      <w:r>
        <w:rPr>
          <w:rFonts w:hint="eastAsia" w:ascii="仿宋_GB2312" w:hAnsi="仿宋_GB2312" w:eastAsia="仿宋_GB2312" w:cs="仿宋_GB2312"/>
          <w:b/>
          <w:bCs/>
          <w:color w:val="auto"/>
          <w:sz w:val="32"/>
          <w:szCs w:val="32"/>
          <w:lang w:val="en-US" w:eastAsia="zh-CN"/>
        </w:rPr>
        <w:t>脱贫攻坚高质量收官</w:t>
      </w:r>
      <w:r>
        <w:rPr>
          <w:rFonts w:hint="eastAsia" w:ascii="仿宋_GB2312" w:hAnsi="仿宋_GB2312" w:eastAsia="仿宋_GB2312" w:cs="仿宋_GB2312"/>
          <w:color w:val="auto"/>
          <w:sz w:val="32"/>
          <w:szCs w:val="32"/>
          <w:lang w:val="en-US" w:eastAsia="zh-CN"/>
        </w:rPr>
        <w:t>。对标“两不愁三保障”指标，对“十三五”以来实施投资易地扶贫搬迁住房和以工代赈项目，认真开展“回头看”查漏补缺，做到所有问题整改“清零”，2021年争取落实以工代赈项目3个，总投资0.058亿元，已完工3个，完成投资0.058亿元。</w:t>
      </w:r>
      <w:r>
        <w:rPr>
          <w:rFonts w:hint="eastAsia" w:ascii="仿宋_GB2312" w:hAnsi="仿宋_GB2312" w:eastAsia="仿宋_GB2312" w:cs="仿宋_GB2312"/>
          <w:b/>
          <w:bCs/>
          <w:color w:val="auto"/>
          <w:sz w:val="32"/>
          <w:szCs w:val="32"/>
          <w:lang w:val="en-US" w:eastAsia="zh-CN"/>
        </w:rPr>
        <w:t>对口支援帮扶成效显著。</w:t>
      </w:r>
      <w:r>
        <w:rPr>
          <w:rFonts w:hint="eastAsia" w:ascii="仿宋_GB2312" w:hAnsi="仿宋_GB2312" w:eastAsia="仿宋_GB2312" w:cs="仿宋_GB2312"/>
          <w:color w:val="auto"/>
          <w:sz w:val="32"/>
          <w:szCs w:val="32"/>
          <w:lang w:val="en-US" w:eastAsia="zh-CN"/>
        </w:rPr>
        <w:t>2021年度承接浙江省对口帮扶资金0.45亿元，帮扶项目23个，组织193名贫困群众赴浙江务工，</w:t>
      </w:r>
      <w:r>
        <w:rPr>
          <w:rFonts w:hint="eastAsia" w:ascii="仿宋_GB2312" w:hAnsi="仿宋_GB2312" w:eastAsia="仿宋_GB2312" w:cs="仿宋_GB2312"/>
          <w:sz w:val="32"/>
          <w:szCs w:val="32"/>
          <w:lang w:val="en-US" w:eastAsia="zh-CN"/>
        </w:rPr>
        <w:t>完成1家新公司在松潘落地与8家本地企业签订供货协议</w:t>
      </w:r>
      <w:r>
        <w:rPr>
          <w:rFonts w:hint="eastAsia" w:ascii="仿宋_GB2312" w:hAnsi="仿宋_GB2312" w:eastAsia="仿宋_GB2312" w:cs="仿宋_GB2312"/>
          <w:color w:val="auto"/>
          <w:sz w:val="32"/>
          <w:szCs w:val="32"/>
          <w:lang w:val="en-US" w:eastAsia="zh-CN"/>
        </w:rPr>
        <w:t>采购。</w:t>
      </w:r>
      <w:r>
        <w:rPr>
          <w:rFonts w:hint="eastAsia" w:ascii="仿宋_GB2312" w:hAnsi="仿宋_GB2312" w:eastAsia="仿宋_GB2312" w:cs="仿宋_GB2312"/>
          <w:b/>
          <w:bCs/>
          <w:color w:val="auto"/>
          <w:sz w:val="32"/>
          <w:szCs w:val="32"/>
          <w:lang w:val="en-US" w:eastAsia="zh-CN"/>
        </w:rPr>
        <w:t>稳粮控价扎实有效</w:t>
      </w:r>
      <w:r>
        <w:rPr>
          <w:rFonts w:hint="eastAsia" w:ascii="仿宋_GB2312" w:hAnsi="仿宋_GB2312" w:eastAsia="仿宋_GB2312" w:cs="仿宋_GB2312"/>
          <w:color w:val="auto"/>
          <w:sz w:val="32"/>
          <w:szCs w:val="32"/>
          <w:lang w:val="en-US" w:eastAsia="zh-CN"/>
        </w:rPr>
        <w:t>。认真落实国家粮食安全战略，扎实推进粮食安全首长责任制考核工作，及时落实省州粮食轮换计划，严格开展库存粮油各类检测检验52次，截至目前，现有储备粮（原粮）库存共1003.4吨、食用油40吨。</w:t>
      </w:r>
      <w:r>
        <w:rPr>
          <w:rFonts w:hint="eastAsia" w:ascii="仿宋_GB2312" w:hAnsi="仿宋_GB2312" w:eastAsia="仿宋_GB2312" w:cs="仿宋_GB2312"/>
          <w:b/>
          <w:bCs/>
          <w:color w:val="auto"/>
          <w:sz w:val="32"/>
          <w:szCs w:val="32"/>
          <w:lang w:val="en-US" w:eastAsia="zh-CN"/>
        </w:rPr>
        <w:t>灾后重建加快收尾</w:t>
      </w:r>
      <w:r>
        <w:rPr>
          <w:rFonts w:hint="eastAsia" w:ascii="仿宋_GB2312" w:hAnsi="仿宋_GB2312" w:eastAsia="仿宋_GB2312" w:cs="仿宋_GB2312"/>
          <w:color w:val="auto"/>
          <w:sz w:val="32"/>
          <w:szCs w:val="32"/>
          <w:lang w:val="en-US" w:eastAsia="zh-CN"/>
        </w:rPr>
        <w:t>。严格“周调度、月通报”督促灾后重建加快推进。截至目前，“8·8”九寨沟灾后重建项目已基本完成，</w:t>
      </w:r>
      <w:r>
        <w:rPr>
          <w:rFonts w:hint="eastAsia" w:ascii="仿宋_GB2312" w:hAnsi="仿宋_GB2312" w:eastAsia="仿宋_GB2312" w:cs="仿宋_GB2312"/>
          <w:color w:val="000000"/>
          <w:spacing w:val="0"/>
          <w:w w:val="100"/>
          <w:sz w:val="32"/>
          <w:szCs w:val="32"/>
          <w:highlight w:val="none"/>
          <w:lang w:val="en-US" w:eastAsia="zh-CN"/>
        </w:rPr>
        <w:t>“8·16”白羊乡洪涝灾害灾后恢复重建项目，已全部开工、开工率为100%，完工项目45个、完工率81%。</w:t>
      </w:r>
      <w:r>
        <w:rPr>
          <w:rFonts w:hint="eastAsia" w:ascii="仿宋_GB2312" w:hAnsi="仿宋_GB2312" w:eastAsia="仿宋_GB2312" w:cs="仿宋_GB2312"/>
          <w:b/>
          <w:bCs/>
          <w:color w:val="auto"/>
          <w:sz w:val="32"/>
          <w:szCs w:val="32"/>
          <w:lang w:val="en-US" w:eastAsia="zh-CN"/>
        </w:rPr>
        <w:t>乡村振兴顺利开启。</w:t>
      </w:r>
      <w:r>
        <w:rPr>
          <w:rFonts w:hint="eastAsia" w:ascii="仿宋_GB2312" w:hAnsi="仿宋_GB2312" w:eastAsia="仿宋_GB2312" w:cs="仿宋_GB2312"/>
          <w:b w:val="0"/>
          <w:bCs w:val="0"/>
          <w:color w:val="auto"/>
          <w:sz w:val="32"/>
          <w:szCs w:val="32"/>
          <w:lang w:val="en-US" w:eastAsia="zh-CN"/>
        </w:rPr>
        <w:t>投入9亿元安排乡村振兴项目118个，截至目前，开工103个（开工率为87%），完工65个（完工率为55%），15个项目正在加紧开展前期工作、争取10月全部开工建设。</w:t>
      </w:r>
    </w:p>
    <w:p w14:paraId="1947844B">
      <w:pPr>
        <w:pStyle w:val="5"/>
        <w:rPr>
          <w:rStyle w:val="26"/>
          <w:b w:val="0"/>
          <w:bCs w:val="0"/>
        </w:rPr>
      </w:pPr>
      <w:bookmarkStart w:id="28" w:name="_Toc15396601"/>
      <w:bookmarkStart w:id="29" w:name="_Toc15377200"/>
      <w:bookmarkStart w:id="30" w:name="_Toc79163855"/>
      <w:bookmarkStart w:id="31" w:name="_Toc79163605"/>
      <w:r>
        <w:rPr>
          <w:rFonts w:hint="eastAsia" w:ascii="黑体" w:eastAsia="黑体"/>
          <w:b w:val="0"/>
          <w:color w:val="000000"/>
        </w:rPr>
        <w:t>二、</w:t>
      </w:r>
      <w:r>
        <w:rPr>
          <w:rFonts w:hint="eastAsia" w:ascii="黑体" w:hAnsi="黑体" w:eastAsia="黑体"/>
          <w:b w:val="0"/>
          <w:color w:val="000000"/>
        </w:rPr>
        <w:t>机</w:t>
      </w:r>
      <w:r>
        <w:rPr>
          <w:rStyle w:val="26"/>
          <w:rFonts w:hint="eastAsia" w:ascii="黑体" w:hAnsi="黑体" w:eastAsia="黑体"/>
          <w:b w:val="0"/>
          <w:bCs w:val="0"/>
        </w:rPr>
        <w:t>构设置</w:t>
      </w:r>
      <w:bookmarkEnd w:id="28"/>
      <w:bookmarkEnd w:id="29"/>
      <w:bookmarkEnd w:id="30"/>
      <w:bookmarkEnd w:id="31"/>
    </w:p>
    <w:p w14:paraId="5D1C35E0">
      <w:pPr>
        <w:spacing w:line="360" w:lineRule="auto"/>
        <w:ind w:firstLine="640" w:firstLineChars="200"/>
        <w:jc w:val="left"/>
        <w:rPr>
          <w:rFonts w:hint="eastAsia" w:ascii="仿宋" w:hAnsi="仿宋" w:eastAsia="仿宋" w:cs="仿宋"/>
          <w:sz w:val="32"/>
          <w:szCs w:val="32"/>
        </w:rPr>
      </w:pPr>
      <w:r>
        <w:rPr>
          <w:rFonts w:hint="eastAsia" w:ascii="仿宋" w:hAnsi="仿宋" w:eastAsia="仿宋"/>
          <w:sz w:val="32"/>
          <w:szCs w:val="32"/>
          <w:lang w:eastAsia="zh-CN"/>
        </w:rPr>
        <w:t>松潘县发展和改革局</w:t>
      </w:r>
      <w:r>
        <w:rPr>
          <w:rFonts w:hint="eastAsia" w:ascii="仿宋" w:hAnsi="仿宋" w:eastAsia="仿宋"/>
          <w:sz w:val="32"/>
          <w:szCs w:val="32"/>
        </w:rPr>
        <w:t>下属二级单位</w:t>
      </w:r>
      <w:r>
        <w:rPr>
          <w:rFonts w:hint="eastAsia" w:ascii="仿宋" w:hAnsi="仿宋" w:eastAsia="仿宋"/>
          <w:sz w:val="32"/>
          <w:szCs w:val="32"/>
          <w:lang w:val="en-US" w:eastAsia="zh-CN"/>
        </w:rPr>
        <w:t>1</w:t>
      </w:r>
      <w:r>
        <w:rPr>
          <w:rFonts w:hint="eastAsia" w:ascii="仿宋" w:hAnsi="仿宋" w:eastAsia="仿宋"/>
          <w:sz w:val="32"/>
          <w:szCs w:val="32"/>
        </w:rPr>
        <w:t>个，其中行政单位</w:t>
      </w:r>
      <w:r>
        <w:rPr>
          <w:rFonts w:hint="eastAsia" w:ascii="仿宋" w:hAnsi="仿宋" w:eastAsia="仿宋"/>
          <w:sz w:val="32"/>
          <w:szCs w:val="32"/>
          <w:lang w:val="en-US" w:eastAsia="zh-CN"/>
        </w:rPr>
        <w:t>0</w:t>
      </w:r>
      <w:r>
        <w:rPr>
          <w:rFonts w:hint="eastAsia" w:ascii="仿宋" w:hAnsi="仿宋" w:eastAsia="仿宋"/>
          <w:sz w:val="32"/>
          <w:szCs w:val="32"/>
        </w:rPr>
        <w:t>个，参照公务员法管理的事业单位</w:t>
      </w:r>
      <w:r>
        <w:rPr>
          <w:rFonts w:hint="eastAsia" w:ascii="仿宋" w:hAnsi="仿宋" w:eastAsia="仿宋"/>
          <w:bCs/>
          <w:sz w:val="32"/>
          <w:szCs w:val="32"/>
          <w:lang w:val="en-US" w:eastAsia="zh-CN"/>
        </w:rPr>
        <w:t>1</w:t>
      </w:r>
      <w:r>
        <w:rPr>
          <w:rFonts w:hint="eastAsia" w:ascii="仿宋" w:hAnsi="仿宋" w:eastAsia="仿宋"/>
          <w:sz w:val="32"/>
          <w:szCs w:val="32"/>
        </w:rPr>
        <w:t>个，其他事业单位</w:t>
      </w:r>
      <w:r>
        <w:rPr>
          <w:rFonts w:hint="eastAsia" w:ascii="仿宋" w:hAnsi="仿宋" w:eastAsia="仿宋"/>
          <w:sz w:val="32"/>
          <w:szCs w:val="32"/>
          <w:lang w:val="en-US" w:eastAsia="zh-CN"/>
        </w:rPr>
        <w:t>0</w:t>
      </w:r>
      <w:r>
        <w:rPr>
          <w:rFonts w:hint="eastAsia" w:ascii="仿宋" w:hAnsi="仿宋" w:eastAsia="仿宋"/>
          <w:sz w:val="32"/>
          <w:szCs w:val="32"/>
        </w:rPr>
        <w:t>个。</w:t>
      </w:r>
      <w:r>
        <w:rPr>
          <w:rFonts w:hint="eastAsia" w:ascii="仿宋" w:hAnsi="仿宋" w:eastAsia="仿宋" w:cs="仿宋"/>
          <w:sz w:val="32"/>
          <w:szCs w:val="32"/>
        </w:rPr>
        <w:t>县发改局设7个内设机构：办公室</w:t>
      </w:r>
      <w:r>
        <w:rPr>
          <w:rFonts w:hint="eastAsia" w:ascii="仿宋" w:hAnsi="仿宋" w:eastAsia="仿宋" w:cs="仿宋"/>
          <w:sz w:val="32"/>
          <w:szCs w:val="32"/>
          <w:lang w:val="en-US" w:eastAsia="zh-CN"/>
        </w:rPr>
        <w:t>、</w:t>
      </w:r>
      <w:r>
        <w:rPr>
          <w:rFonts w:hint="eastAsia" w:ascii="仿宋" w:hAnsi="仿宋" w:eastAsia="仿宋" w:cs="仿宋"/>
          <w:sz w:val="32"/>
          <w:szCs w:val="32"/>
        </w:rPr>
        <w:t>政策法规股（挂“稽察办公室”、行政审批股牌子）</w:t>
      </w:r>
      <w:r>
        <w:rPr>
          <w:rFonts w:hint="eastAsia" w:ascii="仿宋" w:hAnsi="仿宋" w:eastAsia="仿宋" w:cs="仿宋"/>
          <w:sz w:val="32"/>
          <w:szCs w:val="32"/>
          <w:lang w:eastAsia="zh-CN"/>
        </w:rPr>
        <w:t>、</w:t>
      </w:r>
      <w:r>
        <w:rPr>
          <w:rFonts w:hint="eastAsia" w:ascii="仿宋" w:hAnsi="仿宋" w:eastAsia="仿宋" w:cs="仿宋"/>
          <w:sz w:val="32"/>
          <w:szCs w:val="32"/>
        </w:rPr>
        <w:t>国民经济综合协调股（挂“经济动员办公室”牌子）</w:t>
      </w:r>
      <w:r>
        <w:rPr>
          <w:rFonts w:hint="eastAsia" w:ascii="仿宋" w:hAnsi="仿宋" w:eastAsia="仿宋" w:cs="仿宋"/>
          <w:sz w:val="32"/>
          <w:szCs w:val="32"/>
          <w:lang w:eastAsia="zh-CN"/>
        </w:rPr>
        <w:t>、</w:t>
      </w:r>
      <w:r>
        <w:rPr>
          <w:rFonts w:hint="eastAsia" w:ascii="仿宋" w:hAnsi="仿宋" w:eastAsia="仿宋" w:cs="仿宋"/>
          <w:sz w:val="32"/>
          <w:szCs w:val="32"/>
        </w:rPr>
        <w:t>固定资产投资和项目管理股（挂“援藏办公室”、“西部大开发办公室”牌子）</w:t>
      </w:r>
      <w:r>
        <w:rPr>
          <w:rFonts w:hint="eastAsia" w:ascii="仿宋" w:hAnsi="仿宋" w:eastAsia="仿宋" w:cs="仿宋"/>
          <w:sz w:val="32"/>
          <w:szCs w:val="32"/>
          <w:lang w:eastAsia="zh-CN"/>
        </w:rPr>
        <w:t>、</w:t>
      </w:r>
      <w:r>
        <w:rPr>
          <w:rFonts w:hint="eastAsia" w:ascii="仿宋" w:hAnsi="仿宋" w:eastAsia="仿宋" w:cs="仿宋"/>
          <w:sz w:val="32"/>
          <w:szCs w:val="32"/>
        </w:rPr>
        <w:t>农村经济发展和社会事业股</w:t>
      </w:r>
      <w:r>
        <w:rPr>
          <w:rFonts w:hint="eastAsia" w:ascii="仿宋" w:hAnsi="仿宋" w:eastAsia="仿宋" w:cs="仿宋"/>
          <w:sz w:val="32"/>
          <w:szCs w:val="32"/>
          <w:lang w:eastAsia="zh-CN"/>
        </w:rPr>
        <w:t>、</w:t>
      </w:r>
      <w:r>
        <w:rPr>
          <w:rFonts w:hint="eastAsia" w:ascii="仿宋" w:hAnsi="仿宋" w:eastAsia="仿宋" w:cs="仿宋"/>
          <w:sz w:val="32"/>
          <w:szCs w:val="32"/>
        </w:rPr>
        <w:t>产业发展和能源股</w:t>
      </w:r>
      <w:r>
        <w:rPr>
          <w:rFonts w:hint="eastAsia" w:ascii="仿宋" w:hAnsi="仿宋" w:eastAsia="仿宋" w:cs="仿宋"/>
          <w:sz w:val="32"/>
          <w:szCs w:val="32"/>
          <w:lang w:eastAsia="zh-CN"/>
        </w:rPr>
        <w:t>、</w:t>
      </w:r>
      <w:r>
        <w:rPr>
          <w:rFonts w:hint="eastAsia" w:ascii="仿宋" w:hAnsi="仿宋" w:eastAsia="仿宋" w:cs="仿宋"/>
          <w:sz w:val="32"/>
          <w:szCs w:val="32"/>
        </w:rPr>
        <w:t>以工代赈综合办公室。</w:t>
      </w:r>
    </w:p>
    <w:p w14:paraId="1DD71829">
      <w:pPr>
        <w:spacing w:line="360" w:lineRule="auto"/>
        <w:ind w:firstLine="640" w:firstLineChars="200"/>
        <w:jc w:val="left"/>
        <w:rPr>
          <w:rFonts w:hint="eastAsia" w:ascii="仿宋" w:hAnsi="仿宋" w:eastAsia="仿宋" w:cs="仿宋"/>
          <w:sz w:val="32"/>
          <w:szCs w:val="32"/>
        </w:rPr>
      </w:pPr>
      <w:r>
        <w:rPr>
          <w:rFonts w:hint="eastAsia" w:ascii="仿宋" w:hAnsi="仿宋" w:eastAsia="仿宋" w:cs="仿宋"/>
          <w:sz w:val="32"/>
          <w:szCs w:val="32"/>
        </w:rPr>
        <w:t>属一级预算单位，独立编制机构数1个，独立核算机构数1个。松潘县发展和改革局总编制</w:t>
      </w:r>
      <w:r>
        <w:rPr>
          <w:rFonts w:hint="eastAsia" w:ascii="仿宋" w:hAnsi="仿宋" w:eastAsia="仿宋" w:cs="仿宋"/>
          <w:sz w:val="32"/>
          <w:szCs w:val="32"/>
          <w:lang w:val="en-US" w:eastAsia="zh-CN"/>
        </w:rPr>
        <w:t>21</w:t>
      </w:r>
      <w:r>
        <w:rPr>
          <w:rFonts w:hint="eastAsia" w:ascii="仿宋" w:hAnsi="仿宋" w:eastAsia="仿宋" w:cs="仿宋"/>
          <w:sz w:val="32"/>
          <w:szCs w:val="32"/>
        </w:rPr>
        <w:t>名，其中：行政编制</w:t>
      </w:r>
      <w:r>
        <w:rPr>
          <w:rFonts w:hint="eastAsia" w:ascii="仿宋" w:hAnsi="仿宋" w:eastAsia="仿宋" w:cs="仿宋"/>
          <w:sz w:val="32"/>
          <w:szCs w:val="32"/>
          <w:lang w:val="en-US" w:eastAsia="zh-CN"/>
        </w:rPr>
        <w:t>10</w:t>
      </w:r>
      <w:r>
        <w:rPr>
          <w:rFonts w:hint="eastAsia" w:ascii="仿宋" w:hAnsi="仿宋" w:eastAsia="仿宋" w:cs="仿宋"/>
          <w:sz w:val="32"/>
          <w:szCs w:val="32"/>
        </w:rPr>
        <w:t>名；</w:t>
      </w:r>
      <w:r>
        <w:rPr>
          <w:rFonts w:hint="eastAsia" w:ascii="仿宋" w:hAnsi="仿宋" w:eastAsia="仿宋" w:cs="仿宋"/>
          <w:sz w:val="32"/>
          <w:szCs w:val="32"/>
          <w:lang w:eastAsia="zh-CN"/>
        </w:rPr>
        <w:t>参公编制</w:t>
      </w:r>
      <w:r>
        <w:rPr>
          <w:rFonts w:hint="eastAsia" w:ascii="仿宋" w:hAnsi="仿宋" w:eastAsia="仿宋" w:cs="仿宋"/>
          <w:sz w:val="32"/>
          <w:szCs w:val="32"/>
          <w:lang w:val="en-US" w:eastAsia="zh-CN"/>
        </w:rPr>
        <w:t>4名，</w:t>
      </w:r>
      <w:r>
        <w:rPr>
          <w:rFonts w:hint="eastAsia" w:ascii="仿宋" w:hAnsi="仿宋" w:eastAsia="仿宋" w:cs="仿宋"/>
          <w:sz w:val="32"/>
          <w:szCs w:val="32"/>
        </w:rPr>
        <w:t>事业编制</w:t>
      </w:r>
      <w:r>
        <w:rPr>
          <w:rFonts w:hint="eastAsia" w:ascii="仿宋" w:hAnsi="仿宋" w:eastAsia="仿宋" w:cs="仿宋"/>
          <w:sz w:val="32"/>
          <w:szCs w:val="32"/>
          <w:lang w:val="en-US" w:eastAsia="zh-CN"/>
        </w:rPr>
        <w:t>5</w:t>
      </w:r>
      <w:r>
        <w:rPr>
          <w:rFonts w:hint="eastAsia" w:ascii="仿宋" w:hAnsi="仿宋" w:eastAsia="仿宋" w:cs="仿宋"/>
          <w:sz w:val="32"/>
          <w:szCs w:val="32"/>
        </w:rPr>
        <w:t>名；工勤编制</w:t>
      </w:r>
      <w:r>
        <w:rPr>
          <w:rFonts w:hint="eastAsia" w:ascii="仿宋" w:hAnsi="仿宋" w:eastAsia="仿宋" w:cs="仿宋"/>
          <w:sz w:val="32"/>
          <w:szCs w:val="32"/>
          <w:lang w:val="en-US" w:eastAsia="zh-CN"/>
        </w:rPr>
        <w:t>2</w:t>
      </w:r>
      <w:r>
        <w:rPr>
          <w:rFonts w:hint="eastAsia" w:ascii="仿宋" w:hAnsi="仿宋" w:eastAsia="仿宋" w:cs="仿宋"/>
          <w:sz w:val="32"/>
          <w:szCs w:val="32"/>
        </w:rPr>
        <w:t>名。在职人员总数</w:t>
      </w:r>
      <w:r>
        <w:rPr>
          <w:rFonts w:hint="eastAsia" w:ascii="仿宋" w:hAnsi="仿宋" w:eastAsia="仿宋" w:cs="仿宋"/>
          <w:sz w:val="32"/>
          <w:szCs w:val="32"/>
          <w:lang w:val="en-US" w:eastAsia="zh-CN"/>
        </w:rPr>
        <w:t>21</w:t>
      </w:r>
      <w:r>
        <w:rPr>
          <w:rFonts w:hint="eastAsia" w:ascii="仿宋" w:hAnsi="仿宋" w:eastAsia="仿宋" w:cs="仿宋"/>
          <w:sz w:val="32"/>
          <w:szCs w:val="32"/>
        </w:rPr>
        <w:t>人，其中：行政人员</w:t>
      </w:r>
      <w:r>
        <w:rPr>
          <w:rFonts w:hint="eastAsia" w:ascii="仿宋" w:hAnsi="仿宋" w:eastAsia="仿宋" w:cs="仿宋"/>
          <w:sz w:val="32"/>
          <w:szCs w:val="32"/>
          <w:lang w:val="en-US" w:eastAsia="zh-CN"/>
        </w:rPr>
        <w:t>10</w:t>
      </w:r>
      <w:r>
        <w:rPr>
          <w:rFonts w:hint="eastAsia" w:ascii="仿宋" w:hAnsi="仿宋" w:eastAsia="仿宋" w:cs="仿宋"/>
          <w:sz w:val="32"/>
          <w:szCs w:val="32"/>
        </w:rPr>
        <w:t>人，事业人员</w:t>
      </w:r>
      <w:r>
        <w:rPr>
          <w:rFonts w:hint="eastAsia" w:ascii="仿宋" w:hAnsi="仿宋" w:eastAsia="仿宋" w:cs="仿宋"/>
          <w:sz w:val="32"/>
          <w:szCs w:val="32"/>
          <w:lang w:val="en-US" w:eastAsia="zh-CN"/>
        </w:rPr>
        <w:t>5</w:t>
      </w:r>
      <w:r>
        <w:rPr>
          <w:rFonts w:hint="eastAsia" w:ascii="仿宋" w:hAnsi="仿宋" w:eastAsia="仿宋" w:cs="仿宋"/>
          <w:sz w:val="32"/>
          <w:szCs w:val="32"/>
        </w:rPr>
        <w:t>人，</w:t>
      </w:r>
      <w:r>
        <w:rPr>
          <w:rFonts w:hint="eastAsia" w:ascii="仿宋" w:hAnsi="仿宋" w:eastAsia="仿宋" w:cs="仿宋"/>
          <w:sz w:val="32"/>
          <w:szCs w:val="32"/>
          <w:lang w:eastAsia="zh-CN"/>
        </w:rPr>
        <w:t>参公</w:t>
      </w:r>
      <w:r>
        <w:rPr>
          <w:rFonts w:hint="eastAsia" w:ascii="仿宋" w:hAnsi="仿宋" w:eastAsia="仿宋" w:cs="仿宋"/>
          <w:sz w:val="32"/>
          <w:szCs w:val="32"/>
          <w:lang w:val="en-US" w:eastAsia="zh-CN"/>
        </w:rPr>
        <w:t>4人，</w:t>
      </w:r>
      <w:r>
        <w:rPr>
          <w:rFonts w:hint="eastAsia" w:ascii="仿宋" w:hAnsi="仿宋" w:eastAsia="仿宋" w:cs="仿宋"/>
          <w:sz w:val="32"/>
          <w:szCs w:val="32"/>
        </w:rPr>
        <w:t>工勤在职</w:t>
      </w:r>
      <w:r>
        <w:rPr>
          <w:rFonts w:hint="eastAsia" w:ascii="仿宋" w:hAnsi="仿宋" w:eastAsia="仿宋" w:cs="仿宋"/>
          <w:sz w:val="32"/>
          <w:szCs w:val="32"/>
          <w:lang w:val="en-US" w:eastAsia="zh-CN"/>
        </w:rPr>
        <w:t>2</w:t>
      </w:r>
      <w:r>
        <w:rPr>
          <w:rFonts w:hint="eastAsia" w:ascii="仿宋" w:hAnsi="仿宋" w:eastAsia="仿宋" w:cs="仿宋"/>
          <w:sz w:val="32"/>
          <w:szCs w:val="32"/>
        </w:rPr>
        <w:t>人。退休人员</w:t>
      </w:r>
      <w:r>
        <w:rPr>
          <w:rFonts w:hint="eastAsia" w:ascii="仿宋" w:hAnsi="仿宋" w:eastAsia="仿宋" w:cs="仿宋"/>
          <w:sz w:val="32"/>
          <w:szCs w:val="32"/>
          <w:lang w:val="en-US" w:eastAsia="zh-CN"/>
        </w:rPr>
        <w:t>11</w:t>
      </w:r>
      <w:r>
        <w:rPr>
          <w:rFonts w:hint="eastAsia" w:ascii="仿宋" w:hAnsi="仿宋" w:eastAsia="仿宋" w:cs="仿宋"/>
          <w:sz w:val="32"/>
          <w:szCs w:val="32"/>
        </w:rPr>
        <w:t>人。</w:t>
      </w:r>
    </w:p>
    <w:p w14:paraId="79C8B95C">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58DC5A47">
      <w:pPr>
        <w:pStyle w:val="4"/>
        <w:ind w:right="440"/>
        <w:jc w:val="right"/>
        <w:rPr>
          <w:rStyle w:val="25"/>
          <w:rFonts w:ascii="黑体" w:hAnsi="黑体" w:eastAsia="黑体"/>
          <w:b w:val="0"/>
          <w:bCs w:val="0"/>
        </w:rPr>
      </w:pPr>
      <w:bookmarkStart w:id="32" w:name="_Toc15396602"/>
      <w:bookmarkStart w:id="33" w:name="_Toc79163859"/>
      <w:bookmarkStart w:id="34" w:name="_Toc79163609"/>
      <w:bookmarkStart w:id="35" w:name="_Toc15377204"/>
      <w:r>
        <w:rPr>
          <w:rFonts w:hint="eastAsia" w:ascii="黑体" w:hAnsi="黑体" w:eastAsia="黑体"/>
          <w:b w:val="0"/>
          <w:color w:val="000000"/>
        </w:rPr>
        <w:t>第二部分</w:t>
      </w:r>
      <w:r>
        <w:rPr>
          <w:rFonts w:ascii="黑体" w:hAnsi="黑体" w:eastAsia="黑体"/>
          <w:color w:val="000000"/>
        </w:rPr>
        <w:t xml:space="preserve"> </w:t>
      </w:r>
      <w:r>
        <w:rPr>
          <w:rStyle w:val="25"/>
          <w:rFonts w:ascii="黑体" w:hAnsi="黑体" w:eastAsia="黑体"/>
          <w:b w:val="0"/>
          <w:bCs w:val="0"/>
        </w:rPr>
        <w:t>202</w:t>
      </w:r>
      <w:r>
        <w:rPr>
          <w:rStyle w:val="25"/>
          <w:rFonts w:hint="eastAsia" w:ascii="黑体" w:hAnsi="黑体" w:eastAsia="黑体"/>
          <w:b w:val="0"/>
          <w:bCs w:val="0"/>
        </w:rPr>
        <w:t>1年度部门决算情况说明</w:t>
      </w:r>
      <w:bookmarkEnd w:id="32"/>
      <w:bookmarkEnd w:id="33"/>
      <w:bookmarkEnd w:id="34"/>
      <w:bookmarkEnd w:id="35"/>
    </w:p>
    <w:p w14:paraId="77956D93"/>
    <w:p w14:paraId="67C06F82">
      <w:pPr>
        <w:pStyle w:val="36"/>
        <w:numPr>
          <w:ilvl w:val="0"/>
          <w:numId w:val="1"/>
        </w:numPr>
        <w:spacing w:line="600" w:lineRule="exact"/>
        <w:ind w:firstLineChars="0"/>
        <w:outlineLvl w:val="1"/>
        <w:rPr>
          <w:rStyle w:val="26"/>
          <w:rFonts w:ascii="黑体" w:hAnsi="黑体" w:eastAsia="黑体"/>
          <w:b w:val="0"/>
        </w:rPr>
      </w:pPr>
      <w:bookmarkStart w:id="36" w:name="_Toc79163610"/>
      <w:bookmarkStart w:id="37" w:name="_Toc15396603"/>
      <w:bookmarkStart w:id="38" w:name="_Toc15377205"/>
      <w:bookmarkStart w:id="39" w:name="_Toc79163860"/>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36"/>
      <w:bookmarkEnd w:id="37"/>
      <w:bookmarkEnd w:id="38"/>
      <w:bookmarkEnd w:id="39"/>
    </w:p>
    <w:p w14:paraId="67F89E68">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1年度收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w:t>
      </w:r>
      <w:r>
        <w:rPr>
          <w:rFonts w:hint="eastAsia" w:ascii="仿宋" w:hAnsi="仿宋" w:eastAsia="仿宋"/>
          <w:color w:val="000000"/>
          <w:sz w:val="32"/>
          <w:szCs w:val="32"/>
          <w:lang w:val="en-US" w:eastAsia="zh-CN"/>
        </w:rPr>
        <w:t>2461.29</w:t>
      </w:r>
      <w:r>
        <w:rPr>
          <w:rFonts w:hint="eastAsia" w:ascii="仿宋" w:hAnsi="仿宋" w:eastAsia="仿宋"/>
          <w:color w:val="000000"/>
          <w:sz w:val="32"/>
          <w:szCs w:val="32"/>
        </w:rPr>
        <w:t>万元</w:t>
      </w:r>
      <w:r>
        <w:rPr>
          <w:rFonts w:hint="eastAsia" w:ascii="仿宋_GB2312" w:eastAsia="仿宋_GB2312"/>
          <w:sz w:val="32"/>
          <w:szCs w:val="32"/>
          <w:lang w:val="en-US" w:eastAsia="zh-CN"/>
        </w:rPr>
        <w:t>，上年结转50.83万元，</w:t>
      </w:r>
      <w:r>
        <w:rPr>
          <w:rFonts w:hint="eastAsia" w:ascii="仿宋" w:hAnsi="仿宋" w:eastAsia="仿宋"/>
          <w:color w:val="000000"/>
          <w:sz w:val="32"/>
          <w:szCs w:val="32"/>
        </w:rPr>
        <w:t>支</w:t>
      </w:r>
      <w:r>
        <w:rPr>
          <w:rFonts w:hint="eastAsia" w:ascii="仿宋" w:hAnsi="仿宋" w:eastAsia="仿宋"/>
          <w:color w:val="000000"/>
          <w:sz w:val="32"/>
          <w:szCs w:val="32"/>
          <w:lang w:eastAsia="zh-CN"/>
        </w:rPr>
        <w:t>出</w:t>
      </w:r>
      <w:r>
        <w:rPr>
          <w:rFonts w:hint="eastAsia" w:ascii="仿宋" w:hAnsi="仿宋" w:eastAsia="仿宋"/>
          <w:color w:val="000000"/>
          <w:sz w:val="32"/>
          <w:szCs w:val="32"/>
          <w:lang w:val="en-US" w:eastAsia="zh-CN"/>
        </w:rPr>
        <w:t>2512.12</w:t>
      </w:r>
      <w:r>
        <w:rPr>
          <w:rFonts w:hint="eastAsia" w:ascii="仿宋" w:hAnsi="仿宋" w:eastAsia="仿宋"/>
          <w:color w:val="000000"/>
          <w:sz w:val="32"/>
          <w:szCs w:val="32"/>
        </w:rPr>
        <w:t>万元。与</w:t>
      </w:r>
      <w:r>
        <w:rPr>
          <w:rFonts w:hint="eastAsia" w:ascii="仿宋" w:hAnsi="仿宋" w:eastAsia="仿宋"/>
          <w:color w:val="000000"/>
          <w:sz w:val="32"/>
          <w:szCs w:val="32"/>
          <w:lang w:eastAsia="zh-CN"/>
        </w:rPr>
        <w:t>2020</w:t>
      </w:r>
      <w:r>
        <w:rPr>
          <w:rFonts w:hint="eastAsia" w:ascii="仿宋" w:hAnsi="仿宋" w:eastAsia="仿宋"/>
          <w:color w:val="000000"/>
          <w:sz w:val="32"/>
          <w:szCs w:val="32"/>
        </w:rPr>
        <w:t>年相比，收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总计增加</w:t>
      </w:r>
      <w:r>
        <w:rPr>
          <w:rFonts w:hint="eastAsia" w:ascii="仿宋" w:hAnsi="仿宋" w:eastAsia="仿宋"/>
          <w:color w:val="000000"/>
          <w:sz w:val="32"/>
          <w:szCs w:val="32"/>
          <w:lang w:val="en-US" w:eastAsia="zh-CN"/>
        </w:rPr>
        <w:t>1470.68</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148.46</w:t>
      </w:r>
      <w:r>
        <w:rPr>
          <w:rFonts w:ascii="仿宋" w:hAnsi="仿宋" w:eastAsia="仿宋"/>
          <w:color w:val="000000"/>
          <w:sz w:val="32"/>
          <w:szCs w:val="32"/>
        </w:rPr>
        <w:t>%</w:t>
      </w:r>
      <w:r>
        <w:rPr>
          <w:rFonts w:hint="eastAsia" w:ascii="仿宋" w:hAnsi="仿宋" w:eastAsia="仿宋"/>
          <w:color w:val="000000"/>
          <w:sz w:val="32"/>
          <w:szCs w:val="32"/>
        </w:rPr>
        <w:t>。支</w:t>
      </w:r>
      <w:r>
        <w:rPr>
          <w:rFonts w:hint="eastAsia" w:ascii="仿宋" w:hAnsi="仿宋" w:eastAsia="仿宋"/>
          <w:color w:val="000000"/>
          <w:sz w:val="32"/>
          <w:szCs w:val="32"/>
          <w:lang w:eastAsia="zh-CN"/>
        </w:rPr>
        <w:t>出</w:t>
      </w:r>
      <w:r>
        <w:rPr>
          <w:rFonts w:hint="eastAsia" w:ascii="仿宋" w:hAnsi="仿宋" w:eastAsia="仿宋"/>
          <w:color w:val="000000"/>
          <w:sz w:val="32"/>
          <w:szCs w:val="32"/>
        </w:rPr>
        <w:t>增加</w:t>
      </w:r>
      <w:r>
        <w:rPr>
          <w:rFonts w:hint="eastAsia" w:ascii="仿宋" w:hAnsi="仿宋" w:eastAsia="仿宋"/>
          <w:color w:val="000000"/>
          <w:sz w:val="32"/>
          <w:szCs w:val="32"/>
          <w:lang w:val="en-US" w:eastAsia="zh-CN"/>
        </w:rPr>
        <w:t>1633.01</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185.75</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2021年我局项目增加。</w:t>
      </w:r>
    </w:p>
    <w:p w14:paraId="72B0F1FB">
      <w:pPr>
        <w:spacing w:line="600" w:lineRule="exact"/>
        <w:ind w:firstLine="640" w:firstLineChars="200"/>
        <w:jc w:val="left"/>
        <w:rPr>
          <w:rFonts w:ascii="仿宋_GB2312" w:eastAsia="仿宋_GB2312"/>
          <w:color w:val="000000"/>
          <w:sz w:val="32"/>
          <w:szCs w:val="32"/>
        </w:rPr>
      </w:pPr>
    </w:p>
    <w:p w14:paraId="3455163D">
      <w:pPr>
        <w:pStyle w:val="36"/>
        <w:numPr>
          <w:ilvl w:val="0"/>
          <w:numId w:val="1"/>
        </w:numPr>
        <w:spacing w:line="600" w:lineRule="exact"/>
        <w:ind w:firstLineChars="0"/>
        <w:outlineLvl w:val="1"/>
        <w:rPr>
          <w:rStyle w:val="26"/>
          <w:rFonts w:ascii="黑体" w:hAnsi="黑体" w:eastAsia="黑体"/>
          <w:b w:val="0"/>
        </w:rPr>
      </w:pPr>
      <w:bookmarkStart w:id="40" w:name="_Toc79163861"/>
      <w:bookmarkStart w:id="41" w:name="_Toc79163611"/>
      <w:bookmarkStart w:id="42" w:name="_Toc15377206"/>
      <w:bookmarkStart w:id="43" w:name="_Toc15396604"/>
      <w:r>
        <w:rPr>
          <w:rFonts w:hint="eastAsia" w:ascii="黑体" w:hAnsi="黑体" w:eastAsia="黑体"/>
          <w:color w:val="000000"/>
          <w:sz w:val="32"/>
          <w:szCs w:val="32"/>
        </w:rPr>
        <w:t>收</w:t>
      </w:r>
      <w:r>
        <w:rPr>
          <w:rStyle w:val="26"/>
          <w:rFonts w:hint="eastAsia" w:ascii="黑体" w:hAnsi="黑体" w:eastAsia="黑体"/>
          <w:b w:val="0"/>
        </w:rPr>
        <w:t>入决算情况说明</w:t>
      </w:r>
      <w:bookmarkEnd w:id="40"/>
      <w:bookmarkEnd w:id="41"/>
      <w:bookmarkEnd w:id="42"/>
      <w:bookmarkEnd w:id="43"/>
    </w:p>
    <w:p w14:paraId="57DDD0CD">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1年本年收入合计</w:t>
      </w:r>
      <w:r>
        <w:rPr>
          <w:rFonts w:hint="eastAsia" w:ascii="仿宋" w:hAnsi="仿宋" w:eastAsia="仿宋"/>
          <w:color w:val="000000"/>
          <w:sz w:val="32"/>
          <w:szCs w:val="32"/>
          <w:lang w:val="en-US" w:eastAsia="zh-CN"/>
        </w:rPr>
        <w:t>2461.29</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2461.29</w:t>
      </w:r>
      <w:r>
        <w:rPr>
          <w:rFonts w:hint="eastAsia" w:ascii="仿宋" w:hAnsi="仿宋" w:eastAsia="仿宋"/>
          <w:color w:val="000000"/>
          <w:sz w:val="32"/>
          <w:szCs w:val="32"/>
        </w:rPr>
        <w:t>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p>
    <w:p w14:paraId="6B906B24">
      <w:pPr>
        <w:spacing w:line="600" w:lineRule="exact"/>
        <w:ind w:firstLine="640" w:firstLineChars="200"/>
        <w:rPr>
          <w:rFonts w:ascii="仿宋_GB2312" w:eastAsia="仿宋_GB2312"/>
          <w:color w:val="FF0000"/>
          <w:sz w:val="32"/>
          <w:szCs w:val="32"/>
        </w:rPr>
      </w:pPr>
    </w:p>
    <w:p w14:paraId="78E6468E">
      <w:pPr>
        <w:pStyle w:val="36"/>
        <w:numPr>
          <w:ilvl w:val="0"/>
          <w:numId w:val="1"/>
        </w:numPr>
        <w:spacing w:line="600" w:lineRule="exact"/>
        <w:ind w:firstLineChars="0"/>
        <w:outlineLvl w:val="1"/>
        <w:rPr>
          <w:rStyle w:val="26"/>
          <w:rFonts w:ascii="黑体" w:hAnsi="黑体" w:eastAsia="黑体"/>
          <w:b w:val="0"/>
        </w:rPr>
      </w:pPr>
      <w:bookmarkStart w:id="44" w:name="_Toc79163862"/>
      <w:bookmarkStart w:id="45" w:name="_Toc79163612"/>
      <w:bookmarkStart w:id="46" w:name="_Toc15396605"/>
      <w:bookmarkStart w:id="47" w:name="_Toc15377207"/>
      <w:r>
        <w:rPr>
          <w:rFonts w:hint="eastAsia" w:ascii="黑体" w:hAnsi="黑体" w:eastAsia="黑体"/>
          <w:color w:val="000000"/>
          <w:sz w:val="32"/>
          <w:szCs w:val="32"/>
        </w:rPr>
        <w:t>支</w:t>
      </w:r>
      <w:r>
        <w:rPr>
          <w:rStyle w:val="26"/>
          <w:rFonts w:hint="eastAsia" w:ascii="黑体" w:hAnsi="黑体" w:eastAsia="黑体"/>
          <w:b w:val="0"/>
        </w:rPr>
        <w:t>出决算情况说明</w:t>
      </w:r>
      <w:bookmarkEnd w:id="44"/>
      <w:bookmarkEnd w:id="45"/>
      <w:bookmarkEnd w:id="46"/>
      <w:bookmarkEnd w:id="47"/>
    </w:p>
    <w:p w14:paraId="238865AF">
      <w:pPr>
        <w:spacing w:line="600" w:lineRule="exact"/>
        <w:ind w:firstLine="640" w:firstLineChars="200"/>
        <w:rPr>
          <w:rFonts w:ascii="仿宋_GB2312" w:eastAsia="仿宋_GB2312"/>
          <w:sz w:val="32"/>
          <w:szCs w:val="32"/>
        </w:rPr>
      </w:pPr>
      <w:r>
        <w:rPr>
          <w:rFonts w:ascii="仿宋_GB2312" w:eastAsia="仿宋_GB2312"/>
          <w:sz w:val="32"/>
          <w:szCs w:val="32"/>
        </w:rPr>
        <w:t>202</w:t>
      </w:r>
      <w:r>
        <w:rPr>
          <w:rFonts w:hint="eastAsia" w:ascii="仿宋_GB2312" w:eastAsia="仿宋_GB2312"/>
          <w:sz w:val="32"/>
          <w:szCs w:val="32"/>
        </w:rPr>
        <w:t>1年本年支出合计</w:t>
      </w:r>
      <w:r>
        <w:rPr>
          <w:rFonts w:hint="eastAsia" w:ascii="仿宋_GB2312" w:eastAsia="仿宋_GB2312"/>
          <w:sz w:val="32"/>
          <w:szCs w:val="32"/>
          <w:lang w:val="en-US" w:eastAsia="zh-CN"/>
        </w:rPr>
        <w:t>2512.12</w:t>
      </w:r>
      <w:r>
        <w:rPr>
          <w:rFonts w:hint="eastAsia" w:ascii="仿宋_GB2312" w:eastAsia="仿宋_GB2312"/>
          <w:sz w:val="32"/>
          <w:szCs w:val="32"/>
        </w:rPr>
        <w:t>万元，其中：基本支出</w:t>
      </w:r>
      <w:r>
        <w:rPr>
          <w:rFonts w:hint="eastAsia" w:ascii="仿宋_GB2312" w:eastAsia="仿宋_GB2312"/>
          <w:sz w:val="32"/>
          <w:szCs w:val="32"/>
          <w:lang w:val="en-US" w:eastAsia="zh-CN"/>
        </w:rPr>
        <w:t>483.48</w:t>
      </w:r>
      <w:r>
        <w:rPr>
          <w:rFonts w:hint="eastAsia" w:ascii="仿宋_GB2312" w:eastAsia="仿宋_GB2312"/>
          <w:sz w:val="32"/>
          <w:szCs w:val="32"/>
        </w:rPr>
        <w:t>万元，占</w:t>
      </w:r>
      <w:r>
        <w:rPr>
          <w:rFonts w:hint="eastAsia" w:ascii="仿宋_GB2312" w:eastAsia="仿宋_GB2312"/>
          <w:sz w:val="32"/>
          <w:szCs w:val="32"/>
          <w:lang w:val="en-US" w:eastAsia="zh-CN"/>
        </w:rPr>
        <w:t>19.25</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2028.64</w:t>
      </w:r>
      <w:r>
        <w:rPr>
          <w:rFonts w:hint="eastAsia" w:ascii="仿宋_GB2312" w:eastAsia="仿宋_GB2312"/>
          <w:sz w:val="32"/>
          <w:szCs w:val="32"/>
        </w:rPr>
        <w:t>万元，占</w:t>
      </w:r>
      <w:r>
        <w:rPr>
          <w:rFonts w:hint="eastAsia" w:ascii="仿宋_GB2312" w:eastAsia="仿宋_GB2312"/>
          <w:sz w:val="32"/>
          <w:szCs w:val="32"/>
          <w:lang w:val="en-US" w:eastAsia="zh-CN"/>
        </w:rPr>
        <w:t>80.75</w:t>
      </w:r>
      <w:r>
        <w:rPr>
          <w:rFonts w:ascii="仿宋_GB2312" w:eastAsia="仿宋_GB2312"/>
          <w:sz w:val="32"/>
          <w:szCs w:val="32"/>
        </w:rPr>
        <w:t>%</w:t>
      </w:r>
      <w:r>
        <w:rPr>
          <w:rFonts w:hint="eastAsia" w:ascii="仿宋_GB2312" w:eastAsia="仿宋_GB2312"/>
          <w:sz w:val="32"/>
          <w:szCs w:val="32"/>
          <w:lang w:eastAsia="zh-CN"/>
        </w:rPr>
        <w:t>。</w:t>
      </w:r>
    </w:p>
    <w:p w14:paraId="34DD8C06">
      <w:pPr>
        <w:spacing w:line="600" w:lineRule="exact"/>
        <w:ind w:firstLine="640"/>
        <w:rPr>
          <w:rFonts w:ascii="仿宋" w:hAnsi="仿宋" w:eastAsia="仿宋"/>
          <w:color w:val="000000"/>
          <w:sz w:val="32"/>
          <w:szCs w:val="32"/>
          <w:shd w:val="pct10" w:color="auto" w:fill="FFFFFF"/>
        </w:rPr>
      </w:pPr>
    </w:p>
    <w:p w14:paraId="18441699">
      <w:pPr>
        <w:spacing w:line="600" w:lineRule="exact"/>
        <w:ind w:firstLine="640" w:firstLineChars="200"/>
        <w:rPr>
          <w:rFonts w:ascii="仿宋_GB2312" w:eastAsia="仿宋_GB2312"/>
          <w:color w:val="FF0000"/>
          <w:sz w:val="32"/>
          <w:szCs w:val="32"/>
        </w:rPr>
      </w:pPr>
    </w:p>
    <w:p w14:paraId="6F1A0D67">
      <w:pPr>
        <w:spacing w:line="600" w:lineRule="exact"/>
        <w:ind w:firstLine="640" w:firstLineChars="200"/>
        <w:outlineLvl w:val="1"/>
        <w:rPr>
          <w:rStyle w:val="26"/>
          <w:rFonts w:ascii="黑体" w:hAnsi="黑体" w:eastAsia="黑体"/>
          <w:b w:val="0"/>
        </w:rPr>
      </w:pPr>
      <w:bookmarkStart w:id="48" w:name="_Toc79163613"/>
      <w:bookmarkStart w:id="49" w:name="_Toc15377208"/>
      <w:bookmarkStart w:id="50" w:name="_Toc15396606"/>
      <w:bookmarkStart w:id="51" w:name="_Toc79163863"/>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48"/>
      <w:bookmarkEnd w:id="49"/>
      <w:bookmarkEnd w:id="50"/>
      <w:bookmarkEnd w:id="51"/>
    </w:p>
    <w:p w14:paraId="531879BC">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sz w:val="32"/>
          <w:szCs w:val="32"/>
          <w:lang w:val="en-US" w:eastAsia="zh-CN"/>
        </w:rPr>
        <w:t>2021</w:t>
      </w:r>
      <w:r>
        <w:rPr>
          <w:rFonts w:hint="eastAsia" w:ascii="仿宋" w:hAnsi="仿宋" w:eastAsia="仿宋"/>
          <w:color w:val="000000"/>
          <w:sz w:val="32"/>
          <w:szCs w:val="32"/>
        </w:rPr>
        <w:t>年财政拨款</w:t>
      </w:r>
      <w:r>
        <w:rPr>
          <w:rFonts w:hint="eastAsia" w:ascii="仿宋" w:hAnsi="仿宋" w:eastAsia="仿宋"/>
          <w:color w:val="000000"/>
          <w:sz w:val="32"/>
          <w:szCs w:val="32"/>
          <w:lang w:eastAsia="zh-CN"/>
        </w:rPr>
        <w:t>收入</w:t>
      </w:r>
      <w:r>
        <w:rPr>
          <w:rFonts w:hint="eastAsia" w:ascii="仿宋" w:hAnsi="仿宋" w:eastAsia="仿宋"/>
          <w:color w:val="000000"/>
          <w:sz w:val="32"/>
          <w:szCs w:val="32"/>
          <w:lang w:val="en-US" w:eastAsia="zh-CN"/>
        </w:rPr>
        <w:t>2512.12</w:t>
      </w:r>
      <w:r>
        <w:rPr>
          <w:rFonts w:hint="eastAsia" w:ascii="仿宋" w:hAnsi="仿宋" w:eastAsia="仿宋"/>
          <w:color w:val="000000"/>
          <w:sz w:val="32"/>
          <w:szCs w:val="32"/>
        </w:rPr>
        <w:t>万元、支</w:t>
      </w:r>
      <w:r>
        <w:rPr>
          <w:rFonts w:hint="eastAsia" w:ascii="仿宋" w:hAnsi="仿宋" w:eastAsia="仿宋"/>
          <w:color w:val="000000"/>
          <w:sz w:val="32"/>
          <w:szCs w:val="32"/>
          <w:lang w:eastAsia="zh-CN"/>
        </w:rPr>
        <w:t>出</w:t>
      </w:r>
      <w:r>
        <w:rPr>
          <w:rFonts w:hint="eastAsia" w:ascii="仿宋" w:hAnsi="仿宋" w:eastAsia="仿宋"/>
          <w:color w:val="000000"/>
          <w:sz w:val="32"/>
          <w:szCs w:val="32"/>
          <w:lang w:val="en-US" w:eastAsia="zh-CN"/>
        </w:rPr>
        <w:t>2512.12</w:t>
      </w:r>
      <w:r>
        <w:rPr>
          <w:rFonts w:hint="eastAsia" w:ascii="仿宋" w:hAnsi="仿宋" w:eastAsia="仿宋"/>
          <w:color w:val="000000"/>
          <w:sz w:val="32"/>
          <w:szCs w:val="32"/>
        </w:rPr>
        <w:t>万元。与20</w:t>
      </w:r>
      <w:r>
        <w:rPr>
          <w:rFonts w:hint="eastAsia" w:ascii="仿宋" w:hAnsi="仿宋" w:eastAsia="仿宋"/>
          <w:color w:val="000000"/>
          <w:sz w:val="32"/>
          <w:szCs w:val="32"/>
          <w:lang w:val="en-US" w:eastAsia="zh-CN"/>
        </w:rPr>
        <w:t>20</w:t>
      </w:r>
      <w:r>
        <w:rPr>
          <w:rFonts w:hint="eastAsia" w:ascii="仿宋" w:hAnsi="仿宋" w:eastAsia="仿宋"/>
          <w:color w:val="000000"/>
          <w:sz w:val="32"/>
          <w:szCs w:val="32"/>
        </w:rPr>
        <w:t>年相比，收</w:t>
      </w:r>
      <w:r>
        <w:rPr>
          <w:rFonts w:hint="eastAsia" w:ascii="仿宋" w:hAnsi="仿宋" w:eastAsia="仿宋"/>
          <w:color w:val="000000"/>
          <w:sz w:val="32"/>
          <w:szCs w:val="32"/>
          <w:lang w:eastAsia="zh-CN"/>
        </w:rPr>
        <w:t>入</w:t>
      </w:r>
      <w:r>
        <w:rPr>
          <w:rFonts w:hint="eastAsia" w:ascii="仿宋" w:hAnsi="仿宋" w:eastAsia="仿宋"/>
          <w:color w:val="000000"/>
          <w:sz w:val="32"/>
          <w:szCs w:val="32"/>
        </w:rPr>
        <w:t>总计增加</w:t>
      </w:r>
      <w:r>
        <w:rPr>
          <w:rFonts w:hint="eastAsia" w:ascii="仿宋" w:hAnsi="仿宋" w:eastAsia="仿宋"/>
          <w:color w:val="000000"/>
          <w:sz w:val="32"/>
          <w:szCs w:val="32"/>
          <w:lang w:val="en-US" w:eastAsia="zh-CN"/>
        </w:rPr>
        <w:t>1521.51</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153.59%，</w:t>
      </w:r>
      <w:r>
        <w:rPr>
          <w:rFonts w:hint="eastAsia" w:ascii="仿宋" w:hAnsi="仿宋" w:eastAsia="仿宋"/>
          <w:color w:val="000000"/>
          <w:sz w:val="32"/>
          <w:szCs w:val="32"/>
        </w:rPr>
        <w:t>支</w:t>
      </w:r>
      <w:r>
        <w:rPr>
          <w:rFonts w:hint="eastAsia" w:ascii="仿宋" w:hAnsi="仿宋" w:eastAsia="仿宋"/>
          <w:color w:val="000000"/>
          <w:sz w:val="32"/>
          <w:szCs w:val="32"/>
          <w:lang w:eastAsia="zh-CN"/>
        </w:rPr>
        <w:t>出</w:t>
      </w:r>
      <w:r>
        <w:rPr>
          <w:rFonts w:hint="eastAsia" w:ascii="仿宋" w:hAnsi="仿宋" w:eastAsia="仿宋"/>
          <w:color w:val="000000"/>
          <w:sz w:val="32"/>
          <w:szCs w:val="32"/>
        </w:rPr>
        <w:t>增加</w:t>
      </w:r>
      <w:r>
        <w:rPr>
          <w:rFonts w:hint="eastAsia" w:ascii="仿宋" w:hAnsi="仿宋" w:eastAsia="仿宋"/>
          <w:color w:val="000000"/>
          <w:sz w:val="32"/>
          <w:szCs w:val="32"/>
          <w:lang w:val="en-US" w:eastAsia="zh-CN"/>
        </w:rPr>
        <w:t>1330.84</w:t>
      </w:r>
      <w:r>
        <w:rPr>
          <w:rFonts w:hint="eastAsia" w:ascii="仿宋" w:hAnsi="仿宋" w:eastAsia="仿宋"/>
          <w:color w:val="000000"/>
          <w:sz w:val="32"/>
          <w:szCs w:val="32"/>
        </w:rPr>
        <w:t>万元，</w:t>
      </w:r>
      <w:r>
        <w:rPr>
          <w:rFonts w:hint="eastAsia" w:ascii="仿宋" w:hAnsi="仿宋" w:eastAsia="仿宋"/>
          <w:color w:val="000000"/>
          <w:sz w:val="32"/>
          <w:szCs w:val="32"/>
          <w:lang w:eastAsia="zh-CN"/>
        </w:rPr>
        <w:t>增加</w:t>
      </w:r>
      <w:r>
        <w:rPr>
          <w:rFonts w:hint="eastAsia" w:ascii="仿宋" w:hAnsi="仿宋" w:eastAsia="仿宋"/>
          <w:color w:val="000000"/>
          <w:sz w:val="32"/>
          <w:szCs w:val="32"/>
          <w:lang w:val="en-US" w:eastAsia="zh-CN"/>
        </w:rPr>
        <w:t>112.66</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2021年我局项目增加。</w:t>
      </w:r>
    </w:p>
    <w:p w14:paraId="5CF3D487">
      <w:pPr>
        <w:spacing w:line="600" w:lineRule="exact"/>
        <w:rPr>
          <w:rFonts w:ascii="仿宋" w:hAnsi="仿宋" w:eastAsia="仿宋"/>
          <w:b/>
          <w:color w:val="00B050"/>
          <w:sz w:val="32"/>
          <w:szCs w:val="32"/>
        </w:rPr>
      </w:pPr>
    </w:p>
    <w:p w14:paraId="115134E8">
      <w:pPr>
        <w:spacing w:line="600" w:lineRule="exact"/>
        <w:ind w:firstLine="640" w:firstLineChars="200"/>
        <w:outlineLvl w:val="1"/>
        <w:rPr>
          <w:rStyle w:val="26"/>
          <w:rFonts w:ascii="黑体" w:hAnsi="黑体" w:eastAsia="黑体"/>
          <w:b w:val="0"/>
        </w:rPr>
      </w:pPr>
      <w:bookmarkStart w:id="52" w:name="_Toc79163614"/>
      <w:bookmarkStart w:id="53" w:name="_Toc79163864"/>
      <w:bookmarkStart w:id="54" w:name="_Toc15377209"/>
      <w:bookmarkStart w:id="55" w:name="_Toc15396607"/>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52"/>
      <w:bookmarkEnd w:id="53"/>
      <w:bookmarkEnd w:id="54"/>
      <w:bookmarkEnd w:id="55"/>
    </w:p>
    <w:p w14:paraId="43CB112B">
      <w:pPr>
        <w:spacing w:line="600" w:lineRule="exact"/>
        <w:ind w:firstLine="643" w:firstLineChars="200"/>
        <w:outlineLvl w:val="2"/>
        <w:rPr>
          <w:rFonts w:ascii="仿宋" w:hAnsi="仿宋" w:eastAsia="仿宋"/>
          <w:b/>
          <w:color w:val="000000"/>
          <w:sz w:val="32"/>
          <w:szCs w:val="32"/>
        </w:rPr>
      </w:pPr>
      <w:bookmarkStart w:id="56" w:name="_Toc79163615"/>
      <w:bookmarkStart w:id="57" w:name="_Toc79163865"/>
      <w:bookmarkStart w:id="58" w:name="_Toc15377210"/>
      <w:r>
        <w:rPr>
          <w:rFonts w:hint="eastAsia" w:ascii="仿宋" w:hAnsi="仿宋" w:eastAsia="仿宋"/>
          <w:b/>
          <w:color w:val="000000"/>
          <w:sz w:val="32"/>
          <w:szCs w:val="32"/>
        </w:rPr>
        <w:t>（一）一般公共预算财政拨款支出决算总体情况</w:t>
      </w:r>
      <w:bookmarkEnd w:id="56"/>
      <w:bookmarkEnd w:id="57"/>
      <w:bookmarkEnd w:id="58"/>
    </w:p>
    <w:p w14:paraId="4FBCD5C4">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1年一般公共预算财政拨款支出</w:t>
      </w:r>
      <w:r>
        <w:rPr>
          <w:rFonts w:hint="eastAsia" w:ascii="仿宋" w:hAnsi="仿宋" w:eastAsia="仿宋"/>
          <w:color w:val="000000"/>
          <w:sz w:val="32"/>
          <w:szCs w:val="32"/>
          <w:lang w:val="en-US" w:eastAsia="zh-CN"/>
        </w:rPr>
        <w:t>2512.12</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rPr>
        <w:t>20年相比，一般公共预算财政拨款增加</w:t>
      </w:r>
      <w:r>
        <w:rPr>
          <w:rFonts w:hint="eastAsia" w:ascii="仿宋" w:hAnsi="仿宋" w:eastAsia="仿宋"/>
          <w:color w:val="000000"/>
          <w:sz w:val="32"/>
          <w:szCs w:val="32"/>
          <w:lang w:val="en-US" w:eastAsia="zh-CN"/>
        </w:rPr>
        <w:t>1330.84</w:t>
      </w:r>
      <w:r>
        <w:rPr>
          <w:rFonts w:hint="eastAsia" w:ascii="仿宋" w:hAnsi="仿宋" w:eastAsia="仿宋"/>
          <w:color w:val="000000"/>
          <w:sz w:val="32"/>
          <w:szCs w:val="32"/>
        </w:rPr>
        <w:t>万元，增长</w:t>
      </w:r>
      <w:r>
        <w:rPr>
          <w:rFonts w:hint="eastAsia" w:ascii="仿宋" w:hAnsi="仿宋" w:eastAsia="仿宋"/>
          <w:color w:val="000000"/>
          <w:sz w:val="32"/>
          <w:szCs w:val="32"/>
          <w:lang w:val="en-US" w:eastAsia="zh-CN"/>
        </w:rPr>
        <w:t>112.66</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2021年我局项目增加。</w:t>
      </w:r>
    </w:p>
    <w:p w14:paraId="43CBA8ED">
      <w:pPr>
        <w:spacing w:line="600" w:lineRule="exact"/>
        <w:ind w:firstLine="640" w:firstLineChars="200"/>
        <w:rPr>
          <w:rFonts w:ascii="仿宋" w:hAnsi="仿宋" w:eastAsia="仿宋"/>
          <w:color w:val="000000"/>
          <w:sz w:val="32"/>
          <w:szCs w:val="32"/>
        </w:rPr>
      </w:pPr>
    </w:p>
    <w:p w14:paraId="095E54A3">
      <w:pPr>
        <w:spacing w:line="600" w:lineRule="exact"/>
        <w:ind w:firstLine="643" w:firstLineChars="200"/>
        <w:outlineLvl w:val="2"/>
        <w:rPr>
          <w:rFonts w:ascii="仿宋" w:hAnsi="仿宋" w:eastAsia="仿宋"/>
          <w:b/>
          <w:color w:val="000000"/>
          <w:sz w:val="32"/>
          <w:szCs w:val="32"/>
        </w:rPr>
      </w:pPr>
      <w:bookmarkStart w:id="59" w:name="_Toc79163866"/>
      <w:bookmarkStart w:id="60" w:name="_Toc79163616"/>
      <w:bookmarkStart w:id="61" w:name="_Toc15377211"/>
      <w:r>
        <w:rPr>
          <w:rFonts w:hint="eastAsia" w:ascii="仿宋" w:hAnsi="仿宋" w:eastAsia="仿宋"/>
          <w:b/>
          <w:color w:val="000000"/>
          <w:sz w:val="32"/>
          <w:szCs w:val="32"/>
        </w:rPr>
        <w:t>（二）一般公共预算财政拨款支出决算结构情况</w:t>
      </w:r>
      <w:bookmarkEnd w:id="59"/>
      <w:bookmarkEnd w:id="60"/>
      <w:bookmarkEnd w:id="61"/>
    </w:p>
    <w:p w14:paraId="433D9052">
      <w:pPr>
        <w:spacing w:line="600" w:lineRule="exact"/>
        <w:ind w:firstLine="640"/>
        <w:rPr>
          <w:rFonts w:hint="eastAsia" w:ascii="仿宋" w:hAnsi="仿宋" w:eastAsia="仿宋"/>
          <w:b w:val="0"/>
          <w:bCs/>
          <w:color w:val="000000"/>
          <w:sz w:val="32"/>
          <w:szCs w:val="32"/>
          <w:lang w:val="en-US" w:eastAsia="zh-CN"/>
        </w:rPr>
      </w:pPr>
      <w:r>
        <w:rPr>
          <w:rFonts w:ascii="仿宋" w:hAnsi="仿宋" w:eastAsia="仿宋"/>
          <w:color w:val="000000"/>
          <w:sz w:val="32"/>
          <w:szCs w:val="32"/>
        </w:rPr>
        <w:t>202</w:t>
      </w:r>
      <w:r>
        <w:rPr>
          <w:rFonts w:hint="eastAsia" w:ascii="仿宋" w:hAnsi="仿宋" w:eastAsia="仿宋"/>
          <w:color w:val="000000"/>
          <w:sz w:val="32"/>
          <w:szCs w:val="32"/>
        </w:rPr>
        <w:t>1年一般公共预算财政拨款支出</w:t>
      </w:r>
      <w:r>
        <w:rPr>
          <w:rFonts w:hint="eastAsia" w:ascii="仿宋" w:hAnsi="仿宋" w:eastAsia="仿宋"/>
          <w:color w:val="000000"/>
          <w:sz w:val="32"/>
          <w:szCs w:val="32"/>
          <w:lang w:val="en-US" w:eastAsia="zh-CN"/>
        </w:rPr>
        <w:t>2512.12</w:t>
      </w:r>
      <w:r>
        <w:rPr>
          <w:rFonts w:hint="eastAsia" w:ascii="仿宋" w:hAnsi="仿宋" w:eastAsia="仿宋"/>
          <w:color w:val="000000"/>
          <w:sz w:val="32"/>
          <w:szCs w:val="32"/>
        </w:rPr>
        <w:t>万元，主要用于以下方面</w:t>
      </w:r>
      <w:r>
        <w:rPr>
          <w:rFonts w:ascii="仿宋" w:hAnsi="仿宋" w:eastAsia="仿宋"/>
          <w:color w:val="000000"/>
          <w:sz w:val="32"/>
          <w:szCs w:val="32"/>
        </w:rPr>
        <w:t>:</w:t>
      </w:r>
      <w:r>
        <w:rPr>
          <w:rFonts w:hint="eastAsia" w:ascii="仿宋" w:hAnsi="仿宋" w:eastAsia="仿宋"/>
          <w:b w:val="0"/>
          <w:bCs/>
          <w:color w:val="000000"/>
          <w:sz w:val="32"/>
          <w:szCs w:val="32"/>
        </w:rPr>
        <w:t>一般公共服务（类）支出</w:t>
      </w:r>
      <w:r>
        <w:rPr>
          <w:rFonts w:hint="eastAsia" w:ascii="仿宋" w:hAnsi="仿宋" w:eastAsia="仿宋"/>
          <w:b w:val="0"/>
          <w:bCs/>
          <w:color w:val="000000"/>
          <w:sz w:val="32"/>
          <w:szCs w:val="32"/>
          <w:lang w:val="en-US" w:eastAsia="zh-CN"/>
        </w:rPr>
        <w:t>707.06</w:t>
      </w:r>
      <w:r>
        <w:rPr>
          <w:rFonts w:hint="eastAsia" w:ascii="仿宋" w:hAnsi="仿宋" w:eastAsia="仿宋"/>
          <w:b w:val="0"/>
          <w:bCs/>
          <w:color w:val="000000"/>
          <w:sz w:val="32"/>
          <w:szCs w:val="32"/>
        </w:rPr>
        <w:t>万元，占</w:t>
      </w:r>
      <w:r>
        <w:rPr>
          <w:rFonts w:hint="eastAsia" w:ascii="仿宋" w:hAnsi="仿宋" w:eastAsia="仿宋"/>
          <w:b w:val="0"/>
          <w:bCs/>
          <w:color w:val="000000"/>
          <w:sz w:val="32"/>
          <w:szCs w:val="32"/>
          <w:lang w:val="en-US" w:eastAsia="zh-CN"/>
        </w:rPr>
        <w:t>28.15</w:t>
      </w:r>
      <w:r>
        <w:rPr>
          <w:rFonts w:ascii="仿宋" w:hAnsi="仿宋" w:eastAsia="仿宋"/>
          <w:b w:val="0"/>
          <w:bCs/>
          <w:color w:val="000000"/>
          <w:sz w:val="32"/>
          <w:szCs w:val="32"/>
        </w:rPr>
        <w:t>%</w:t>
      </w:r>
      <w:r>
        <w:rPr>
          <w:rFonts w:hint="eastAsia" w:ascii="仿宋" w:hAnsi="仿宋" w:eastAsia="仿宋"/>
          <w:b w:val="0"/>
          <w:bCs/>
          <w:color w:val="000000"/>
          <w:sz w:val="32"/>
          <w:szCs w:val="32"/>
        </w:rPr>
        <w:t>；社会保障和就业（类）支出</w:t>
      </w:r>
      <w:r>
        <w:rPr>
          <w:rFonts w:hint="eastAsia" w:ascii="仿宋" w:hAnsi="仿宋" w:eastAsia="仿宋"/>
          <w:b w:val="0"/>
          <w:bCs/>
          <w:color w:val="000000"/>
          <w:sz w:val="32"/>
          <w:szCs w:val="32"/>
          <w:lang w:val="en-US" w:eastAsia="zh-CN"/>
        </w:rPr>
        <w:t>49.84</w:t>
      </w:r>
      <w:r>
        <w:rPr>
          <w:rFonts w:hint="eastAsia" w:ascii="仿宋" w:hAnsi="仿宋" w:eastAsia="仿宋"/>
          <w:b w:val="0"/>
          <w:bCs/>
          <w:color w:val="000000"/>
          <w:sz w:val="32"/>
          <w:szCs w:val="32"/>
        </w:rPr>
        <w:t>万元，占</w:t>
      </w:r>
      <w:r>
        <w:rPr>
          <w:rFonts w:hint="eastAsia" w:ascii="仿宋" w:hAnsi="仿宋" w:eastAsia="仿宋"/>
          <w:b w:val="0"/>
          <w:bCs/>
          <w:color w:val="000000"/>
          <w:sz w:val="32"/>
          <w:szCs w:val="32"/>
          <w:lang w:val="en-US" w:eastAsia="zh-CN"/>
        </w:rPr>
        <w:t>1.98</w:t>
      </w:r>
      <w:r>
        <w:rPr>
          <w:rFonts w:ascii="仿宋" w:hAnsi="仿宋" w:eastAsia="仿宋"/>
          <w:b w:val="0"/>
          <w:bCs/>
          <w:color w:val="000000"/>
          <w:sz w:val="32"/>
          <w:szCs w:val="32"/>
        </w:rPr>
        <w:t>%</w:t>
      </w:r>
      <w:r>
        <w:rPr>
          <w:rFonts w:hint="eastAsia" w:ascii="仿宋" w:hAnsi="仿宋" w:eastAsia="仿宋"/>
          <w:b w:val="0"/>
          <w:bCs/>
          <w:color w:val="000000"/>
          <w:sz w:val="32"/>
          <w:szCs w:val="32"/>
        </w:rPr>
        <w:t>；卫生健康支出</w:t>
      </w:r>
      <w:r>
        <w:rPr>
          <w:rFonts w:hint="eastAsia" w:ascii="仿宋" w:hAnsi="仿宋" w:eastAsia="仿宋"/>
          <w:b w:val="0"/>
          <w:bCs/>
          <w:color w:val="000000"/>
          <w:sz w:val="32"/>
          <w:szCs w:val="32"/>
          <w:lang w:val="en-US" w:eastAsia="zh-CN"/>
        </w:rPr>
        <w:t>15.09</w:t>
      </w:r>
      <w:r>
        <w:rPr>
          <w:rFonts w:hint="eastAsia" w:ascii="仿宋" w:hAnsi="仿宋" w:eastAsia="仿宋"/>
          <w:b w:val="0"/>
          <w:bCs/>
          <w:color w:val="000000"/>
          <w:sz w:val="32"/>
          <w:szCs w:val="32"/>
        </w:rPr>
        <w:t>万元，占</w:t>
      </w:r>
      <w:r>
        <w:rPr>
          <w:rFonts w:hint="eastAsia" w:ascii="仿宋" w:hAnsi="仿宋" w:eastAsia="仿宋"/>
          <w:b w:val="0"/>
          <w:bCs/>
          <w:color w:val="000000"/>
          <w:sz w:val="32"/>
          <w:szCs w:val="32"/>
          <w:lang w:val="en-US" w:eastAsia="zh-CN"/>
        </w:rPr>
        <w:t>0.6</w:t>
      </w:r>
      <w:r>
        <w:rPr>
          <w:rFonts w:ascii="仿宋" w:hAnsi="仿宋" w:eastAsia="仿宋"/>
          <w:b w:val="0"/>
          <w:bCs/>
          <w:color w:val="000000"/>
          <w:sz w:val="32"/>
          <w:szCs w:val="32"/>
        </w:rPr>
        <w:t>%</w:t>
      </w:r>
      <w:r>
        <w:rPr>
          <w:rFonts w:hint="eastAsia" w:ascii="仿宋" w:hAnsi="仿宋" w:eastAsia="仿宋"/>
          <w:b w:val="0"/>
          <w:bCs/>
          <w:color w:val="000000"/>
          <w:sz w:val="32"/>
          <w:szCs w:val="32"/>
        </w:rPr>
        <w:t>；住房保障支出</w:t>
      </w:r>
      <w:r>
        <w:rPr>
          <w:rFonts w:hint="eastAsia" w:ascii="仿宋" w:hAnsi="仿宋" w:eastAsia="仿宋"/>
          <w:b w:val="0"/>
          <w:bCs/>
          <w:color w:val="000000"/>
          <w:sz w:val="32"/>
          <w:szCs w:val="32"/>
          <w:lang w:val="en-US" w:eastAsia="zh-CN"/>
        </w:rPr>
        <w:t>26.94</w:t>
      </w:r>
      <w:r>
        <w:rPr>
          <w:rFonts w:hint="eastAsia" w:ascii="仿宋" w:hAnsi="仿宋" w:eastAsia="仿宋"/>
          <w:b w:val="0"/>
          <w:bCs/>
          <w:color w:val="000000"/>
          <w:sz w:val="32"/>
          <w:szCs w:val="32"/>
        </w:rPr>
        <w:t>万元</w:t>
      </w:r>
      <w:r>
        <w:rPr>
          <w:rFonts w:hint="eastAsia" w:ascii="仿宋" w:hAnsi="仿宋" w:eastAsia="仿宋"/>
          <w:b w:val="0"/>
          <w:bCs/>
          <w:color w:val="000000"/>
          <w:sz w:val="32"/>
          <w:szCs w:val="32"/>
          <w:lang w:eastAsia="zh-CN"/>
        </w:rPr>
        <w:t>农林水</w:t>
      </w:r>
      <w:r>
        <w:rPr>
          <w:rFonts w:hint="eastAsia" w:ascii="仿宋" w:hAnsi="仿宋" w:eastAsia="仿宋"/>
          <w:b w:val="0"/>
          <w:bCs/>
          <w:color w:val="000000"/>
          <w:sz w:val="32"/>
          <w:szCs w:val="32"/>
        </w:rPr>
        <w:t>支出</w:t>
      </w:r>
      <w:r>
        <w:rPr>
          <w:rFonts w:hint="eastAsia" w:ascii="仿宋" w:hAnsi="仿宋" w:eastAsia="仿宋"/>
          <w:b w:val="0"/>
          <w:bCs/>
          <w:color w:val="000000"/>
          <w:sz w:val="32"/>
          <w:szCs w:val="32"/>
          <w:lang w:val="en-US" w:eastAsia="zh-CN"/>
        </w:rPr>
        <w:t>887.85</w:t>
      </w:r>
      <w:r>
        <w:rPr>
          <w:rFonts w:hint="eastAsia" w:ascii="仿宋" w:hAnsi="仿宋" w:eastAsia="仿宋"/>
          <w:b w:val="0"/>
          <w:bCs/>
          <w:color w:val="000000"/>
          <w:sz w:val="32"/>
          <w:szCs w:val="32"/>
        </w:rPr>
        <w:t>万元，占</w:t>
      </w:r>
      <w:r>
        <w:rPr>
          <w:rFonts w:hint="eastAsia" w:ascii="仿宋" w:hAnsi="仿宋" w:eastAsia="仿宋"/>
          <w:b w:val="0"/>
          <w:bCs/>
          <w:color w:val="000000"/>
          <w:sz w:val="32"/>
          <w:szCs w:val="32"/>
          <w:lang w:val="en-US" w:eastAsia="zh-CN"/>
        </w:rPr>
        <w:t>35.34</w:t>
      </w:r>
      <w:r>
        <w:rPr>
          <w:rFonts w:ascii="仿宋" w:hAnsi="仿宋" w:eastAsia="仿宋"/>
          <w:b w:val="0"/>
          <w:bCs/>
          <w:color w:val="000000"/>
          <w:sz w:val="32"/>
          <w:szCs w:val="32"/>
        </w:rPr>
        <w:t>%</w:t>
      </w:r>
      <w:r>
        <w:rPr>
          <w:rFonts w:hint="eastAsia" w:ascii="仿宋" w:hAnsi="仿宋" w:eastAsia="仿宋"/>
          <w:b w:val="0"/>
          <w:bCs/>
          <w:color w:val="000000"/>
          <w:sz w:val="32"/>
          <w:szCs w:val="32"/>
        </w:rPr>
        <w:t>；</w:t>
      </w:r>
      <w:r>
        <w:rPr>
          <w:rFonts w:hint="eastAsia" w:ascii="仿宋" w:hAnsi="仿宋" w:eastAsia="仿宋"/>
          <w:b w:val="0"/>
          <w:bCs/>
          <w:color w:val="000000"/>
          <w:sz w:val="32"/>
          <w:szCs w:val="32"/>
          <w:lang w:eastAsia="zh-CN"/>
        </w:rPr>
        <w:t>其他支出</w:t>
      </w:r>
      <w:r>
        <w:rPr>
          <w:rFonts w:hint="eastAsia" w:ascii="仿宋" w:hAnsi="仿宋" w:eastAsia="仿宋"/>
          <w:b w:val="0"/>
          <w:bCs/>
          <w:color w:val="000000"/>
          <w:sz w:val="32"/>
          <w:szCs w:val="32"/>
          <w:lang w:val="en-US" w:eastAsia="zh-CN"/>
        </w:rPr>
        <w:t>825.34，</w:t>
      </w:r>
      <w:r>
        <w:rPr>
          <w:rFonts w:hint="eastAsia" w:ascii="仿宋" w:hAnsi="仿宋" w:eastAsia="仿宋"/>
          <w:b w:val="0"/>
          <w:bCs/>
          <w:color w:val="000000"/>
          <w:sz w:val="32"/>
          <w:szCs w:val="32"/>
        </w:rPr>
        <w:t>占</w:t>
      </w:r>
      <w:r>
        <w:rPr>
          <w:rFonts w:hint="eastAsia" w:ascii="仿宋" w:hAnsi="仿宋" w:eastAsia="仿宋"/>
          <w:b w:val="0"/>
          <w:bCs/>
          <w:color w:val="000000"/>
          <w:sz w:val="32"/>
          <w:szCs w:val="32"/>
          <w:lang w:val="en-US" w:eastAsia="zh-CN"/>
        </w:rPr>
        <w:t>,32.85</w:t>
      </w:r>
      <w:r>
        <w:rPr>
          <w:rFonts w:ascii="仿宋" w:hAnsi="仿宋" w:eastAsia="仿宋"/>
          <w:b w:val="0"/>
          <w:bCs/>
          <w:color w:val="000000"/>
          <w:sz w:val="32"/>
          <w:szCs w:val="32"/>
        </w:rPr>
        <w:t>%</w:t>
      </w:r>
      <w:r>
        <w:rPr>
          <w:rFonts w:hint="eastAsia" w:ascii="仿宋" w:hAnsi="仿宋" w:eastAsia="仿宋"/>
          <w:b w:val="0"/>
          <w:bCs/>
          <w:color w:val="000000"/>
          <w:sz w:val="32"/>
          <w:szCs w:val="32"/>
          <w:lang w:val="en-US" w:eastAsia="zh-CN"/>
        </w:rPr>
        <w:t>.</w:t>
      </w:r>
    </w:p>
    <w:p w14:paraId="33414853">
      <w:pPr>
        <w:spacing w:line="600" w:lineRule="exact"/>
        <w:ind w:firstLine="640" w:firstLineChars="200"/>
        <w:rPr>
          <w:rFonts w:ascii="仿宋" w:hAnsi="仿宋" w:eastAsia="仿宋"/>
          <w:color w:val="000000"/>
          <w:sz w:val="32"/>
          <w:szCs w:val="32"/>
        </w:rPr>
      </w:pPr>
    </w:p>
    <w:p w14:paraId="6D8C9A9F">
      <w:pPr>
        <w:spacing w:line="600" w:lineRule="exact"/>
        <w:ind w:firstLine="643" w:firstLineChars="200"/>
        <w:outlineLvl w:val="2"/>
        <w:rPr>
          <w:rFonts w:ascii="仿宋" w:hAnsi="仿宋" w:eastAsia="仿宋"/>
          <w:b/>
          <w:color w:val="000000"/>
          <w:sz w:val="32"/>
          <w:szCs w:val="32"/>
        </w:rPr>
      </w:pPr>
      <w:bookmarkStart w:id="62" w:name="_Toc15377212"/>
      <w:bookmarkStart w:id="63" w:name="_Toc79163867"/>
      <w:bookmarkStart w:id="64" w:name="_Toc79163617"/>
      <w:r>
        <w:rPr>
          <w:rFonts w:hint="eastAsia" w:ascii="仿宋" w:hAnsi="仿宋" w:eastAsia="仿宋"/>
          <w:b/>
          <w:color w:val="000000"/>
          <w:sz w:val="32"/>
          <w:szCs w:val="32"/>
        </w:rPr>
        <w:t>（三）一般公共预算财政拨款支出决算具体情况</w:t>
      </w:r>
      <w:bookmarkEnd w:id="62"/>
      <w:bookmarkEnd w:id="63"/>
      <w:bookmarkEnd w:id="64"/>
    </w:p>
    <w:p w14:paraId="4510887F">
      <w:pPr>
        <w:spacing w:line="600" w:lineRule="exact"/>
        <w:ind w:firstLine="643" w:firstLineChars="200"/>
        <w:rPr>
          <w:rFonts w:ascii="仿宋_GB2312" w:eastAsia="仿宋_GB2312"/>
          <w:b/>
          <w:bCs/>
          <w:sz w:val="32"/>
          <w:szCs w:val="32"/>
        </w:rPr>
      </w:pPr>
      <w:bookmarkStart w:id="65" w:name="_Toc15377444"/>
      <w:bookmarkStart w:id="66" w:name="_Toc15378460"/>
      <w:bookmarkStart w:id="67" w:name="_Toc15377213"/>
      <w:r>
        <w:rPr>
          <w:rFonts w:ascii="仿宋_GB2312" w:eastAsia="仿宋_GB2312"/>
          <w:b/>
          <w:bCs/>
          <w:sz w:val="32"/>
          <w:szCs w:val="32"/>
        </w:rPr>
        <w:t>202</w:t>
      </w:r>
      <w:r>
        <w:rPr>
          <w:rFonts w:hint="eastAsia" w:ascii="仿宋_GB2312" w:eastAsia="仿宋_GB2312"/>
          <w:b/>
          <w:bCs/>
          <w:sz w:val="32"/>
          <w:szCs w:val="32"/>
        </w:rPr>
        <w:t>1年一般公共预算支出决算数为</w:t>
      </w:r>
      <w:r>
        <w:rPr>
          <w:rFonts w:hint="eastAsia" w:ascii="仿宋_GB2312" w:eastAsia="仿宋_GB2312"/>
          <w:b/>
          <w:bCs/>
          <w:sz w:val="32"/>
          <w:szCs w:val="32"/>
          <w:lang w:val="en-US" w:eastAsia="zh-CN"/>
        </w:rPr>
        <w:t>2512.12</w:t>
      </w:r>
      <w:r>
        <w:rPr>
          <w:rFonts w:hint="eastAsia" w:ascii="仿宋_GB2312" w:eastAsia="仿宋_GB2312"/>
          <w:b/>
          <w:bCs/>
          <w:sz w:val="32"/>
          <w:szCs w:val="32"/>
        </w:rPr>
        <w:t>，完成预算</w:t>
      </w:r>
      <w:r>
        <w:rPr>
          <w:rFonts w:hint="eastAsia" w:ascii="仿宋_GB2312" w:eastAsia="仿宋_GB2312"/>
          <w:b/>
          <w:bCs/>
          <w:sz w:val="32"/>
          <w:szCs w:val="32"/>
          <w:lang w:val="en-US" w:eastAsia="zh-CN"/>
        </w:rPr>
        <w:t>100</w:t>
      </w:r>
      <w:r>
        <w:rPr>
          <w:rFonts w:ascii="仿宋_GB2312" w:eastAsia="仿宋_GB2312"/>
          <w:b/>
          <w:bCs/>
          <w:sz w:val="32"/>
          <w:szCs w:val="32"/>
        </w:rPr>
        <w:t>%</w:t>
      </w:r>
      <w:r>
        <w:rPr>
          <w:rFonts w:hint="eastAsia" w:ascii="仿宋_GB2312" w:eastAsia="仿宋_GB2312"/>
          <w:b/>
          <w:bCs/>
          <w:sz w:val="32"/>
          <w:szCs w:val="32"/>
        </w:rPr>
        <w:t>。其中：</w:t>
      </w:r>
      <w:bookmarkEnd w:id="65"/>
      <w:bookmarkEnd w:id="66"/>
      <w:bookmarkEnd w:id="67"/>
    </w:p>
    <w:p w14:paraId="79F9EE95">
      <w:pPr>
        <w:numPr>
          <w:ilvl w:val="0"/>
          <w:numId w:val="2"/>
        </w:numPr>
        <w:spacing w:line="600" w:lineRule="exact"/>
        <w:ind w:firstLine="643" w:firstLineChars="200"/>
        <w:rPr>
          <w:rStyle w:val="23"/>
          <w:rFonts w:hint="eastAsia" w:ascii="仿宋" w:hAnsi="仿宋" w:eastAsia="仿宋"/>
          <w:b w:val="0"/>
          <w:bCs/>
          <w:color w:val="000000"/>
          <w:sz w:val="32"/>
          <w:szCs w:val="32"/>
          <w:lang w:eastAsia="zh-CN"/>
        </w:rPr>
      </w:pPr>
      <w:r>
        <w:rPr>
          <w:rStyle w:val="23"/>
          <w:rFonts w:hint="eastAsia" w:ascii="仿宋" w:hAnsi="仿宋" w:eastAsia="仿宋"/>
          <w:bCs/>
          <w:color w:val="000000"/>
          <w:sz w:val="32"/>
          <w:szCs w:val="32"/>
        </w:rPr>
        <w:t>一般公共服务（</w:t>
      </w:r>
      <w:r>
        <w:rPr>
          <w:rStyle w:val="23"/>
          <w:rFonts w:hint="eastAsia" w:ascii="仿宋" w:hAnsi="仿宋" w:eastAsia="仿宋"/>
          <w:bCs/>
          <w:color w:val="000000"/>
          <w:sz w:val="32"/>
          <w:szCs w:val="32"/>
          <w:lang w:val="en-US" w:eastAsia="zh-CN"/>
        </w:rPr>
        <w:t>201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发展和改革事务</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20104</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行政运行（</w:t>
      </w:r>
      <w:r>
        <w:rPr>
          <w:rStyle w:val="23"/>
          <w:rFonts w:hint="eastAsia" w:ascii="仿宋" w:hAnsi="仿宋" w:eastAsia="仿宋"/>
          <w:bCs/>
          <w:color w:val="000000"/>
          <w:sz w:val="32"/>
          <w:szCs w:val="32"/>
          <w:lang w:val="en-US" w:eastAsia="zh-CN"/>
        </w:rPr>
        <w:t>2010401</w:t>
      </w:r>
      <w:r>
        <w:rPr>
          <w:rStyle w:val="23"/>
          <w:rFonts w:hint="eastAsia" w:ascii="仿宋" w:hAnsi="仿宋" w:eastAsia="仿宋"/>
          <w:bCs/>
          <w:color w:val="000000"/>
          <w:sz w:val="32"/>
          <w:szCs w:val="32"/>
          <w:lang w:eastAsia="zh-CN"/>
        </w:rPr>
        <w:t>）、一般行政管理事务</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2010402</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、其他发展与改革事务支出（</w:t>
      </w:r>
      <w:r>
        <w:rPr>
          <w:rStyle w:val="23"/>
          <w:rFonts w:hint="eastAsia" w:ascii="仿宋" w:hAnsi="仿宋" w:eastAsia="仿宋"/>
          <w:bCs/>
          <w:color w:val="000000"/>
          <w:sz w:val="32"/>
          <w:szCs w:val="32"/>
          <w:lang w:val="en-US" w:eastAsia="zh-CN"/>
        </w:rPr>
        <w:t>2010499</w:t>
      </w:r>
      <w:r>
        <w:rPr>
          <w:rStyle w:val="23"/>
          <w:rFonts w:hint="eastAsia" w:ascii="仿宋" w:hAnsi="仿宋" w:eastAsia="仿宋"/>
          <w:bCs/>
          <w:color w:val="000000"/>
          <w:sz w:val="32"/>
          <w:szCs w:val="32"/>
          <w:lang w:eastAsia="zh-CN"/>
        </w:rPr>
        <w:t>）</w:t>
      </w:r>
      <w:r>
        <w:rPr>
          <w:rStyle w:val="23"/>
          <w:rFonts w:ascii="仿宋" w:hAnsi="仿宋" w:eastAsia="仿宋"/>
          <w:bCs/>
          <w:color w:val="000000"/>
          <w:sz w:val="32"/>
          <w:szCs w:val="32"/>
        </w:rPr>
        <w:t>:</w:t>
      </w:r>
      <w:r>
        <w:rPr>
          <w:rFonts w:hint="eastAsia" w:ascii="仿宋" w:hAnsi="仿宋" w:eastAsia="仿宋"/>
          <w:color w:val="000000" w:themeColor="text1"/>
          <w:sz w:val="32"/>
          <w:szCs w:val="32"/>
          <w14:textFill>
            <w14:solidFill>
              <w14:schemeClr w14:val="tx1"/>
            </w14:solidFill>
          </w14:textFill>
        </w:rPr>
        <w:t>支出</w:t>
      </w:r>
      <w:r>
        <w:rPr>
          <w:rFonts w:hint="eastAsia" w:ascii="仿宋" w:hAnsi="仿宋" w:eastAsia="仿宋"/>
          <w:color w:val="000000"/>
          <w:sz w:val="32"/>
          <w:szCs w:val="32"/>
          <w:lang w:val="en-US" w:eastAsia="zh-CN"/>
        </w:rPr>
        <w:t>707.06</w:t>
      </w:r>
      <w:r>
        <w:rPr>
          <w:rFonts w:hint="eastAsia" w:ascii="仿宋" w:hAnsi="仿宋" w:eastAsia="仿宋"/>
          <w:color w:val="000000" w:themeColor="text1"/>
          <w:sz w:val="32"/>
          <w:szCs w:val="32"/>
          <w14:textFill>
            <w14:solidFill>
              <w14:schemeClr w14:val="tx1"/>
            </w14:solidFill>
          </w14:textFill>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eastAsia="zh-CN"/>
        </w:rPr>
        <w:t>的</w:t>
      </w:r>
      <w:r>
        <w:rPr>
          <w:rStyle w:val="23"/>
          <w:rFonts w:hint="eastAsia" w:ascii="仿宋" w:hAnsi="仿宋" w:eastAsia="仿宋"/>
          <w:b w:val="0"/>
          <w:bCs/>
          <w:color w:val="000000"/>
          <w:sz w:val="32"/>
          <w:szCs w:val="32"/>
          <w:lang w:val="en-US" w:eastAsia="zh-CN"/>
        </w:rPr>
        <w:t>102.28</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决算数大于预算数，（其中：当年预算</w:t>
      </w:r>
      <w:r>
        <w:rPr>
          <w:rStyle w:val="23"/>
          <w:rFonts w:hint="eastAsia" w:ascii="仿宋" w:hAnsi="仿宋" w:eastAsia="仿宋"/>
          <w:b w:val="0"/>
          <w:bCs/>
          <w:color w:val="000000"/>
          <w:sz w:val="32"/>
          <w:szCs w:val="32"/>
          <w:lang w:val="en-US" w:eastAsia="zh-CN"/>
        </w:rPr>
        <w:t>691.3万元，上年结转15.76万元</w:t>
      </w:r>
      <w:r>
        <w:rPr>
          <w:rStyle w:val="23"/>
          <w:rFonts w:hint="eastAsia" w:ascii="仿宋" w:hAnsi="仿宋" w:eastAsia="仿宋"/>
          <w:b w:val="0"/>
          <w:bCs/>
          <w:color w:val="000000"/>
          <w:sz w:val="32"/>
          <w:szCs w:val="32"/>
          <w:lang w:eastAsia="zh-CN"/>
        </w:rPr>
        <w:t>）。</w:t>
      </w:r>
    </w:p>
    <w:p w14:paraId="0FF5E817">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2</w:t>
      </w:r>
      <w:r>
        <w:rPr>
          <w:rStyle w:val="23"/>
          <w:rFonts w:ascii="仿宋" w:hAnsi="仿宋" w:eastAsia="仿宋"/>
          <w:bCs/>
          <w:color w:val="000000"/>
          <w:sz w:val="32"/>
          <w:szCs w:val="32"/>
        </w:rPr>
        <w:t>.</w:t>
      </w:r>
      <w:r>
        <w:rPr>
          <w:rStyle w:val="23"/>
          <w:rFonts w:hint="eastAsia" w:ascii="仿宋" w:hAnsi="仿宋" w:eastAsia="仿宋"/>
          <w:bCs/>
          <w:color w:val="000000"/>
          <w:sz w:val="32"/>
          <w:szCs w:val="32"/>
        </w:rPr>
        <w:t>社会保障和就业</w:t>
      </w:r>
      <w:r>
        <w:rPr>
          <w:rStyle w:val="23"/>
          <w:rFonts w:hint="eastAsia" w:ascii="仿宋" w:hAnsi="仿宋" w:eastAsia="仿宋"/>
          <w:bCs/>
          <w:color w:val="000000"/>
          <w:sz w:val="32"/>
          <w:szCs w:val="32"/>
          <w:lang w:eastAsia="zh-CN"/>
        </w:rPr>
        <w:t>支出：</w:t>
      </w:r>
      <w:r>
        <w:rPr>
          <w:rStyle w:val="23"/>
          <w:rFonts w:hint="eastAsia" w:ascii="仿宋" w:hAnsi="仿宋" w:eastAsia="仿宋"/>
          <w:b w:val="0"/>
          <w:bCs w:val="0"/>
          <w:color w:val="000000"/>
          <w:sz w:val="32"/>
          <w:szCs w:val="32"/>
          <w:lang w:eastAsia="zh-CN"/>
        </w:rPr>
        <w:t>机关事业单位基本养老保险缴费支出</w:t>
      </w:r>
      <w:r>
        <w:rPr>
          <w:rStyle w:val="23"/>
          <w:rFonts w:hint="eastAsia" w:ascii="仿宋" w:hAnsi="仿宋" w:eastAsia="仿宋"/>
          <w:b w:val="0"/>
          <w:bCs w:val="0"/>
          <w:color w:val="000000"/>
          <w:sz w:val="32"/>
          <w:szCs w:val="32"/>
        </w:rPr>
        <w:t>（</w:t>
      </w:r>
      <w:r>
        <w:rPr>
          <w:rStyle w:val="23"/>
          <w:rFonts w:hint="eastAsia" w:ascii="仿宋" w:hAnsi="仿宋" w:eastAsia="仿宋"/>
          <w:b w:val="0"/>
          <w:bCs w:val="0"/>
          <w:color w:val="000000"/>
          <w:sz w:val="32"/>
          <w:szCs w:val="32"/>
          <w:lang w:val="en-US" w:eastAsia="zh-CN"/>
        </w:rPr>
        <w:t>2080505</w:t>
      </w:r>
      <w:r>
        <w:rPr>
          <w:rStyle w:val="23"/>
          <w:rFonts w:hint="eastAsia" w:ascii="仿宋" w:hAnsi="仿宋" w:eastAsia="仿宋"/>
          <w:b w:val="0"/>
          <w:bCs w:val="0"/>
          <w:color w:val="000000"/>
          <w:sz w:val="32"/>
          <w:szCs w:val="32"/>
        </w:rPr>
        <w:t>）</w:t>
      </w:r>
      <w:r>
        <w:rPr>
          <w:rStyle w:val="23"/>
          <w:rFonts w:ascii="仿宋" w:hAnsi="仿宋" w:eastAsia="仿宋"/>
          <w:b w:val="0"/>
          <w:bCs w:val="0"/>
          <w:color w:val="000000"/>
          <w:sz w:val="32"/>
          <w:szCs w:val="32"/>
        </w:rPr>
        <w:t>:</w:t>
      </w:r>
      <w:r>
        <w:rPr>
          <w:rStyle w:val="23"/>
          <w:rFonts w:hint="eastAsia" w:ascii="仿宋" w:hAnsi="仿宋" w:eastAsia="仿宋"/>
          <w:b w:val="0"/>
          <w:bCs w:val="0"/>
          <w:color w:val="000000"/>
          <w:sz w:val="32"/>
          <w:szCs w:val="32"/>
          <w:lang w:eastAsia="zh-CN"/>
        </w:rPr>
        <w:t>支出</w:t>
      </w:r>
      <w:r>
        <w:rPr>
          <w:rStyle w:val="23"/>
          <w:rFonts w:hint="eastAsia" w:ascii="仿宋" w:hAnsi="仿宋" w:eastAsia="仿宋"/>
          <w:b w:val="0"/>
          <w:bCs/>
          <w:color w:val="000000"/>
          <w:sz w:val="32"/>
          <w:szCs w:val="32"/>
          <w:lang w:val="en-US" w:eastAsia="zh-CN"/>
        </w:rPr>
        <w:t>49.84</w:t>
      </w:r>
      <w:r>
        <w:rPr>
          <w:rFonts w:hint="eastAsia" w:ascii="仿宋" w:hAnsi="仿宋" w:eastAsia="仿宋"/>
          <w:color w:val="000000" w:themeColor="text1"/>
          <w:sz w:val="32"/>
          <w:szCs w:val="32"/>
          <w14:textFill>
            <w14:solidFill>
              <w14:schemeClr w14:val="tx1"/>
            </w14:solidFill>
          </w14:textFill>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eastAsia="zh-CN"/>
        </w:rPr>
        <w:t>的</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决算数等于预算数。</w:t>
      </w:r>
    </w:p>
    <w:p w14:paraId="4C1826F9">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3</w:t>
      </w:r>
      <w:r>
        <w:rPr>
          <w:rStyle w:val="23"/>
          <w:rFonts w:ascii="仿宋" w:hAnsi="仿宋" w:eastAsia="仿宋"/>
          <w:bCs/>
          <w:color w:val="000000"/>
          <w:sz w:val="32"/>
          <w:szCs w:val="32"/>
        </w:rPr>
        <w:t>.</w:t>
      </w:r>
      <w:r>
        <w:rPr>
          <w:rStyle w:val="23"/>
          <w:rFonts w:hint="eastAsia" w:ascii="仿宋" w:hAnsi="仿宋" w:eastAsia="仿宋"/>
          <w:bCs/>
          <w:color w:val="000000"/>
          <w:sz w:val="32"/>
          <w:szCs w:val="32"/>
        </w:rPr>
        <w:t>医疗卫生与计划生育</w:t>
      </w:r>
      <w:r>
        <w:rPr>
          <w:rStyle w:val="23"/>
          <w:rFonts w:hint="eastAsia" w:ascii="仿宋" w:hAnsi="仿宋" w:eastAsia="仿宋"/>
          <w:bCs/>
          <w:color w:val="000000"/>
          <w:sz w:val="32"/>
          <w:szCs w:val="32"/>
          <w:lang w:eastAsia="zh-CN"/>
        </w:rPr>
        <w:t>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行政事业单位医疗</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21011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行政单位医疗</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2101101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、事业单位医疗（</w:t>
      </w:r>
      <w:r>
        <w:rPr>
          <w:rStyle w:val="23"/>
          <w:rFonts w:hint="eastAsia" w:ascii="仿宋" w:hAnsi="仿宋" w:eastAsia="仿宋"/>
          <w:bCs/>
          <w:color w:val="000000"/>
          <w:sz w:val="32"/>
          <w:szCs w:val="32"/>
          <w:lang w:val="en-US" w:eastAsia="zh-CN"/>
        </w:rPr>
        <w:t>2101102</w:t>
      </w:r>
      <w:r>
        <w:rPr>
          <w:rStyle w:val="23"/>
          <w:rFonts w:hint="eastAsia" w:ascii="仿宋" w:hAnsi="仿宋" w:eastAsia="仿宋"/>
          <w:bCs/>
          <w:color w:val="000000"/>
          <w:sz w:val="32"/>
          <w:szCs w:val="32"/>
          <w:lang w:eastAsia="zh-CN"/>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Fonts w:hint="eastAsia" w:ascii="仿宋" w:hAnsi="仿宋" w:eastAsia="仿宋"/>
          <w:b/>
          <w:bCs/>
          <w:color w:val="000000" w:themeColor="text1"/>
          <w:sz w:val="32"/>
          <w:szCs w:val="32"/>
          <w:lang w:eastAsia="zh-CN"/>
          <w14:textFill>
            <w14:solidFill>
              <w14:schemeClr w14:val="tx1"/>
            </w14:solidFill>
          </w14:textFill>
        </w:rPr>
        <w:t>支出</w:t>
      </w:r>
      <w:r>
        <w:rPr>
          <w:rFonts w:hint="eastAsia" w:ascii="仿宋" w:hAnsi="仿宋" w:eastAsia="仿宋"/>
          <w:color w:val="000000" w:themeColor="text1"/>
          <w:sz w:val="32"/>
          <w:szCs w:val="32"/>
          <w:lang w:val="en-US" w:eastAsia="zh-CN"/>
          <w14:textFill>
            <w14:solidFill>
              <w14:schemeClr w14:val="tx1"/>
            </w14:solidFill>
          </w14:textFill>
        </w:rPr>
        <w:t>15.09</w:t>
      </w:r>
      <w:r>
        <w:rPr>
          <w:rFonts w:hint="eastAsia" w:ascii="仿宋" w:hAnsi="仿宋" w:eastAsia="仿宋"/>
          <w:color w:val="000000" w:themeColor="text1"/>
          <w:sz w:val="32"/>
          <w:szCs w:val="32"/>
          <w14:textFill>
            <w14:solidFill>
              <w14:schemeClr w14:val="tx1"/>
            </w14:solidFill>
          </w14:textFill>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eastAsia="zh-CN"/>
        </w:rPr>
        <w:t>的</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决算数等于预算数。</w:t>
      </w:r>
    </w:p>
    <w:p w14:paraId="768E6BEF">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lang w:val="en-US" w:eastAsia="zh-CN"/>
        </w:rPr>
        <w:t>4.</w:t>
      </w:r>
      <w:r>
        <w:rPr>
          <w:rStyle w:val="23"/>
          <w:rFonts w:hint="eastAsia" w:ascii="仿宋" w:hAnsi="仿宋" w:eastAsia="仿宋"/>
          <w:bCs/>
          <w:color w:val="000000"/>
          <w:sz w:val="32"/>
          <w:szCs w:val="32"/>
          <w:lang w:eastAsia="zh-CN"/>
        </w:rPr>
        <w:t>农林水支出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213</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水利（</w:t>
      </w:r>
      <w:r>
        <w:rPr>
          <w:rStyle w:val="23"/>
          <w:rFonts w:hint="eastAsia" w:ascii="仿宋" w:hAnsi="仿宋" w:eastAsia="仿宋"/>
          <w:bCs/>
          <w:color w:val="000000"/>
          <w:sz w:val="32"/>
          <w:szCs w:val="32"/>
          <w:lang w:val="en-US" w:eastAsia="zh-CN"/>
        </w:rPr>
        <w:t>21303</w:t>
      </w:r>
      <w:r>
        <w:rPr>
          <w:rStyle w:val="23"/>
          <w:rFonts w:hint="eastAsia" w:ascii="仿宋" w:hAnsi="仿宋" w:eastAsia="仿宋"/>
          <w:bCs/>
          <w:color w:val="000000"/>
          <w:sz w:val="32"/>
          <w:szCs w:val="32"/>
          <w:lang w:eastAsia="zh-CN"/>
        </w:rPr>
        <w:t>）扶贫（</w:t>
      </w:r>
      <w:r>
        <w:rPr>
          <w:rStyle w:val="23"/>
          <w:rFonts w:hint="eastAsia" w:ascii="仿宋" w:hAnsi="仿宋" w:eastAsia="仿宋"/>
          <w:bCs/>
          <w:color w:val="000000"/>
          <w:sz w:val="32"/>
          <w:szCs w:val="32"/>
          <w:lang w:val="en-US" w:eastAsia="zh-CN"/>
        </w:rPr>
        <w:t>21305</w:t>
      </w:r>
      <w:r>
        <w:rPr>
          <w:rStyle w:val="23"/>
          <w:rFonts w:hint="eastAsia" w:ascii="仿宋" w:hAnsi="仿宋" w:eastAsia="仿宋"/>
          <w:bCs/>
          <w:color w:val="000000"/>
          <w:sz w:val="32"/>
          <w:szCs w:val="32"/>
          <w:lang w:eastAsia="zh-CN"/>
        </w:rPr>
        <w:t>）、其他水利支出（</w:t>
      </w:r>
      <w:r>
        <w:rPr>
          <w:rStyle w:val="23"/>
          <w:rFonts w:hint="eastAsia" w:ascii="仿宋" w:hAnsi="仿宋" w:eastAsia="仿宋"/>
          <w:bCs/>
          <w:color w:val="000000"/>
          <w:sz w:val="32"/>
          <w:szCs w:val="32"/>
          <w:lang w:val="en-US" w:eastAsia="zh-CN"/>
        </w:rPr>
        <w:t>2130399</w:t>
      </w:r>
      <w:r>
        <w:rPr>
          <w:rStyle w:val="23"/>
          <w:rFonts w:hint="eastAsia" w:ascii="仿宋" w:hAnsi="仿宋" w:eastAsia="仿宋"/>
          <w:bCs/>
          <w:color w:val="000000"/>
          <w:sz w:val="32"/>
          <w:szCs w:val="32"/>
          <w:lang w:eastAsia="zh-CN"/>
        </w:rPr>
        <w:t>）其他扶贫支出（</w:t>
      </w:r>
      <w:r>
        <w:rPr>
          <w:rStyle w:val="23"/>
          <w:rFonts w:hint="eastAsia" w:ascii="仿宋" w:hAnsi="仿宋" w:eastAsia="仿宋"/>
          <w:bCs/>
          <w:color w:val="000000"/>
          <w:sz w:val="32"/>
          <w:szCs w:val="32"/>
          <w:lang w:val="en-US" w:eastAsia="zh-CN"/>
        </w:rPr>
        <w:t>2130599</w:t>
      </w:r>
      <w:r>
        <w:rPr>
          <w:rStyle w:val="23"/>
          <w:rFonts w:hint="eastAsia" w:ascii="仿宋" w:hAnsi="仿宋" w:eastAsia="仿宋"/>
          <w:bCs/>
          <w:color w:val="000000"/>
          <w:sz w:val="32"/>
          <w:szCs w:val="32"/>
          <w:lang w:eastAsia="zh-CN"/>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Fonts w:hint="eastAsia" w:ascii="仿宋" w:hAnsi="仿宋" w:eastAsia="仿宋"/>
          <w:b/>
          <w:bCs/>
          <w:color w:val="000000" w:themeColor="text1"/>
          <w:sz w:val="32"/>
          <w:szCs w:val="32"/>
          <w:lang w:eastAsia="zh-CN"/>
          <w14:textFill>
            <w14:solidFill>
              <w14:schemeClr w14:val="tx1"/>
            </w14:solidFill>
          </w14:textFill>
        </w:rPr>
        <w:t>支出</w:t>
      </w:r>
      <w:r>
        <w:rPr>
          <w:rFonts w:hint="eastAsia" w:ascii="仿宋" w:hAnsi="仿宋" w:eastAsia="仿宋"/>
          <w:color w:val="000000" w:themeColor="text1"/>
          <w:sz w:val="32"/>
          <w:szCs w:val="32"/>
          <w:lang w:val="en-US" w:eastAsia="zh-CN"/>
          <w14:textFill>
            <w14:solidFill>
              <w14:schemeClr w14:val="tx1"/>
            </w14:solidFill>
          </w14:textFill>
        </w:rPr>
        <w:t>887.85</w:t>
      </w:r>
      <w:r>
        <w:rPr>
          <w:rFonts w:hint="eastAsia" w:ascii="仿宋" w:hAnsi="仿宋" w:eastAsia="仿宋"/>
          <w:color w:val="000000" w:themeColor="text1"/>
          <w:sz w:val="32"/>
          <w:szCs w:val="32"/>
          <w14:textFill>
            <w14:solidFill>
              <w14:schemeClr w14:val="tx1"/>
            </w14:solidFill>
          </w14:textFill>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eastAsia="zh-CN"/>
        </w:rPr>
        <w:t>的</w:t>
      </w:r>
      <w:r>
        <w:rPr>
          <w:rStyle w:val="23"/>
          <w:rFonts w:hint="eastAsia" w:ascii="仿宋" w:hAnsi="仿宋" w:eastAsia="仿宋"/>
          <w:b w:val="0"/>
          <w:bCs/>
          <w:color w:val="000000"/>
          <w:sz w:val="32"/>
          <w:szCs w:val="32"/>
          <w:lang w:val="en-US" w:eastAsia="zh-CN"/>
        </w:rPr>
        <w:t>104.11</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，决算数大于预算数，（其中：当年预算数</w:t>
      </w:r>
      <w:r>
        <w:rPr>
          <w:rStyle w:val="23"/>
          <w:rFonts w:hint="eastAsia" w:ascii="仿宋" w:hAnsi="仿宋" w:eastAsia="仿宋"/>
          <w:b w:val="0"/>
          <w:bCs/>
          <w:color w:val="000000"/>
          <w:sz w:val="32"/>
          <w:szCs w:val="32"/>
          <w:lang w:val="en-US" w:eastAsia="zh-CN"/>
        </w:rPr>
        <w:t>852.77，上年结转35.08</w:t>
      </w:r>
      <w:r>
        <w:rPr>
          <w:rStyle w:val="23"/>
          <w:rFonts w:hint="eastAsia" w:ascii="仿宋" w:hAnsi="仿宋" w:eastAsia="仿宋"/>
          <w:b w:val="0"/>
          <w:bCs/>
          <w:color w:val="000000"/>
          <w:sz w:val="32"/>
          <w:szCs w:val="32"/>
          <w:lang w:eastAsia="zh-CN"/>
        </w:rPr>
        <w:t>）</w:t>
      </w:r>
    </w:p>
    <w:p w14:paraId="767A3A3B">
      <w:pPr>
        <w:spacing w:line="600" w:lineRule="exact"/>
        <w:ind w:firstLine="643" w:firstLineChars="200"/>
        <w:rPr>
          <w:rFonts w:ascii="仿宋" w:hAnsi="仿宋" w:eastAsia="仿宋"/>
          <w:b/>
          <w:color w:val="000000"/>
          <w:sz w:val="32"/>
          <w:szCs w:val="32"/>
        </w:rPr>
      </w:pPr>
    </w:p>
    <w:p w14:paraId="5B4C8F95">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lang w:val="en-US" w:eastAsia="zh-CN"/>
        </w:rPr>
        <w:t>5.</w:t>
      </w:r>
      <w:r>
        <w:rPr>
          <w:rStyle w:val="23"/>
          <w:rFonts w:hint="eastAsia" w:ascii="仿宋" w:hAnsi="仿宋" w:eastAsia="仿宋"/>
          <w:bCs/>
          <w:color w:val="000000"/>
          <w:sz w:val="32"/>
          <w:szCs w:val="32"/>
          <w:lang w:eastAsia="zh-CN"/>
        </w:rPr>
        <w:t>住房保障支出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221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、住房改革支出（</w:t>
      </w:r>
      <w:r>
        <w:rPr>
          <w:rStyle w:val="23"/>
          <w:rFonts w:hint="eastAsia" w:ascii="仿宋" w:hAnsi="仿宋" w:eastAsia="仿宋"/>
          <w:bCs/>
          <w:color w:val="000000"/>
          <w:sz w:val="32"/>
          <w:szCs w:val="32"/>
          <w:lang w:val="en-US" w:eastAsia="zh-CN"/>
        </w:rPr>
        <w:t>22102</w:t>
      </w:r>
      <w:r>
        <w:rPr>
          <w:rStyle w:val="23"/>
          <w:rFonts w:hint="eastAsia" w:ascii="仿宋" w:hAnsi="仿宋" w:eastAsia="仿宋"/>
          <w:bCs/>
          <w:color w:val="000000"/>
          <w:sz w:val="32"/>
          <w:szCs w:val="32"/>
          <w:lang w:eastAsia="zh-CN"/>
        </w:rPr>
        <w:t>）、住房公积金（</w:t>
      </w:r>
      <w:r>
        <w:rPr>
          <w:rStyle w:val="23"/>
          <w:rFonts w:hint="eastAsia" w:ascii="仿宋" w:hAnsi="仿宋" w:eastAsia="仿宋"/>
          <w:bCs/>
          <w:color w:val="000000"/>
          <w:sz w:val="32"/>
          <w:szCs w:val="32"/>
          <w:lang w:val="en-US" w:eastAsia="zh-CN"/>
        </w:rPr>
        <w:t>2210201</w:t>
      </w:r>
      <w:r>
        <w:rPr>
          <w:rStyle w:val="23"/>
          <w:rFonts w:hint="eastAsia" w:ascii="仿宋" w:hAnsi="仿宋" w:eastAsia="仿宋"/>
          <w:bCs/>
          <w:color w:val="000000"/>
          <w:sz w:val="32"/>
          <w:szCs w:val="32"/>
          <w:lang w:eastAsia="zh-CN"/>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Fonts w:hint="eastAsia" w:ascii="仿宋" w:hAnsi="仿宋" w:eastAsia="仿宋"/>
          <w:color w:val="000000" w:themeColor="text1"/>
          <w:sz w:val="32"/>
          <w:szCs w:val="32"/>
          <w:lang w:val="en-US" w:eastAsia="zh-CN"/>
          <w14:textFill>
            <w14:solidFill>
              <w14:schemeClr w14:val="tx1"/>
            </w14:solidFill>
          </w14:textFill>
        </w:rPr>
        <w:t>26.94</w:t>
      </w:r>
      <w:r>
        <w:rPr>
          <w:rFonts w:hint="eastAsia" w:ascii="仿宋" w:hAnsi="仿宋" w:eastAsia="仿宋"/>
          <w:color w:val="000000" w:themeColor="text1"/>
          <w:sz w:val="32"/>
          <w:szCs w:val="32"/>
          <w14:textFill>
            <w14:solidFill>
              <w14:schemeClr w14:val="tx1"/>
            </w14:solidFill>
          </w14:textFill>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eastAsia="zh-CN"/>
        </w:rPr>
        <w:t>的</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决算数等于预算数。</w:t>
      </w:r>
    </w:p>
    <w:p w14:paraId="2AEFDDD0">
      <w:pPr>
        <w:spacing w:line="600" w:lineRule="exact"/>
        <w:ind w:firstLine="643" w:firstLineChars="200"/>
        <w:rPr>
          <w:rFonts w:ascii="仿宋" w:hAnsi="仿宋" w:eastAsia="仿宋"/>
          <w:b/>
          <w:color w:val="000000"/>
          <w:sz w:val="32"/>
          <w:szCs w:val="32"/>
        </w:rPr>
      </w:pPr>
      <w:r>
        <w:rPr>
          <w:rFonts w:hint="eastAsia" w:ascii="仿宋" w:hAnsi="仿宋" w:eastAsia="仿宋"/>
          <w:b/>
          <w:color w:val="000000"/>
          <w:sz w:val="32"/>
          <w:szCs w:val="32"/>
          <w:lang w:val="en-US" w:eastAsia="zh-CN"/>
        </w:rPr>
        <w:t>5.</w:t>
      </w:r>
      <w:r>
        <w:rPr>
          <w:rStyle w:val="23"/>
          <w:rFonts w:hint="eastAsia" w:ascii="仿宋" w:hAnsi="仿宋" w:eastAsia="仿宋"/>
          <w:bCs/>
          <w:color w:val="000000"/>
          <w:sz w:val="32"/>
          <w:szCs w:val="32"/>
          <w:lang w:eastAsia="zh-CN"/>
        </w:rPr>
        <w:t>其他支出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229</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eastAsia="zh-CN"/>
        </w:rPr>
        <w:t>、其他支出（</w:t>
      </w:r>
      <w:r>
        <w:rPr>
          <w:rStyle w:val="23"/>
          <w:rFonts w:hint="eastAsia" w:ascii="仿宋" w:hAnsi="仿宋" w:eastAsia="仿宋"/>
          <w:bCs/>
          <w:color w:val="000000"/>
          <w:sz w:val="32"/>
          <w:szCs w:val="32"/>
          <w:lang w:val="en-US" w:eastAsia="zh-CN"/>
        </w:rPr>
        <w:t>22999</w:t>
      </w:r>
      <w:r>
        <w:rPr>
          <w:rStyle w:val="23"/>
          <w:rFonts w:hint="eastAsia" w:ascii="仿宋" w:hAnsi="仿宋" w:eastAsia="仿宋"/>
          <w:bCs/>
          <w:color w:val="000000"/>
          <w:sz w:val="32"/>
          <w:szCs w:val="32"/>
          <w:lang w:eastAsia="zh-CN"/>
        </w:rPr>
        <w:t>）、其他支出（</w:t>
      </w:r>
      <w:r>
        <w:rPr>
          <w:rStyle w:val="23"/>
          <w:rFonts w:hint="eastAsia" w:ascii="仿宋" w:hAnsi="仿宋" w:eastAsia="仿宋"/>
          <w:bCs/>
          <w:color w:val="000000"/>
          <w:sz w:val="32"/>
          <w:szCs w:val="32"/>
          <w:lang w:val="en-US" w:eastAsia="zh-CN"/>
        </w:rPr>
        <w:t>2299999</w:t>
      </w:r>
      <w:r>
        <w:rPr>
          <w:rStyle w:val="23"/>
          <w:rFonts w:hint="eastAsia" w:ascii="仿宋" w:hAnsi="仿宋" w:eastAsia="仿宋"/>
          <w:bCs/>
          <w:color w:val="000000"/>
          <w:sz w:val="32"/>
          <w:szCs w:val="32"/>
          <w:lang w:eastAsia="zh-CN"/>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Fonts w:hint="eastAsia" w:ascii="仿宋" w:hAnsi="仿宋" w:eastAsia="仿宋"/>
          <w:color w:val="000000" w:themeColor="text1"/>
          <w:sz w:val="32"/>
          <w:szCs w:val="32"/>
          <w:lang w:val="en-US" w:eastAsia="zh-CN"/>
          <w14:textFill>
            <w14:solidFill>
              <w14:schemeClr w14:val="tx1"/>
            </w14:solidFill>
          </w14:textFill>
        </w:rPr>
        <w:t>825.34</w:t>
      </w:r>
      <w:r>
        <w:rPr>
          <w:rFonts w:hint="eastAsia" w:ascii="仿宋" w:hAnsi="仿宋" w:eastAsia="仿宋"/>
          <w:color w:val="000000" w:themeColor="text1"/>
          <w:sz w:val="32"/>
          <w:szCs w:val="32"/>
          <w14:textFill>
            <w14:solidFill>
              <w14:schemeClr w14:val="tx1"/>
            </w14:solidFill>
          </w14:textFill>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eastAsia="zh-CN"/>
        </w:rPr>
        <w:t>的</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Style w:val="23"/>
          <w:rFonts w:hint="eastAsia" w:ascii="仿宋" w:hAnsi="仿宋" w:eastAsia="仿宋"/>
          <w:b w:val="0"/>
          <w:bCs/>
          <w:color w:val="000000"/>
          <w:sz w:val="32"/>
          <w:szCs w:val="32"/>
          <w:lang w:eastAsia="zh-CN"/>
        </w:rPr>
        <w:t>决算数等于预算数。</w:t>
      </w:r>
    </w:p>
    <w:p w14:paraId="763B2F80">
      <w:pPr>
        <w:spacing w:line="600" w:lineRule="exact"/>
        <w:ind w:firstLine="640"/>
        <w:rPr>
          <w:rFonts w:ascii="仿宋" w:hAnsi="仿宋" w:eastAsia="仿宋"/>
          <w:b/>
          <w:color w:val="000000"/>
          <w:sz w:val="32"/>
          <w:szCs w:val="32"/>
        </w:rPr>
      </w:pPr>
    </w:p>
    <w:p w14:paraId="64312352">
      <w:pPr>
        <w:tabs>
          <w:tab w:val="right" w:pos="8306"/>
        </w:tabs>
        <w:spacing w:line="600" w:lineRule="exact"/>
        <w:ind w:firstLine="640"/>
        <w:outlineLvl w:val="1"/>
        <w:rPr>
          <w:rStyle w:val="26"/>
        </w:rPr>
      </w:pPr>
      <w:bookmarkStart w:id="68" w:name="_Toc15377214"/>
      <w:bookmarkStart w:id="69" w:name="_Toc79163618"/>
      <w:bookmarkStart w:id="70" w:name="_Toc79163868"/>
      <w:bookmarkStart w:id="71"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68"/>
      <w:bookmarkEnd w:id="69"/>
      <w:bookmarkEnd w:id="70"/>
      <w:bookmarkEnd w:id="71"/>
      <w:r>
        <w:rPr>
          <w:rStyle w:val="26"/>
          <w:rFonts w:ascii="黑体" w:hAnsi="黑体" w:eastAsia="黑体"/>
          <w:b w:val="0"/>
        </w:rPr>
        <w:tab/>
      </w:r>
    </w:p>
    <w:p w14:paraId="1C20141C">
      <w:pPr>
        <w:spacing w:line="600" w:lineRule="exact"/>
        <w:ind w:firstLine="645"/>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1年一般公共预算财政拨款基本支出</w:t>
      </w:r>
      <w:r>
        <w:rPr>
          <w:rFonts w:hint="eastAsia" w:ascii="仿宋" w:hAnsi="仿宋" w:eastAsia="仿宋"/>
          <w:color w:val="000000"/>
          <w:sz w:val="32"/>
          <w:szCs w:val="32"/>
          <w:lang w:val="en-US" w:eastAsia="zh-CN"/>
        </w:rPr>
        <w:t>483.48</w:t>
      </w:r>
      <w:r>
        <w:rPr>
          <w:rFonts w:hint="eastAsia" w:ascii="仿宋" w:hAnsi="仿宋" w:eastAsia="仿宋"/>
          <w:color w:val="000000"/>
          <w:sz w:val="32"/>
          <w:szCs w:val="32"/>
        </w:rPr>
        <w:t>万元，其中：</w:t>
      </w:r>
    </w:p>
    <w:p w14:paraId="5E0D70D5">
      <w:pPr>
        <w:spacing w:line="600" w:lineRule="exact"/>
        <w:ind w:firstLine="645"/>
        <w:rPr>
          <w:rFonts w:hint="eastAsia"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425.29</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36AF807F">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日常公用经费</w:t>
      </w:r>
      <w:r>
        <w:rPr>
          <w:rFonts w:hint="eastAsia" w:ascii="仿宋" w:hAnsi="仿宋" w:eastAsia="仿宋"/>
          <w:color w:val="000000"/>
          <w:sz w:val="32"/>
          <w:szCs w:val="32"/>
          <w:lang w:val="en-US" w:eastAsia="zh-CN"/>
        </w:rPr>
        <w:t>58.18</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3DBB71E">
      <w:pPr>
        <w:spacing w:line="600" w:lineRule="exact"/>
        <w:ind w:firstLine="640"/>
        <w:rPr>
          <w:rFonts w:ascii="仿宋" w:hAnsi="仿宋" w:eastAsia="仿宋"/>
          <w:b/>
          <w:color w:val="FF0000"/>
          <w:sz w:val="32"/>
          <w:szCs w:val="32"/>
        </w:rPr>
      </w:pPr>
    </w:p>
    <w:p w14:paraId="2337D50D">
      <w:pPr>
        <w:spacing w:line="600" w:lineRule="exact"/>
        <w:ind w:firstLine="640"/>
        <w:outlineLvl w:val="1"/>
        <w:rPr>
          <w:rStyle w:val="26"/>
          <w:rFonts w:ascii="黑体" w:hAnsi="黑体" w:eastAsia="黑体"/>
          <w:b w:val="0"/>
        </w:rPr>
      </w:pPr>
      <w:bookmarkStart w:id="72" w:name="_Toc15377215"/>
      <w:bookmarkStart w:id="73" w:name="_Toc79163869"/>
      <w:bookmarkStart w:id="74" w:name="_Toc79163619"/>
      <w:bookmarkStart w:id="75" w:name="_Toc15396609"/>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72"/>
      <w:bookmarkEnd w:id="73"/>
      <w:bookmarkEnd w:id="74"/>
      <w:bookmarkEnd w:id="75"/>
    </w:p>
    <w:p w14:paraId="254262B3">
      <w:pPr>
        <w:spacing w:line="600" w:lineRule="exact"/>
        <w:ind w:firstLine="640"/>
        <w:outlineLvl w:val="2"/>
        <w:rPr>
          <w:rFonts w:ascii="仿宋" w:hAnsi="仿宋" w:eastAsia="仿宋"/>
          <w:b/>
          <w:color w:val="000000"/>
          <w:sz w:val="32"/>
          <w:szCs w:val="32"/>
        </w:rPr>
      </w:pPr>
      <w:bookmarkStart w:id="76" w:name="_Toc15377216"/>
      <w:bookmarkStart w:id="77" w:name="_Toc79163870"/>
      <w:bookmarkStart w:id="78" w:name="_Toc79163620"/>
      <w:r>
        <w:rPr>
          <w:rFonts w:hint="eastAsia" w:ascii="仿宋" w:hAnsi="仿宋" w:eastAsia="仿宋"/>
          <w:b/>
          <w:color w:val="000000"/>
          <w:sz w:val="32"/>
          <w:szCs w:val="32"/>
        </w:rPr>
        <w:t>（一）“三公”经费财政拨款支出决算总体情况说明</w:t>
      </w:r>
      <w:bookmarkEnd w:id="76"/>
      <w:bookmarkEnd w:id="77"/>
      <w:bookmarkEnd w:id="78"/>
    </w:p>
    <w:p w14:paraId="7AEB05E3">
      <w:pPr>
        <w:spacing w:line="600" w:lineRule="exact"/>
        <w:ind w:firstLine="640"/>
        <w:rPr>
          <w:rFonts w:ascii="仿宋" w:hAnsi="仿宋" w:eastAsia="仿宋"/>
          <w:b/>
          <w:color w:val="FF0000"/>
          <w:sz w:val="32"/>
          <w:szCs w:val="32"/>
        </w:rPr>
      </w:pPr>
      <w:r>
        <w:rPr>
          <w:rFonts w:ascii="仿宋" w:hAnsi="仿宋" w:eastAsia="仿宋"/>
          <w:color w:val="000000"/>
          <w:sz w:val="32"/>
          <w:szCs w:val="32"/>
        </w:rPr>
        <w:t>202</w:t>
      </w:r>
      <w:r>
        <w:rPr>
          <w:rFonts w:hint="eastAsia" w:ascii="仿宋" w:hAnsi="仿宋" w:eastAsia="仿宋"/>
          <w:color w:val="000000"/>
          <w:sz w:val="32"/>
          <w:szCs w:val="32"/>
        </w:rPr>
        <w:t>1年“三公”经费财政拨款支出决算为</w:t>
      </w:r>
      <w:r>
        <w:rPr>
          <w:rFonts w:hint="eastAsia" w:ascii="仿宋" w:hAnsi="仿宋" w:eastAsia="仿宋"/>
          <w:color w:val="000000"/>
          <w:sz w:val="32"/>
          <w:szCs w:val="32"/>
          <w:lang w:val="en-US" w:eastAsia="zh-CN"/>
        </w:rPr>
        <w:t>9.04</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，决算数</w:t>
      </w:r>
      <w:r>
        <w:rPr>
          <w:rFonts w:hint="eastAsia" w:ascii="仿宋" w:hAnsi="仿宋" w:eastAsia="仿宋"/>
          <w:color w:val="000000"/>
          <w:sz w:val="32"/>
          <w:szCs w:val="32"/>
          <w:lang w:eastAsia="zh-CN"/>
        </w:rPr>
        <w:t>等于</w:t>
      </w:r>
      <w:r>
        <w:rPr>
          <w:rFonts w:hint="eastAsia" w:ascii="仿宋" w:hAnsi="仿宋" w:eastAsia="仿宋"/>
          <w:color w:val="000000"/>
          <w:sz w:val="32"/>
          <w:szCs w:val="32"/>
        </w:rPr>
        <w:t>预算数</w:t>
      </w:r>
      <w:r>
        <w:rPr>
          <w:rFonts w:hint="eastAsia" w:ascii="仿宋" w:hAnsi="仿宋" w:eastAsia="仿宋"/>
          <w:color w:val="000000"/>
          <w:sz w:val="32"/>
          <w:szCs w:val="32"/>
          <w:lang w:eastAsia="zh-CN"/>
        </w:rPr>
        <w:t>。</w:t>
      </w:r>
    </w:p>
    <w:p w14:paraId="37252C79">
      <w:pPr>
        <w:spacing w:line="600" w:lineRule="exact"/>
        <w:ind w:firstLine="640"/>
        <w:outlineLvl w:val="2"/>
        <w:rPr>
          <w:rFonts w:ascii="仿宋" w:hAnsi="仿宋" w:eastAsia="仿宋"/>
          <w:b/>
          <w:color w:val="000000"/>
          <w:sz w:val="32"/>
          <w:szCs w:val="32"/>
        </w:rPr>
      </w:pPr>
      <w:bookmarkStart w:id="79" w:name="_Toc79163621"/>
      <w:bookmarkStart w:id="80" w:name="_Toc15377217"/>
      <w:bookmarkStart w:id="81" w:name="_Toc79163871"/>
      <w:r>
        <w:rPr>
          <w:rFonts w:hint="eastAsia" w:ascii="仿宋" w:hAnsi="仿宋" w:eastAsia="仿宋"/>
          <w:b/>
          <w:color w:val="000000"/>
          <w:sz w:val="32"/>
          <w:szCs w:val="32"/>
        </w:rPr>
        <w:t>（二）“三公”经费财政拨款支出决算具体情况说明</w:t>
      </w:r>
      <w:bookmarkEnd w:id="79"/>
      <w:bookmarkEnd w:id="80"/>
      <w:bookmarkEnd w:id="81"/>
    </w:p>
    <w:p w14:paraId="30596E92">
      <w:pPr>
        <w:spacing w:line="600" w:lineRule="exact"/>
        <w:ind w:firstLine="640"/>
        <w:rPr>
          <w:rFonts w:ascii="仿宋" w:hAnsi="仿宋" w:eastAsia="仿宋"/>
          <w:color w:val="000000"/>
          <w:sz w:val="32"/>
          <w:szCs w:val="32"/>
        </w:rPr>
      </w:pPr>
      <w:r>
        <w:rPr>
          <w:rFonts w:ascii="仿宋" w:hAnsi="仿宋" w:eastAsia="仿宋"/>
          <w:color w:val="000000"/>
          <w:sz w:val="32"/>
          <w:szCs w:val="32"/>
        </w:rPr>
        <w:t>202</w:t>
      </w:r>
      <w:r>
        <w:rPr>
          <w:rFonts w:hint="eastAsia" w:ascii="仿宋" w:hAnsi="仿宋" w:eastAsia="仿宋"/>
          <w:color w:val="000000"/>
          <w:sz w:val="32"/>
          <w:szCs w:val="32"/>
        </w:rPr>
        <w:t>1年“三公”经费财政拨款支出决算中，因公出国（境）费支出决算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万元；公务用车购置及运行维护费支出决算</w:t>
      </w:r>
      <w:r>
        <w:rPr>
          <w:rFonts w:hint="eastAsia" w:ascii="仿宋" w:hAnsi="仿宋" w:eastAsia="仿宋"/>
          <w:color w:val="000000"/>
          <w:sz w:val="32"/>
          <w:szCs w:val="32"/>
          <w:lang w:val="en-US" w:eastAsia="zh-CN"/>
        </w:rPr>
        <w:t>8.72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96.46</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0.32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3.54</w:t>
      </w:r>
      <w:r>
        <w:rPr>
          <w:rFonts w:ascii="仿宋" w:hAnsi="仿宋" w:eastAsia="仿宋"/>
          <w:color w:val="000000"/>
          <w:sz w:val="32"/>
          <w:szCs w:val="32"/>
        </w:rPr>
        <w:t>%</w:t>
      </w:r>
      <w:r>
        <w:rPr>
          <w:rFonts w:hint="eastAsia" w:ascii="仿宋" w:hAnsi="仿宋" w:eastAsia="仿宋"/>
          <w:color w:val="000000"/>
          <w:sz w:val="32"/>
          <w:szCs w:val="32"/>
        </w:rPr>
        <w:t>。</w:t>
      </w:r>
    </w:p>
    <w:p w14:paraId="33985DAD">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b/>
          <w:color w:val="000000"/>
          <w:sz w:val="32"/>
          <w:szCs w:val="32"/>
          <w:lang w:val="en-US" w:eastAsia="zh-CN"/>
        </w:rPr>
        <w:t>0</w:t>
      </w:r>
      <w:r>
        <w:rPr>
          <w:rFonts w:hint="eastAsia" w:ascii="仿宋_GB2312" w:eastAsia="仿宋_GB2312"/>
          <w:color w:val="000000"/>
          <w:sz w:val="32"/>
          <w:szCs w:val="32"/>
        </w:rPr>
        <w:t>万</w:t>
      </w:r>
      <w:r>
        <w:rPr>
          <w:rFonts w:hint="eastAsia" w:ascii="仿宋_GB2312" w:eastAsia="仿宋_GB2312"/>
          <w:color w:val="000000"/>
          <w:sz w:val="32"/>
          <w:szCs w:val="32"/>
          <w:lang w:eastAsia="zh-CN"/>
        </w:rPr>
        <w:t>元</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次，出国（境）</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人。</w:t>
      </w:r>
    </w:p>
    <w:p w14:paraId="17149765">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b/>
          <w:color w:val="000000"/>
          <w:sz w:val="32"/>
          <w:szCs w:val="32"/>
          <w:lang w:val="en-US" w:eastAsia="zh-CN"/>
        </w:rPr>
        <w:t>8.72</w:t>
      </w:r>
      <w:r>
        <w:rPr>
          <w:rFonts w:hint="eastAsia" w:ascii="仿宋_GB2312" w:eastAsia="仿宋_GB2312"/>
          <w:color w:val="000000"/>
          <w:sz w:val="32"/>
          <w:szCs w:val="32"/>
        </w:rPr>
        <w:t>万元</w:t>
      </w:r>
      <w:r>
        <w:rPr>
          <w:rFonts w:ascii="仿宋_GB2312" w:eastAsia="仿宋_GB2312"/>
          <w:color w:val="000000"/>
          <w:sz w:val="32"/>
          <w:szCs w:val="32"/>
        </w:rPr>
        <w:t>,</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rPr>
        <w:t>20年增加</w:t>
      </w:r>
      <w:r>
        <w:rPr>
          <w:rFonts w:hint="eastAsia" w:ascii="仿宋_GB2312" w:eastAsia="仿宋_GB2312"/>
          <w:color w:val="000000"/>
          <w:sz w:val="32"/>
          <w:szCs w:val="32"/>
          <w:lang w:val="en-US" w:eastAsia="zh-CN"/>
        </w:rPr>
        <w:t>2.73</w:t>
      </w:r>
      <w:r>
        <w:rPr>
          <w:rFonts w:hint="eastAsia" w:ascii="仿宋_GB2312" w:eastAsia="仿宋_GB2312"/>
          <w:color w:val="000000"/>
          <w:sz w:val="32"/>
          <w:szCs w:val="32"/>
        </w:rPr>
        <w:t>万元，增长</w:t>
      </w:r>
      <w:r>
        <w:rPr>
          <w:rFonts w:hint="eastAsia" w:ascii="仿宋_GB2312" w:eastAsia="仿宋_GB2312"/>
          <w:color w:val="000000"/>
          <w:sz w:val="32"/>
          <w:szCs w:val="32"/>
          <w:lang w:val="en-US" w:eastAsia="zh-CN"/>
        </w:rPr>
        <w:t>45.58</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2021年我局项目增加</w:t>
      </w:r>
      <w:r>
        <w:rPr>
          <w:rFonts w:hint="eastAsia" w:ascii="仿宋_GB2312" w:eastAsia="仿宋_GB2312"/>
          <w:color w:val="000000"/>
          <w:sz w:val="32"/>
          <w:szCs w:val="32"/>
        </w:rPr>
        <w:t>。</w:t>
      </w:r>
    </w:p>
    <w:p w14:paraId="6757A471">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8.72</w:t>
      </w:r>
      <w:r>
        <w:rPr>
          <w:rFonts w:hint="eastAsia" w:ascii="仿宋_GB2312" w:eastAsia="仿宋_GB2312"/>
          <w:color w:val="000000"/>
          <w:sz w:val="32"/>
          <w:szCs w:val="32"/>
        </w:rPr>
        <w:t>万元。主要用于主要用于</w:t>
      </w:r>
      <w:r>
        <w:rPr>
          <w:rFonts w:hint="eastAsia" w:ascii="仿宋_GB2312" w:eastAsia="仿宋_GB2312"/>
          <w:color w:val="000000"/>
          <w:sz w:val="32"/>
          <w:szCs w:val="32"/>
          <w:lang w:eastAsia="zh-CN"/>
        </w:rPr>
        <w:t>对接项目、督查项目、检查验收项目</w:t>
      </w:r>
      <w:r>
        <w:rPr>
          <w:rFonts w:hint="eastAsia" w:ascii="仿宋_GB2312" w:eastAsia="仿宋_GB2312"/>
          <w:color w:val="000000"/>
          <w:sz w:val="32"/>
          <w:szCs w:val="32"/>
        </w:rPr>
        <w:t>等所需的公务用车燃料费、维修费、过路过桥费、保险费等支出。</w:t>
      </w:r>
    </w:p>
    <w:p w14:paraId="21668FAD">
      <w:pPr>
        <w:spacing w:line="600" w:lineRule="exact"/>
        <w:ind w:firstLine="643" w:firstLineChars="20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0.32</w:t>
      </w:r>
      <w:r>
        <w:rPr>
          <w:rFonts w:hint="eastAsia" w:ascii="仿宋_GB2312" w:eastAsia="仿宋_GB2312"/>
          <w:color w:val="000000"/>
          <w:sz w:val="32"/>
          <w:szCs w:val="32"/>
        </w:rPr>
        <w:t>万元，</w:t>
      </w:r>
      <w:r>
        <w:rPr>
          <w:rStyle w:val="23"/>
          <w:rFonts w:hint="eastAsia" w:ascii="仿宋" w:hAnsi="仿宋" w:eastAsia="仿宋"/>
          <w:b w:val="0"/>
          <w:bCs/>
          <w:color w:val="000000"/>
          <w:sz w:val="32"/>
          <w:szCs w:val="32"/>
        </w:rPr>
        <w:t>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ascii="仿宋_GB2312" w:eastAsia="仿宋_GB2312"/>
          <w:color w:val="000000"/>
          <w:sz w:val="32"/>
          <w:szCs w:val="32"/>
        </w:rPr>
        <w:t>20</w:t>
      </w:r>
      <w:r>
        <w:rPr>
          <w:rFonts w:hint="eastAsia" w:ascii="仿宋_GB2312" w:eastAsia="仿宋_GB2312"/>
          <w:color w:val="000000"/>
          <w:sz w:val="32"/>
          <w:szCs w:val="32"/>
        </w:rPr>
        <w:t>20年减少</w:t>
      </w:r>
      <w:r>
        <w:rPr>
          <w:rFonts w:hint="eastAsia" w:ascii="仿宋_GB2312" w:eastAsia="仿宋_GB2312"/>
          <w:color w:val="000000"/>
          <w:sz w:val="32"/>
          <w:szCs w:val="32"/>
          <w:lang w:val="en-US" w:eastAsia="zh-CN"/>
        </w:rPr>
        <w:t>0.03</w:t>
      </w:r>
      <w:r>
        <w:rPr>
          <w:rFonts w:hint="eastAsia" w:ascii="仿宋_GB2312" w:eastAsia="仿宋_GB2312"/>
          <w:color w:val="000000"/>
          <w:sz w:val="32"/>
          <w:szCs w:val="32"/>
        </w:rPr>
        <w:t>万元，下降</w:t>
      </w:r>
      <w:r>
        <w:rPr>
          <w:rFonts w:hint="eastAsia" w:ascii="仿宋_GB2312" w:eastAsia="仿宋_GB2312"/>
          <w:color w:val="000000"/>
          <w:sz w:val="32"/>
          <w:szCs w:val="32"/>
          <w:lang w:val="en-US" w:eastAsia="zh-CN"/>
        </w:rPr>
        <w:t>8.57</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压减开支</w:t>
      </w:r>
      <w:r>
        <w:rPr>
          <w:rFonts w:hint="eastAsia" w:ascii="仿宋_GB2312" w:eastAsia="仿宋_GB2312"/>
          <w:color w:val="000000"/>
          <w:sz w:val="32"/>
          <w:szCs w:val="32"/>
        </w:rPr>
        <w:t>。</w:t>
      </w:r>
      <w:r>
        <w:rPr>
          <w:rFonts w:hint="eastAsia" w:ascii="仿宋" w:hAnsi="仿宋" w:eastAsia="仿宋"/>
          <w:b/>
          <w:color w:val="000000"/>
          <w:sz w:val="32"/>
          <w:szCs w:val="32"/>
        </w:rPr>
        <w:t>国内公务接待支出</w:t>
      </w:r>
      <w:r>
        <w:rPr>
          <w:rFonts w:hint="eastAsia" w:ascii="仿宋" w:hAnsi="仿宋" w:eastAsia="仿宋"/>
          <w:color w:val="000000"/>
          <w:sz w:val="32"/>
          <w:szCs w:val="32"/>
          <w:lang w:val="en-US" w:eastAsia="zh-CN"/>
        </w:rPr>
        <w:t>0.32</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接待</w:t>
      </w:r>
      <w:r>
        <w:rPr>
          <w:rFonts w:hint="eastAsia" w:ascii="仿宋_GB2312" w:eastAsia="仿宋_GB2312"/>
          <w:color w:val="000000"/>
          <w:sz w:val="32"/>
          <w:szCs w:val="32"/>
          <w:lang w:val="en-US" w:eastAsia="zh-CN"/>
        </w:rPr>
        <w:t>1次20人，</w:t>
      </w:r>
      <w:r>
        <w:rPr>
          <w:rFonts w:hint="eastAsia" w:ascii="仿宋_GB2312" w:eastAsia="仿宋_GB2312"/>
          <w:color w:val="000000"/>
          <w:sz w:val="32"/>
          <w:szCs w:val="32"/>
        </w:rPr>
        <w:t>主要用于执行公务、开展业务活动开支的交通费、住宿费、用餐费等。</w:t>
      </w:r>
    </w:p>
    <w:p w14:paraId="1817F134">
      <w:pPr>
        <w:spacing w:line="600" w:lineRule="exact"/>
        <w:ind w:firstLine="640" w:firstLineChars="200"/>
        <w:rPr>
          <w:rFonts w:ascii="仿宋_GB2312" w:eastAsia="仿宋_GB2312"/>
          <w:color w:val="000000"/>
          <w:sz w:val="32"/>
          <w:szCs w:val="32"/>
        </w:rPr>
      </w:pPr>
    </w:p>
    <w:p w14:paraId="370ABD6D">
      <w:pPr>
        <w:spacing w:line="600" w:lineRule="exact"/>
        <w:ind w:firstLine="640"/>
        <w:outlineLvl w:val="1"/>
        <w:rPr>
          <w:rStyle w:val="26"/>
          <w:rFonts w:ascii="黑体" w:hAnsi="黑体" w:eastAsia="黑体"/>
        </w:rPr>
      </w:pPr>
      <w:bookmarkStart w:id="82" w:name="_Toc79163622"/>
      <w:bookmarkStart w:id="83" w:name="_Toc79163872"/>
      <w:bookmarkStart w:id="84" w:name="_Toc15377218"/>
      <w:bookmarkStart w:id="85" w:name="_Toc15396610"/>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82"/>
      <w:bookmarkEnd w:id="83"/>
      <w:bookmarkEnd w:id="84"/>
      <w:bookmarkEnd w:id="85"/>
    </w:p>
    <w:p w14:paraId="6EE171A8">
      <w:pPr>
        <w:spacing w:line="600" w:lineRule="exact"/>
        <w:ind w:firstLine="64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rPr>
        <w:t>1年政府性基金预算拨款支出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6DFEBF11">
      <w:pPr>
        <w:spacing w:line="600" w:lineRule="exact"/>
        <w:ind w:firstLine="640"/>
        <w:rPr>
          <w:rFonts w:ascii="仿宋_GB2312" w:eastAsia="仿宋_GB2312"/>
          <w:color w:val="000000"/>
          <w:sz w:val="32"/>
          <w:szCs w:val="32"/>
        </w:rPr>
      </w:pPr>
    </w:p>
    <w:p w14:paraId="53FFCF8E">
      <w:pPr>
        <w:numPr>
          <w:ilvl w:val="0"/>
          <w:numId w:val="3"/>
        </w:numPr>
        <w:spacing w:line="600" w:lineRule="exact"/>
        <w:ind w:firstLine="640"/>
        <w:outlineLvl w:val="1"/>
        <w:rPr>
          <w:rStyle w:val="26"/>
          <w:rFonts w:ascii="黑体" w:hAnsi="黑体" w:eastAsia="黑体"/>
          <w:b w:val="0"/>
        </w:rPr>
      </w:pPr>
      <w:bookmarkStart w:id="86" w:name="_Toc15396611"/>
      <w:bookmarkStart w:id="87" w:name="_Toc15377219"/>
      <w:bookmarkStart w:id="88" w:name="_Toc79163873"/>
      <w:bookmarkStart w:id="89" w:name="_Toc79163623"/>
      <w:r>
        <w:rPr>
          <w:rStyle w:val="26"/>
          <w:rFonts w:hint="eastAsia" w:ascii="黑体" w:hAnsi="黑体" w:eastAsia="黑体"/>
          <w:b w:val="0"/>
        </w:rPr>
        <w:t>国有资本经营预算支出决算情况说明</w:t>
      </w:r>
      <w:bookmarkEnd w:id="86"/>
      <w:bookmarkEnd w:id="87"/>
      <w:bookmarkEnd w:id="88"/>
      <w:bookmarkEnd w:id="89"/>
    </w:p>
    <w:p w14:paraId="605FBBBD">
      <w:pPr>
        <w:spacing w:line="600" w:lineRule="exact"/>
        <w:ind w:firstLine="640"/>
        <w:rPr>
          <w:rFonts w:ascii="仿宋_GB2312" w:eastAsia="仿宋_GB2312"/>
          <w:color w:val="000000"/>
          <w:sz w:val="32"/>
          <w:szCs w:val="32"/>
        </w:rPr>
      </w:pPr>
      <w:r>
        <w:rPr>
          <w:rFonts w:ascii="仿宋_GB2312" w:eastAsia="仿宋_GB2312"/>
          <w:color w:val="000000"/>
          <w:sz w:val="32"/>
          <w:szCs w:val="32"/>
        </w:rPr>
        <w:t>202</w:t>
      </w:r>
      <w:r>
        <w:rPr>
          <w:rFonts w:hint="eastAsia" w:ascii="仿宋_GB2312" w:eastAsia="仿宋_GB2312"/>
          <w:color w:val="000000"/>
          <w:sz w:val="32"/>
          <w:szCs w:val="32"/>
        </w:rPr>
        <w:t>1年国有资本经营预算拨款支出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35190B14">
      <w:pPr>
        <w:spacing w:line="580" w:lineRule="exact"/>
        <w:jc w:val="center"/>
        <w:rPr>
          <w:rFonts w:ascii="方正小标宋简体" w:hAnsi="方正小标宋简体" w:eastAsia="方正小标宋简体" w:cs="方正小标宋简体"/>
          <w:sz w:val="44"/>
          <w:szCs w:val="44"/>
        </w:rPr>
      </w:pPr>
    </w:p>
    <w:p w14:paraId="689F513D">
      <w:pPr>
        <w:spacing w:line="600" w:lineRule="exact"/>
        <w:ind w:firstLine="800" w:firstLineChars="250"/>
        <w:outlineLvl w:val="1"/>
        <w:rPr>
          <w:rStyle w:val="26"/>
          <w:rFonts w:ascii="黑体" w:hAnsi="黑体" w:eastAsia="黑体"/>
        </w:rPr>
      </w:pPr>
      <w:bookmarkStart w:id="90" w:name="_Toc79163624"/>
      <w:bookmarkStart w:id="91" w:name="_Toc79163874"/>
      <w:bookmarkStart w:id="92" w:name="_Toc15377221"/>
      <w:bookmarkStart w:id="93" w:name="_Toc15396612"/>
      <w:r>
        <w:rPr>
          <w:rFonts w:hint="eastAsia" w:ascii="黑体" w:hAnsi="黑体" w:eastAsia="黑体"/>
          <w:color w:val="000000"/>
          <w:sz w:val="32"/>
          <w:szCs w:val="32"/>
        </w:rPr>
        <w:t>十</w:t>
      </w:r>
      <w:r>
        <w:rPr>
          <w:rStyle w:val="26"/>
          <w:rFonts w:hint="eastAsia" w:ascii="黑体" w:hAnsi="黑体" w:eastAsia="黑体"/>
        </w:rPr>
        <w:t>、</w:t>
      </w:r>
      <w:r>
        <w:rPr>
          <w:rStyle w:val="26"/>
          <w:rFonts w:hint="eastAsia" w:ascii="黑体" w:hAnsi="黑体" w:eastAsia="黑体"/>
          <w:b w:val="0"/>
        </w:rPr>
        <w:t>其他重要事项的情况说明</w:t>
      </w:r>
      <w:bookmarkEnd w:id="90"/>
      <w:bookmarkEnd w:id="91"/>
      <w:bookmarkEnd w:id="92"/>
      <w:bookmarkEnd w:id="93"/>
    </w:p>
    <w:p w14:paraId="6D31B19F">
      <w:pPr>
        <w:spacing w:line="600" w:lineRule="exact"/>
        <w:ind w:firstLine="643" w:firstLineChars="200"/>
        <w:outlineLvl w:val="2"/>
        <w:rPr>
          <w:rFonts w:ascii="仿宋" w:hAnsi="仿宋" w:eastAsia="仿宋"/>
          <w:color w:val="000000"/>
          <w:sz w:val="32"/>
          <w:szCs w:val="32"/>
        </w:rPr>
      </w:pPr>
      <w:bookmarkStart w:id="94" w:name="_Toc79163625"/>
      <w:bookmarkStart w:id="95" w:name="_Toc79163875"/>
      <w:bookmarkStart w:id="96" w:name="_Toc15377222"/>
      <w:r>
        <w:rPr>
          <w:rFonts w:hint="eastAsia" w:ascii="仿宋" w:hAnsi="仿宋" w:eastAsia="仿宋"/>
          <w:b/>
          <w:color w:val="000000"/>
          <w:sz w:val="32"/>
          <w:szCs w:val="32"/>
        </w:rPr>
        <w:t>（一）机关运行经费支出情况</w:t>
      </w:r>
      <w:bookmarkEnd w:id="94"/>
      <w:bookmarkEnd w:id="95"/>
      <w:bookmarkEnd w:id="96"/>
    </w:p>
    <w:p w14:paraId="27EE3939">
      <w:pPr>
        <w:autoSpaceDE w:val="0"/>
        <w:autoSpaceDN w:val="0"/>
        <w:adjustRightInd w:val="0"/>
        <w:spacing w:line="600" w:lineRule="exact"/>
        <w:ind w:firstLine="640" w:firstLineChars="200"/>
        <w:jc w:val="left"/>
        <w:outlineLvl w:val="2"/>
        <w:rPr>
          <w:rFonts w:hint="eastAsia" w:ascii="仿宋_GB2312" w:eastAsia="仿宋_GB2312"/>
          <w:color w:val="000000"/>
          <w:sz w:val="32"/>
          <w:szCs w:val="32"/>
          <w:lang w:eastAsia="zh-CN"/>
        </w:rPr>
      </w:pPr>
      <w:r>
        <w:rPr>
          <w:rFonts w:ascii="仿宋_GB2312" w:eastAsia="仿宋_GB2312"/>
          <w:color w:val="000000"/>
          <w:sz w:val="32"/>
          <w:szCs w:val="32"/>
        </w:rPr>
        <w:t>202</w:t>
      </w:r>
      <w:r>
        <w:rPr>
          <w:rFonts w:hint="eastAsia" w:ascii="仿宋_GB2312" w:eastAsia="仿宋_GB2312"/>
          <w:color w:val="000000"/>
          <w:sz w:val="32"/>
          <w:szCs w:val="32"/>
        </w:rPr>
        <w:t>1年</w:t>
      </w:r>
      <w:r>
        <w:rPr>
          <w:rFonts w:hint="eastAsia" w:ascii="仿宋_GB2312" w:eastAsia="仿宋_GB2312"/>
          <w:color w:val="000000"/>
          <w:sz w:val="32"/>
          <w:szCs w:val="32"/>
          <w:lang w:eastAsia="zh-CN"/>
        </w:rPr>
        <w:t>松潘县发展和改革局</w:t>
      </w:r>
      <w:r>
        <w:rPr>
          <w:rFonts w:hint="eastAsia" w:ascii="仿宋_GB2312" w:eastAsia="仿宋_GB2312"/>
          <w:color w:val="000000"/>
          <w:sz w:val="32"/>
          <w:szCs w:val="32"/>
        </w:rPr>
        <w:t>机关运行经费支出</w:t>
      </w:r>
      <w:r>
        <w:rPr>
          <w:rFonts w:hint="eastAsia" w:ascii="仿宋_GB2312" w:eastAsia="仿宋_GB2312"/>
          <w:color w:val="000000"/>
          <w:sz w:val="32"/>
          <w:szCs w:val="32"/>
          <w:lang w:val="en-US" w:eastAsia="zh-CN"/>
        </w:rPr>
        <w:t>35.23</w:t>
      </w:r>
      <w:r>
        <w:rPr>
          <w:rFonts w:hint="eastAsia" w:ascii="仿宋_GB2312" w:eastAsia="仿宋_GB2312"/>
          <w:color w:val="000000"/>
          <w:sz w:val="32"/>
          <w:szCs w:val="32"/>
        </w:rPr>
        <w:t>万元，比</w:t>
      </w:r>
      <w:r>
        <w:rPr>
          <w:rFonts w:ascii="仿宋_GB2312" w:eastAsia="仿宋_GB2312"/>
          <w:color w:val="000000"/>
          <w:sz w:val="32"/>
          <w:szCs w:val="32"/>
        </w:rPr>
        <w:t>20</w:t>
      </w:r>
      <w:r>
        <w:rPr>
          <w:rFonts w:hint="eastAsia" w:ascii="仿宋_GB2312" w:eastAsia="仿宋_GB2312"/>
          <w:color w:val="000000"/>
          <w:sz w:val="32"/>
          <w:szCs w:val="32"/>
        </w:rPr>
        <w:t>20年</w:t>
      </w:r>
      <w:r>
        <w:rPr>
          <w:rFonts w:hint="eastAsia" w:ascii="仿宋_GB2312" w:eastAsia="仿宋_GB2312"/>
          <w:color w:val="000000"/>
          <w:sz w:val="32"/>
          <w:szCs w:val="32"/>
          <w:lang w:eastAsia="zh-CN"/>
        </w:rPr>
        <w:t>减少</w:t>
      </w:r>
      <w:r>
        <w:rPr>
          <w:rFonts w:hint="eastAsia" w:ascii="仿宋_GB2312" w:eastAsia="仿宋_GB2312"/>
          <w:color w:val="000000"/>
          <w:sz w:val="32"/>
          <w:szCs w:val="32"/>
          <w:lang w:val="en-US" w:eastAsia="zh-CN"/>
        </w:rPr>
        <w:t>2.94</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下降</w:t>
      </w:r>
      <w:r>
        <w:rPr>
          <w:rFonts w:hint="eastAsia" w:ascii="仿宋_GB2312" w:eastAsia="仿宋_GB2312"/>
          <w:color w:val="000000"/>
          <w:sz w:val="32"/>
          <w:szCs w:val="32"/>
          <w:lang w:val="en-US" w:eastAsia="zh-CN"/>
        </w:rPr>
        <w:t>8.35</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eastAsia="zh-CN"/>
        </w:rPr>
        <w:t>压减开支。</w:t>
      </w:r>
    </w:p>
    <w:p w14:paraId="54090115">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（二）政府采购支出情况</w:t>
      </w:r>
    </w:p>
    <w:p w14:paraId="7764252A">
      <w:pPr>
        <w:spacing w:line="600" w:lineRule="exact"/>
        <w:ind w:firstLine="640" w:firstLineChars="200"/>
        <w:rPr>
          <w:rFonts w:hint="eastAsia" w:ascii="仿宋_GB2312" w:eastAsia="仿宋_GB2312"/>
          <w:color w:val="000000"/>
          <w:sz w:val="32"/>
          <w:szCs w:val="32"/>
          <w:lang w:eastAsia="zh-CN"/>
        </w:rPr>
      </w:pPr>
      <w:r>
        <w:rPr>
          <w:rFonts w:ascii="仿宋_GB2312" w:eastAsia="仿宋_GB2312"/>
          <w:color w:val="000000"/>
          <w:sz w:val="32"/>
          <w:szCs w:val="32"/>
        </w:rPr>
        <w:t>202</w:t>
      </w:r>
      <w:r>
        <w:rPr>
          <w:rFonts w:hint="eastAsia" w:ascii="仿宋_GB2312" w:eastAsia="仿宋_GB2312"/>
          <w:color w:val="000000"/>
          <w:sz w:val="32"/>
          <w:szCs w:val="32"/>
        </w:rPr>
        <w:t>1年，</w:t>
      </w:r>
      <w:r>
        <w:rPr>
          <w:rFonts w:hint="eastAsia" w:ascii="仿宋_GB2312" w:eastAsia="仿宋_GB2312"/>
          <w:color w:val="000000"/>
          <w:sz w:val="32"/>
          <w:szCs w:val="32"/>
          <w:lang w:eastAsia="zh-CN"/>
        </w:rPr>
        <w:t>松潘县发展和改革局</w:t>
      </w:r>
      <w:r>
        <w:rPr>
          <w:rFonts w:hint="eastAsia" w:ascii="仿宋_GB2312" w:eastAsia="仿宋_GB2312"/>
          <w:color w:val="000000"/>
          <w:sz w:val="32"/>
          <w:szCs w:val="32"/>
        </w:rPr>
        <w:t>政府采购支出总额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万元，其中：政府采购货物支出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万元、政府采购工程支出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万元、政府采购服务支出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万元。主要用于</w:t>
      </w:r>
      <w:r>
        <w:rPr>
          <w:rFonts w:ascii="仿宋_GB2312" w:eastAsia="仿宋_GB2312"/>
          <w:color w:val="000000"/>
          <w:sz w:val="32"/>
          <w:szCs w:val="32"/>
        </w:rPr>
        <w:t>…</w:t>
      </w:r>
      <w:r>
        <w:rPr>
          <w:rFonts w:hint="eastAsia" w:ascii="仿宋_GB2312" w:eastAsia="仿宋_GB2312"/>
          <w:color w:val="000000"/>
          <w:sz w:val="32"/>
          <w:szCs w:val="32"/>
        </w:rPr>
        <w:t>（具体工作）。授予中小企业合同金额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，其中：授予小微企业合同金额</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万元，占政府采购支出总额的</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color w:val="000000"/>
          <w:sz w:val="32"/>
          <w:szCs w:val="32"/>
        </w:rPr>
        <w:t>。</w:t>
      </w:r>
    </w:p>
    <w:p w14:paraId="5ABA3680">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97" w:name="_Toc79163627"/>
      <w:bookmarkStart w:id="98" w:name="_Toc79163877"/>
      <w:bookmarkStart w:id="99" w:name="_Toc15377224"/>
      <w:r>
        <w:rPr>
          <w:rFonts w:hint="eastAsia" w:ascii="仿宋" w:hAnsi="仿宋" w:eastAsia="仿宋"/>
          <w:b/>
          <w:color w:val="000000"/>
          <w:sz w:val="32"/>
          <w:szCs w:val="32"/>
        </w:rPr>
        <w:t>（</w:t>
      </w:r>
      <w:r>
        <w:rPr>
          <w:rFonts w:hint="eastAsia" w:ascii="仿宋" w:hAnsi="仿宋" w:eastAsia="仿宋"/>
          <w:b/>
          <w:color w:val="000000"/>
          <w:sz w:val="32"/>
          <w:szCs w:val="32"/>
          <w:lang w:eastAsia="zh-CN"/>
        </w:rPr>
        <w:t>三</w:t>
      </w:r>
      <w:r>
        <w:rPr>
          <w:rFonts w:hint="eastAsia" w:ascii="仿宋" w:hAnsi="仿宋" w:eastAsia="仿宋"/>
          <w:b/>
          <w:color w:val="000000"/>
          <w:sz w:val="32"/>
          <w:szCs w:val="32"/>
        </w:rPr>
        <w:t>）国有资产占有使用情况</w:t>
      </w:r>
      <w:bookmarkEnd w:id="97"/>
      <w:bookmarkEnd w:id="98"/>
      <w:bookmarkEnd w:id="99"/>
    </w:p>
    <w:p w14:paraId="5F47D180">
      <w:pPr>
        <w:pStyle w:val="2"/>
        <w:rPr>
          <w:rFonts w:hint="eastAsia" w:eastAsia="仿宋_GB2312"/>
          <w:lang w:eastAsia="zh-CN"/>
        </w:rPr>
      </w:pPr>
      <w:r>
        <w:rPr>
          <w:rFonts w:hint="eastAsia" w:ascii="仿宋_GB2312" w:eastAsia="仿宋_GB2312"/>
          <w:color w:val="000000"/>
          <w:sz w:val="32"/>
          <w:szCs w:val="32"/>
        </w:rPr>
        <w:t>截至</w:t>
      </w:r>
      <w:r>
        <w:rPr>
          <w:rFonts w:ascii="仿宋_GB2312" w:eastAsia="仿宋_GB2312"/>
          <w:color w:val="000000"/>
          <w:sz w:val="32"/>
          <w:szCs w:val="32"/>
        </w:rPr>
        <w:t>202</w:t>
      </w:r>
      <w:r>
        <w:rPr>
          <w:rFonts w:hint="eastAsia" w:ascii="仿宋_GB2312" w:eastAsia="仿宋_GB2312"/>
          <w:color w:val="000000"/>
          <w:sz w:val="32"/>
          <w:szCs w:val="32"/>
        </w:rPr>
        <w:t>1年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color w:val="000000"/>
          <w:sz w:val="32"/>
          <w:szCs w:val="32"/>
          <w:lang w:eastAsia="zh-CN"/>
        </w:rPr>
        <w:t>松潘县发展和改革局</w:t>
      </w:r>
      <w:r>
        <w:rPr>
          <w:rFonts w:hint="eastAsia" w:ascii="仿宋_GB2312" w:eastAsia="仿宋_GB2312"/>
          <w:color w:val="000000"/>
          <w:sz w:val="32"/>
          <w:szCs w:val="32"/>
        </w:rPr>
        <w:t>共有车辆</w:t>
      </w:r>
      <w:r>
        <w:rPr>
          <w:rFonts w:hint="eastAsia" w:ascii="仿宋_GB2312"/>
          <w:color w:val="000000"/>
          <w:sz w:val="32"/>
          <w:szCs w:val="32"/>
          <w:lang w:val="en-US" w:eastAsia="zh-CN"/>
        </w:rPr>
        <w:t>2</w:t>
      </w:r>
      <w:r>
        <w:rPr>
          <w:rFonts w:hint="eastAsia" w:ascii="仿宋_GB2312" w:eastAsia="仿宋_GB2312"/>
          <w:color w:val="000000"/>
          <w:sz w:val="32"/>
          <w:szCs w:val="32"/>
        </w:rPr>
        <w:t>辆，其中：主要领导干部用车</w:t>
      </w:r>
      <w:r>
        <w:rPr>
          <w:rFonts w:hint="eastAsia" w:ascii="仿宋_GB2312"/>
          <w:color w:val="000000"/>
          <w:sz w:val="32"/>
          <w:szCs w:val="32"/>
          <w:lang w:val="en-US" w:eastAsia="zh-CN"/>
        </w:rPr>
        <w:t>1</w:t>
      </w:r>
      <w:r>
        <w:rPr>
          <w:rFonts w:hint="eastAsia" w:ascii="仿宋_GB2312" w:eastAsia="仿宋_GB2312"/>
          <w:color w:val="000000"/>
          <w:sz w:val="32"/>
          <w:szCs w:val="32"/>
        </w:rPr>
        <w:t>辆、其他用车</w:t>
      </w:r>
      <w:r>
        <w:rPr>
          <w:rFonts w:hint="eastAsia" w:ascii="仿宋_GB2312"/>
          <w:color w:val="000000"/>
          <w:sz w:val="32"/>
          <w:szCs w:val="32"/>
          <w:lang w:val="en-US" w:eastAsia="zh-CN"/>
        </w:rPr>
        <w:t>1</w:t>
      </w:r>
      <w:r>
        <w:rPr>
          <w:rFonts w:hint="eastAsia" w:ascii="仿宋_GB2312" w:eastAsia="仿宋_GB2312"/>
          <w:color w:val="000000"/>
          <w:sz w:val="32"/>
          <w:szCs w:val="32"/>
        </w:rPr>
        <w:t>辆</w:t>
      </w:r>
      <w:r>
        <w:rPr>
          <w:rFonts w:hint="eastAsia" w:ascii="仿宋_GB2312"/>
          <w:color w:val="000000"/>
          <w:sz w:val="32"/>
          <w:szCs w:val="32"/>
          <w:lang w:eastAsia="zh-CN"/>
        </w:rPr>
        <w:t>，</w:t>
      </w:r>
      <w:r>
        <w:rPr>
          <w:rFonts w:hint="eastAsia" w:ascii="仿宋_GB2312" w:eastAsia="仿宋_GB2312"/>
          <w:color w:val="000000"/>
          <w:sz w:val="32"/>
          <w:szCs w:val="32"/>
        </w:rPr>
        <w:t>其他用车主要是用于</w:t>
      </w:r>
      <w:r>
        <w:rPr>
          <w:rFonts w:hint="eastAsia" w:ascii="仿宋_GB2312" w:eastAsia="仿宋_GB2312"/>
          <w:color w:val="000000"/>
          <w:sz w:val="32"/>
          <w:szCs w:val="32"/>
          <w:lang w:eastAsia="zh-CN"/>
        </w:rPr>
        <w:t>对接项目、督查项目、检查验收项目</w:t>
      </w:r>
      <w:r>
        <w:rPr>
          <w:rFonts w:hint="eastAsia" w:ascii="仿宋_GB2312"/>
          <w:color w:val="000000"/>
          <w:sz w:val="32"/>
          <w:szCs w:val="32"/>
          <w:lang w:eastAsia="zh-CN"/>
        </w:rPr>
        <w:t>等。</w:t>
      </w:r>
    </w:p>
    <w:p w14:paraId="4C3224D2">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100" w:name="_Toc79163628"/>
      <w:bookmarkStart w:id="101" w:name="_Toc79163878"/>
      <w:r>
        <w:rPr>
          <w:rFonts w:hint="eastAsia" w:ascii="仿宋" w:hAnsi="仿宋" w:eastAsia="仿宋"/>
          <w:b/>
          <w:color w:val="000000"/>
          <w:sz w:val="32"/>
          <w:szCs w:val="32"/>
        </w:rPr>
        <w:t>（</w:t>
      </w:r>
      <w:r>
        <w:rPr>
          <w:rFonts w:hint="eastAsia" w:ascii="仿宋" w:hAnsi="仿宋" w:eastAsia="仿宋"/>
          <w:b/>
          <w:color w:val="000000"/>
          <w:sz w:val="32"/>
          <w:szCs w:val="32"/>
          <w:lang w:eastAsia="zh-CN"/>
        </w:rPr>
        <w:t>四</w:t>
      </w:r>
      <w:r>
        <w:rPr>
          <w:rFonts w:hint="eastAsia" w:ascii="仿宋" w:hAnsi="仿宋" w:eastAsia="仿宋"/>
          <w:b/>
          <w:color w:val="000000"/>
          <w:sz w:val="32"/>
          <w:szCs w:val="32"/>
        </w:rPr>
        <w:t>）预算绩效管理情况。</w:t>
      </w:r>
      <w:bookmarkEnd w:id="100"/>
      <w:bookmarkEnd w:id="101"/>
    </w:p>
    <w:p w14:paraId="3F8E605B">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w:t>
      </w:r>
      <w:r>
        <w:rPr>
          <w:rFonts w:hint="eastAsia" w:ascii="仿宋_GB2312" w:hAnsi="仿宋_GB2312" w:eastAsia="仿宋_GB2312" w:cs="仿宋_GB2312"/>
          <w:sz w:val="32"/>
          <w:szCs w:val="32"/>
          <w:lang w:eastAsia="zh-CN"/>
        </w:rPr>
        <w:t>“十四五”规划编制</w:t>
      </w:r>
      <w:r>
        <w:rPr>
          <w:rFonts w:hint="eastAsia" w:ascii="仿宋_GB2312" w:hAnsi="仿宋_GB2312" w:eastAsia="仿宋_GB2312" w:cs="仿宋_GB2312"/>
          <w:sz w:val="32"/>
          <w:szCs w:val="32"/>
        </w:rPr>
        <w:t>项目开展了预算事前绩效评估，对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个项目开展绩效监控，年终执行完毕后，对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个项目开展了绩效目标完成情况自评。</w:t>
      </w:r>
    </w:p>
    <w:p w14:paraId="7C1F593F">
      <w:pPr>
        <w:pStyle w:val="20"/>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sz w:val="32"/>
          <w:szCs w:val="32"/>
        </w:rPr>
        <w:t>本部门按要求对</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1年部门整体支出开展绩效自评，从评价情况来看</w:t>
      </w:r>
      <w:r>
        <w:rPr>
          <w:rFonts w:hint="eastAsia" w:ascii="仿宋" w:hAnsi="仿宋" w:eastAsia="仿宋" w:cs="仿宋"/>
          <w:sz w:val="32"/>
          <w:szCs w:val="32"/>
        </w:rPr>
        <w:t>我单位无政府性债务</w:t>
      </w:r>
      <w:r>
        <w:rPr>
          <w:rFonts w:hint="eastAsia" w:ascii="仿宋" w:hAnsi="仿宋" w:eastAsia="仿宋" w:cs="仿宋"/>
          <w:sz w:val="32"/>
          <w:szCs w:val="32"/>
          <w:lang w:eastAsia="zh-CN"/>
        </w:rPr>
        <w:t>；无</w:t>
      </w:r>
      <w:r>
        <w:rPr>
          <w:rFonts w:hint="eastAsia" w:ascii="仿宋" w:hAnsi="仿宋" w:eastAsia="仿宋" w:cs="仿宋"/>
          <w:sz w:val="32"/>
          <w:szCs w:val="32"/>
        </w:rPr>
        <w:t>非税收收入</w:t>
      </w:r>
      <w:r>
        <w:rPr>
          <w:rFonts w:hint="eastAsia" w:ascii="仿宋" w:hAnsi="仿宋" w:eastAsia="仿宋" w:cs="仿宋"/>
          <w:sz w:val="32"/>
          <w:szCs w:val="32"/>
          <w:lang w:eastAsia="zh-CN"/>
        </w:rPr>
        <w:t>；</w:t>
      </w:r>
      <w:r>
        <w:rPr>
          <w:rFonts w:hint="eastAsia" w:ascii="仿宋" w:hAnsi="仿宋" w:eastAsia="仿宋" w:cs="仿宋"/>
          <w:sz w:val="32"/>
          <w:szCs w:val="32"/>
        </w:rPr>
        <w:t>政府采购严格按照相关采购规定执行。</w:t>
      </w:r>
    </w:p>
    <w:p w14:paraId="7C6474C2">
      <w:pPr>
        <w:pStyle w:val="20"/>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color w:val="000000"/>
          <w:sz w:val="32"/>
          <w:szCs w:val="32"/>
        </w:rPr>
      </w:pPr>
      <w:r>
        <w:rPr>
          <w:rFonts w:hint="eastAsia" w:ascii="仿宋" w:hAnsi="仿宋" w:eastAsia="仿宋" w:cs="仿宋"/>
          <w:sz w:val="32"/>
          <w:szCs w:val="32"/>
        </w:rPr>
        <w:t>资产管理严格按照资产管理制度执行，</w:t>
      </w:r>
      <w:r>
        <w:rPr>
          <w:rFonts w:hint="eastAsia" w:ascii="仿宋" w:hAnsi="仿宋" w:eastAsia="仿宋" w:cs="仿宋"/>
          <w:color w:val="000000"/>
          <w:sz w:val="32"/>
          <w:szCs w:val="32"/>
        </w:rPr>
        <w:t>严格执行法律、法规和有关规章制度;与行政单位履行职能需要相适应;科学合理,充分发挥资产使用效益;勤俭节约,从严控制。</w:t>
      </w:r>
    </w:p>
    <w:p w14:paraId="5B04E943">
      <w:pPr>
        <w:pStyle w:val="20"/>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sz w:val="32"/>
          <w:szCs w:val="32"/>
        </w:rPr>
      </w:pPr>
      <w:r>
        <w:rPr>
          <w:rFonts w:hint="eastAsia" w:ascii="仿宋" w:hAnsi="仿宋" w:eastAsia="仿宋" w:cs="仿宋"/>
          <w:color w:val="000000"/>
          <w:sz w:val="32"/>
          <w:szCs w:val="32"/>
        </w:rPr>
        <w:t>建立单位内控制度，</w:t>
      </w:r>
      <w:r>
        <w:rPr>
          <w:rFonts w:hint="eastAsia" w:ascii="仿宋" w:hAnsi="仿宋" w:eastAsia="仿宋" w:cs="仿宋"/>
          <w:sz w:val="32"/>
          <w:szCs w:val="32"/>
        </w:rPr>
        <w:t>在单位内部控制不断完善的基础上，针对其行政事业单位内部控制的独特性开展内部控制自我评价工作，可以使单位全体人员及时发现内部控制存在的问题，并采取有效改进措施，加大内部控制执行力度，保证行政事业单位内部控制目标的实现。</w:t>
      </w:r>
    </w:p>
    <w:p w14:paraId="3837E565">
      <w:pPr>
        <w:pStyle w:val="20"/>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ascii="仿宋_GB2312" w:hAnsi="仿宋_GB2312" w:eastAsia="仿宋_GB2312" w:cs="仿宋_GB2312"/>
          <w:sz w:val="32"/>
          <w:szCs w:val="32"/>
        </w:rPr>
      </w:pPr>
      <w:r>
        <w:rPr>
          <w:rFonts w:hint="eastAsia" w:ascii="仿宋" w:hAnsi="仿宋" w:eastAsia="仿宋" w:cs="仿宋"/>
          <w:sz w:val="32"/>
          <w:szCs w:val="32"/>
        </w:rPr>
        <w:t>我</w:t>
      </w:r>
      <w:r>
        <w:rPr>
          <w:rFonts w:hint="eastAsia" w:ascii="仿宋" w:hAnsi="仿宋" w:eastAsia="仿宋" w:cs="仿宋"/>
          <w:sz w:val="32"/>
          <w:szCs w:val="32"/>
          <w:lang w:eastAsia="zh-CN"/>
        </w:rPr>
        <w:t>局</w:t>
      </w:r>
      <w:r>
        <w:rPr>
          <w:rFonts w:hint="eastAsia" w:ascii="仿宋" w:hAnsi="仿宋" w:eastAsia="仿宋" w:cs="仿宋"/>
          <w:sz w:val="32"/>
          <w:szCs w:val="32"/>
        </w:rPr>
        <w:t>将同级财政部门批复的本部门预决算报表及相关说明全部在政府门户网站公开，</w:t>
      </w:r>
      <w:r>
        <w:rPr>
          <w:rFonts w:hint="eastAsia" w:ascii="仿宋" w:hAnsi="仿宋" w:eastAsia="仿宋" w:cs="仿宋"/>
          <w:color w:val="000000"/>
          <w:sz w:val="32"/>
          <w:szCs w:val="32"/>
        </w:rPr>
        <w:t>包括部门收支总体情况和财政拨款收支情况，公开公示了我部门“三公”经费财政拨款预决算总额和分项数额。本部门公开预决算的同时，一并公开了本部门的职责、机构设置情况、预决算收支增减变化、机关运行经费安排以及政府采购等情况的说明，并对专业性较强的名词进行解释</w:t>
      </w:r>
      <w:r>
        <w:rPr>
          <w:rFonts w:hint="eastAsia" w:ascii="仿宋_GB2312" w:hAnsi="仿宋_GB2312" w:eastAsia="仿宋_GB2312" w:cs="仿宋_GB2312"/>
          <w:sz w:val="32"/>
          <w:szCs w:val="32"/>
        </w:rPr>
        <w:t>。</w:t>
      </w:r>
    </w:p>
    <w:p w14:paraId="07B68AE9">
      <w:pPr>
        <w:numPr>
          <w:ilvl w:val="0"/>
          <w:numId w:val="4"/>
        </w:numPr>
        <w:spacing w:line="580" w:lineRule="exact"/>
        <w:ind w:firstLine="640" w:firstLineChars="200"/>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项目绩效目标完成情况。</w:t>
      </w:r>
      <w:r>
        <w:rPr>
          <w:rFonts w:ascii="楷体_GB2312" w:hAnsi="楷体_GB2312" w:eastAsia="楷体_GB2312" w:cs="楷体_GB2312"/>
          <w:sz w:val="32"/>
          <w:szCs w:val="32"/>
        </w:rPr>
        <w:br w:type="textWrapping"/>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本部门在</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1年度部门决算中反映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“十四五”规划编制服务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项目绩效目标实际</w:t>
      </w:r>
      <w:r>
        <w:rPr>
          <w:rFonts w:hint="eastAsia" w:ascii="仿宋_GB2312" w:hAnsi="仿宋_GB2312" w:eastAsia="仿宋_GB2312" w:cs="仿宋_GB2312"/>
          <w:sz w:val="32"/>
          <w:szCs w:val="32"/>
          <w:lang w:eastAsia="zh-CN"/>
        </w:rPr>
        <w:t>全部</w:t>
      </w:r>
      <w:r>
        <w:rPr>
          <w:rFonts w:hint="eastAsia" w:ascii="仿宋_GB2312" w:hAnsi="仿宋_GB2312" w:eastAsia="仿宋_GB2312" w:cs="仿宋_GB2312"/>
          <w:sz w:val="32"/>
          <w:szCs w:val="32"/>
        </w:rPr>
        <w:t>完成。</w:t>
      </w:r>
      <w:r>
        <w:rPr>
          <w:rFonts w:hint="eastAsia" w:ascii="仿宋_GB2312" w:hAnsi="仿宋_GB2312" w:eastAsia="仿宋_GB2312" w:cs="仿宋_GB2312"/>
          <w:sz w:val="32"/>
          <w:szCs w:val="32"/>
          <w:lang w:eastAsia="zh-CN"/>
        </w:rPr>
        <w:t>已公开。</w:t>
      </w:r>
    </w:p>
    <w:p w14:paraId="4CC433CC">
      <w:pPr>
        <w:numPr>
          <w:ilvl w:val="0"/>
          <w:numId w:val="0"/>
        </w:numPr>
        <w:spacing w:line="58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“十四五”规划编制服务项目</w:t>
      </w:r>
      <w:r>
        <w:rPr>
          <w:rFonts w:hint="eastAsia" w:ascii="仿宋_GB2312" w:hAnsi="仿宋_GB2312" w:eastAsia="仿宋_GB2312" w:cs="仿宋_GB2312"/>
          <w:sz w:val="32"/>
          <w:szCs w:val="32"/>
        </w:rPr>
        <w:t>绩效目标</w:t>
      </w:r>
      <w:r>
        <w:rPr>
          <w:rFonts w:hint="eastAsia" w:ascii="仿宋_GB2312" w:hAnsi="仿宋_GB2312" w:eastAsia="仿宋_GB2312" w:cs="仿宋_GB2312"/>
          <w:sz w:val="32"/>
          <w:szCs w:val="32"/>
          <w:lang w:eastAsia="zh-CN"/>
        </w:rPr>
        <w:t>已全部完工</w:t>
      </w:r>
      <w:r>
        <w:rPr>
          <w:rFonts w:hint="eastAsia" w:ascii="仿宋_GB2312" w:hAnsi="仿宋_GB2312" w:eastAsia="仿宋_GB2312" w:cs="仿宋_GB2312"/>
          <w:sz w:val="32"/>
          <w:szCs w:val="32"/>
        </w:rPr>
        <w:t>。项目全年预算数</w:t>
      </w:r>
      <w:r>
        <w:rPr>
          <w:rFonts w:hint="eastAsia" w:ascii="仿宋_GB2312" w:hAnsi="仿宋_GB2312" w:eastAsia="仿宋_GB2312" w:cs="仿宋_GB2312"/>
          <w:sz w:val="32"/>
          <w:szCs w:val="32"/>
          <w:lang w:val="en-US" w:eastAsia="zh-CN"/>
        </w:rPr>
        <w:t>23.92</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23.92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w:t>
      </w:r>
    </w:p>
    <w:p w14:paraId="00D3E3B9">
      <w:pPr>
        <w:spacing w:line="580" w:lineRule="exact"/>
        <w:ind w:firstLine="640" w:firstLineChars="200"/>
        <w:rPr>
          <w:rFonts w:ascii="仿宋_GB2312" w:hAnsi="仿宋_GB2312" w:eastAsia="仿宋_GB2312" w:cs="仿宋_GB2312"/>
          <w:sz w:val="32"/>
          <w:szCs w:val="32"/>
        </w:rPr>
      </w:pPr>
    </w:p>
    <w:p w14:paraId="6AF3D2ED">
      <w:pPr>
        <w:spacing w:line="580" w:lineRule="exact"/>
        <w:ind w:firstLine="640" w:firstLineChars="200"/>
        <w:rPr>
          <w:rFonts w:ascii="仿宋_GB2312" w:hAnsi="仿宋_GB2312" w:eastAsia="仿宋_GB2312" w:cs="仿宋_GB2312"/>
          <w:sz w:val="32"/>
          <w:szCs w:val="32"/>
        </w:rPr>
      </w:pPr>
    </w:p>
    <w:p w14:paraId="21DDC630">
      <w:pPr>
        <w:pStyle w:val="2"/>
        <w:rPr>
          <w:rFonts w:ascii="仿宋_GB2312" w:hAnsi="仿宋_GB2312" w:eastAsia="仿宋_GB2312" w:cs="仿宋_GB2312"/>
          <w:sz w:val="32"/>
          <w:szCs w:val="32"/>
        </w:rPr>
      </w:pPr>
    </w:p>
    <w:p w14:paraId="70918B42"/>
    <w:p w14:paraId="00A7430E">
      <w:pPr>
        <w:spacing w:line="580" w:lineRule="exact"/>
        <w:ind w:firstLine="640" w:firstLineChars="200"/>
        <w:rPr>
          <w:rFonts w:ascii="仿宋_GB2312" w:hAnsi="仿宋_GB2312" w:eastAsia="仿宋_GB2312" w:cs="仿宋_GB2312"/>
          <w:sz w:val="32"/>
          <w:szCs w:val="32"/>
        </w:rPr>
      </w:pPr>
    </w:p>
    <w:tbl>
      <w:tblPr>
        <w:tblStyle w:val="21"/>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668"/>
        <w:gridCol w:w="630"/>
        <w:gridCol w:w="1005"/>
        <w:gridCol w:w="5295"/>
        <w:gridCol w:w="1005"/>
        <w:gridCol w:w="1357"/>
      </w:tblGrid>
      <w:tr w14:paraId="71B1ED00">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0125B21E">
            <w:pPr>
              <w:widowControl/>
              <w:jc w:val="center"/>
              <w:textAlignment w:val="center"/>
              <w:rPr>
                <w:rFonts w:ascii="宋体" w:cs="宋体"/>
                <w:color w:val="000000"/>
                <w:sz w:val="36"/>
                <w:szCs w:val="36"/>
              </w:rPr>
            </w:pPr>
            <w:r>
              <w:rPr>
                <w:rFonts w:hint="eastAsia" w:ascii="宋体" w:hAnsi="宋体" w:cs="宋体"/>
                <w:b/>
                <w:bCs/>
                <w:color w:val="000000"/>
                <w:kern w:val="0"/>
                <w:sz w:val="36"/>
                <w:szCs w:val="36"/>
              </w:rPr>
              <w:t>项目绩效目标完成情况表</w:t>
            </w:r>
            <w:r>
              <w:rPr>
                <w:rFonts w:ascii="宋体" w:cs="宋体"/>
                <w:b/>
                <w:bCs/>
                <w:color w:val="000000"/>
                <w:kern w:val="0"/>
                <w:sz w:val="36"/>
                <w:szCs w:val="36"/>
              </w:rPr>
              <w:br w:type="textWrapping"/>
            </w:r>
            <w:r>
              <w:rPr>
                <w:rFonts w:ascii="宋体" w:hAnsi="宋体" w:cs="宋体"/>
                <w:color w:val="000000"/>
                <w:kern w:val="0"/>
                <w:sz w:val="36"/>
                <w:szCs w:val="36"/>
              </w:rPr>
              <w:t>(202</w:t>
            </w:r>
            <w:r>
              <w:rPr>
                <w:rFonts w:hint="eastAsia" w:ascii="宋体" w:hAnsi="宋体" w:cs="宋体"/>
                <w:color w:val="000000"/>
                <w:kern w:val="0"/>
                <w:sz w:val="36"/>
                <w:szCs w:val="36"/>
              </w:rPr>
              <w:t>1年度</w:t>
            </w:r>
            <w:r>
              <w:rPr>
                <w:rFonts w:ascii="宋体" w:hAnsi="宋体" w:cs="宋体"/>
                <w:color w:val="000000"/>
                <w:kern w:val="0"/>
                <w:sz w:val="36"/>
                <w:szCs w:val="36"/>
              </w:rPr>
              <w:t>)</w:t>
            </w:r>
          </w:p>
        </w:tc>
      </w:tr>
      <w:tr w14:paraId="260E932F">
        <w:tblPrEx>
          <w:tblCellMar>
            <w:top w:w="0" w:type="dxa"/>
            <w:left w:w="0" w:type="dxa"/>
            <w:bottom w:w="0" w:type="dxa"/>
            <w:right w:w="0" w:type="dxa"/>
          </w:tblCellMar>
        </w:tblPrEx>
        <w:trPr>
          <w:trHeight w:val="276" w:hRule="atLeast"/>
          <w:jc w:val="center"/>
        </w:trPr>
        <w:tc>
          <w:tcPr>
            <w:tcW w:w="230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0F9F57">
            <w:pPr>
              <w:widowControl/>
              <w:jc w:val="center"/>
              <w:textAlignment w:val="center"/>
              <w:rPr>
                <w:rFonts w:ascii="宋体" w:cs="宋体"/>
                <w:color w:val="000000"/>
                <w:sz w:val="24"/>
              </w:rPr>
            </w:pPr>
            <w:r>
              <w:rPr>
                <w:rFonts w:hint="eastAsia" w:ascii="宋体" w:hAnsi="宋体" w:cs="宋体"/>
                <w:color w:val="000000"/>
                <w:kern w:val="0"/>
                <w:sz w:val="24"/>
              </w:rPr>
              <w:t>项目名称</w:t>
            </w:r>
          </w:p>
        </w:tc>
        <w:tc>
          <w:tcPr>
            <w:tcW w:w="765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D16DB1">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“十四五”规划编制服务费</w:t>
            </w:r>
          </w:p>
        </w:tc>
      </w:tr>
      <w:tr w14:paraId="372AB4D4">
        <w:tblPrEx>
          <w:tblCellMar>
            <w:top w:w="0" w:type="dxa"/>
            <w:left w:w="0" w:type="dxa"/>
            <w:bottom w:w="0" w:type="dxa"/>
            <w:right w:w="0" w:type="dxa"/>
          </w:tblCellMar>
        </w:tblPrEx>
        <w:trPr>
          <w:trHeight w:val="276" w:hRule="atLeast"/>
          <w:jc w:val="center"/>
        </w:trPr>
        <w:tc>
          <w:tcPr>
            <w:tcW w:w="2303"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F816DB">
            <w:pPr>
              <w:widowControl/>
              <w:jc w:val="center"/>
              <w:textAlignment w:val="center"/>
              <w:rPr>
                <w:rFonts w:ascii="宋体" w:cs="宋体"/>
                <w:color w:val="000000"/>
                <w:sz w:val="24"/>
              </w:rPr>
            </w:pPr>
            <w:r>
              <w:rPr>
                <w:rFonts w:hint="eastAsia" w:ascii="宋体" w:hAnsi="宋体" w:cs="宋体"/>
                <w:color w:val="000000"/>
                <w:kern w:val="0"/>
                <w:sz w:val="24"/>
              </w:rPr>
              <w:t>预算单位</w:t>
            </w:r>
          </w:p>
        </w:tc>
        <w:tc>
          <w:tcPr>
            <w:tcW w:w="7657"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FB9C30">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松潘县发展和改革局</w:t>
            </w:r>
          </w:p>
        </w:tc>
      </w:tr>
      <w:tr w14:paraId="5BDA8782">
        <w:tblPrEx>
          <w:tblCellMar>
            <w:top w:w="0" w:type="dxa"/>
            <w:left w:w="0" w:type="dxa"/>
            <w:bottom w:w="0" w:type="dxa"/>
            <w:right w:w="0" w:type="dxa"/>
          </w:tblCellMar>
        </w:tblPrEx>
        <w:trPr>
          <w:trHeight w:val="27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C1565E">
            <w:pPr>
              <w:widowControl/>
              <w:jc w:val="center"/>
              <w:textAlignment w:val="center"/>
              <w:rPr>
                <w:rFonts w:ascii="宋体" w:cs="宋体"/>
                <w:color w:val="000000"/>
                <w:sz w:val="24"/>
              </w:rPr>
            </w:pPr>
            <w:r>
              <w:rPr>
                <w:rFonts w:hint="eastAsia" w:ascii="宋体" w:hAnsi="宋体" w:cs="宋体"/>
                <w:color w:val="000000"/>
                <w:kern w:val="0"/>
                <w:sz w:val="24"/>
              </w:rPr>
              <w:t>预算执行情况</w:t>
            </w:r>
            <w:r>
              <w:rPr>
                <w:rFonts w:ascii="宋体" w:hAnsi="宋体" w:cs="宋体"/>
                <w:color w:val="000000"/>
                <w:kern w:val="0"/>
                <w:sz w:val="24"/>
              </w:rPr>
              <w:t>(</w:t>
            </w:r>
            <w:r>
              <w:rPr>
                <w:rFonts w:hint="eastAsia" w:ascii="宋体" w:hAnsi="宋体" w:cs="宋体"/>
                <w:color w:val="000000"/>
                <w:kern w:val="0"/>
                <w:sz w:val="24"/>
              </w:rPr>
              <w:t>万元</w:t>
            </w:r>
            <w:r>
              <w:rPr>
                <w:rFonts w:ascii="宋体" w:hAnsi="宋体" w:cs="宋体"/>
                <w:color w:val="000000"/>
                <w:kern w:val="0"/>
                <w:sz w:val="24"/>
              </w:rPr>
              <w:t>)</w:t>
            </w:r>
          </w:p>
        </w:tc>
        <w:tc>
          <w:tcPr>
            <w:tcW w:w="163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19E9A5">
            <w:pPr>
              <w:widowControl/>
              <w:jc w:val="center"/>
              <w:textAlignment w:val="center"/>
              <w:rPr>
                <w:rFonts w:ascii="宋体" w:cs="宋体"/>
                <w:color w:val="000000"/>
                <w:sz w:val="24"/>
              </w:rPr>
            </w:pPr>
            <w:r>
              <w:rPr>
                <w:rFonts w:hint="eastAsia" w:ascii="宋体" w:hAnsi="宋体" w:cs="宋体"/>
                <w:color w:val="000000"/>
                <w:kern w:val="0"/>
                <w:sz w:val="24"/>
              </w:rPr>
              <w:t>预算数</w:t>
            </w:r>
            <w:r>
              <w:rPr>
                <w:rFonts w:ascii="宋体" w:hAnsi="宋体" w:cs="宋体"/>
                <w:color w:val="000000"/>
                <w:kern w:val="0"/>
                <w:sz w:val="24"/>
              </w:rPr>
              <w:t>:</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0818B3">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23.92</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A38BC3">
            <w:pPr>
              <w:widowControl/>
              <w:jc w:val="center"/>
              <w:textAlignment w:val="center"/>
              <w:rPr>
                <w:rFonts w:ascii="宋体" w:cs="宋体"/>
                <w:color w:val="000000"/>
                <w:sz w:val="24"/>
              </w:rPr>
            </w:pPr>
            <w:r>
              <w:rPr>
                <w:rFonts w:hint="eastAsia" w:ascii="宋体" w:hAnsi="宋体" w:cs="宋体"/>
                <w:color w:val="000000"/>
                <w:kern w:val="0"/>
                <w:sz w:val="24"/>
              </w:rPr>
              <w:t>执行数</w:t>
            </w:r>
            <w:r>
              <w:rPr>
                <w:rFonts w:ascii="宋体" w:hAnsi="宋体" w:cs="宋体"/>
                <w:color w:val="000000"/>
                <w:kern w:val="0"/>
                <w:sz w:val="24"/>
              </w:rPr>
              <w:t>:</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EF5C8C">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23.92</w:t>
            </w:r>
          </w:p>
        </w:tc>
      </w:tr>
      <w:tr w14:paraId="046BFAE4">
        <w:tblPrEx>
          <w:tblCellMar>
            <w:top w:w="0" w:type="dxa"/>
            <w:left w:w="0" w:type="dxa"/>
            <w:bottom w:w="0" w:type="dxa"/>
            <w:right w:w="0" w:type="dxa"/>
          </w:tblCellMar>
        </w:tblPrEx>
        <w:trPr>
          <w:trHeight w:val="276"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89A40A">
            <w:pPr>
              <w:jc w:val="center"/>
              <w:rPr>
                <w:rFonts w:ascii="宋体" w:cs="宋体"/>
                <w:color w:val="000000"/>
                <w:sz w:val="24"/>
              </w:rPr>
            </w:pPr>
          </w:p>
        </w:tc>
        <w:tc>
          <w:tcPr>
            <w:tcW w:w="163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769E47">
            <w:pPr>
              <w:widowControl/>
              <w:jc w:val="center"/>
              <w:textAlignment w:val="center"/>
              <w:rPr>
                <w:rFonts w:ascii="宋体" w:cs="宋体"/>
                <w:color w:val="000000"/>
                <w:sz w:val="24"/>
              </w:rPr>
            </w:pPr>
            <w:r>
              <w:rPr>
                <w:rFonts w:hint="eastAsia" w:ascii="宋体" w:hAnsi="宋体" w:cs="宋体"/>
                <w:color w:val="000000"/>
                <w:kern w:val="0"/>
                <w:sz w:val="24"/>
              </w:rPr>
              <w:t>其中</w:t>
            </w:r>
            <w:r>
              <w:rPr>
                <w:rFonts w:ascii="宋体" w:cs="宋体"/>
                <w:color w:val="000000"/>
                <w:kern w:val="0"/>
                <w:sz w:val="24"/>
              </w:rPr>
              <w:t>-</w:t>
            </w:r>
            <w:r>
              <w:rPr>
                <w:rFonts w:hint="eastAsia" w:ascii="宋体" w:hAnsi="宋体" w:cs="宋体"/>
                <w:color w:val="000000"/>
                <w:kern w:val="0"/>
                <w:sz w:val="24"/>
              </w:rPr>
              <w:t>财政拨款</w:t>
            </w:r>
            <w:r>
              <w:rPr>
                <w:rFonts w:ascii="宋体" w:hAnsi="宋体" w:cs="宋体"/>
                <w:color w:val="000000"/>
                <w:kern w:val="0"/>
                <w:sz w:val="24"/>
              </w:rPr>
              <w:t>:</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F1A4AA">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23.92</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BC8080">
            <w:pPr>
              <w:widowControl/>
              <w:jc w:val="center"/>
              <w:textAlignment w:val="center"/>
              <w:rPr>
                <w:rFonts w:ascii="宋体" w:cs="宋体"/>
                <w:color w:val="000000"/>
                <w:sz w:val="24"/>
              </w:rPr>
            </w:pPr>
            <w:r>
              <w:rPr>
                <w:rFonts w:hint="eastAsia" w:ascii="宋体" w:hAnsi="宋体" w:cs="宋体"/>
                <w:color w:val="000000"/>
                <w:kern w:val="0"/>
                <w:sz w:val="24"/>
              </w:rPr>
              <w:t>其中</w:t>
            </w:r>
            <w:r>
              <w:rPr>
                <w:rFonts w:ascii="宋体" w:cs="宋体"/>
                <w:color w:val="000000"/>
                <w:kern w:val="0"/>
                <w:sz w:val="24"/>
              </w:rPr>
              <w:t>-</w:t>
            </w:r>
            <w:r>
              <w:rPr>
                <w:rFonts w:hint="eastAsia" w:ascii="宋体" w:hAnsi="宋体" w:cs="宋体"/>
                <w:color w:val="000000"/>
                <w:kern w:val="0"/>
                <w:sz w:val="24"/>
              </w:rPr>
              <w:t>财政拨款</w:t>
            </w:r>
            <w:r>
              <w:rPr>
                <w:rFonts w:ascii="宋体" w:hAnsi="宋体" w:cs="宋体"/>
                <w:color w:val="000000"/>
                <w:kern w:val="0"/>
                <w:sz w:val="24"/>
              </w:rPr>
              <w:t>:</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756F45">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23.92</w:t>
            </w:r>
          </w:p>
        </w:tc>
      </w:tr>
      <w:tr w14:paraId="0952FD03">
        <w:tblPrEx>
          <w:tblCellMar>
            <w:top w:w="0" w:type="dxa"/>
            <w:left w:w="0" w:type="dxa"/>
            <w:bottom w:w="0" w:type="dxa"/>
            <w:right w:w="0" w:type="dxa"/>
          </w:tblCellMar>
        </w:tblPrEx>
        <w:trPr>
          <w:trHeight w:val="706"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098345">
            <w:pPr>
              <w:jc w:val="center"/>
              <w:rPr>
                <w:rFonts w:ascii="宋体" w:cs="宋体"/>
                <w:color w:val="000000"/>
                <w:sz w:val="24"/>
              </w:rPr>
            </w:pPr>
          </w:p>
        </w:tc>
        <w:tc>
          <w:tcPr>
            <w:tcW w:w="1635"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7562FE">
            <w:pPr>
              <w:widowControl/>
              <w:jc w:val="center"/>
              <w:textAlignment w:val="center"/>
              <w:rPr>
                <w:rFonts w:ascii="宋体" w:cs="宋体"/>
                <w:color w:val="000000"/>
                <w:sz w:val="24"/>
              </w:rPr>
            </w:pPr>
            <w:r>
              <w:rPr>
                <w:rFonts w:hint="eastAsia" w:ascii="宋体" w:hAnsi="宋体" w:cs="宋体"/>
                <w:color w:val="000000"/>
                <w:kern w:val="0"/>
                <w:sz w:val="24"/>
              </w:rPr>
              <w:t>其它资金</w:t>
            </w:r>
            <w:r>
              <w:rPr>
                <w:rFonts w:ascii="宋体" w:hAnsi="宋体" w:cs="宋体"/>
                <w:color w:val="000000"/>
                <w:kern w:val="0"/>
                <w:sz w:val="24"/>
              </w:rPr>
              <w:t>:</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8E9796">
            <w:pPr>
              <w:widowControl/>
              <w:jc w:val="both"/>
              <w:textAlignment w:val="center"/>
              <w:rPr>
                <w:rFonts w:hint="default" w:ascii="宋体" w:eastAsia="宋体" w:cs="宋体"/>
                <w:color w:val="000000"/>
                <w:sz w:val="24"/>
                <w:lang w:val="en-US" w:eastAsia="zh-CN"/>
              </w:rPr>
            </w:pP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F1243D">
            <w:pPr>
              <w:widowControl/>
              <w:jc w:val="center"/>
              <w:textAlignment w:val="center"/>
              <w:rPr>
                <w:rFonts w:ascii="宋体" w:cs="宋体"/>
                <w:color w:val="000000"/>
                <w:sz w:val="24"/>
              </w:rPr>
            </w:pPr>
            <w:r>
              <w:rPr>
                <w:rFonts w:hint="eastAsia" w:ascii="宋体" w:hAnsi="宋体" w:cs="宋体"/>
                <w:color w:val="000000"/>
                <w:kern w:val="0"/>
                <w:sz w:val="24"/>
              </w:rPr>
              <w:t>其它资金</w:t>
            </w:r>
            <w:r>
              <w:rPr>
                <w:rFonts w:ascii="宋体" w:hAnsi="宋体" w:cs="宋体"/>
                <w:color w:val="000000"/>
                <w:kern w:val="0"/>
                <w:sz w:val="24"/>
              </w:rPr>
              <w:t>:</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9F6A40">
            <w:pPr>
              <w:jc w:val="both"/>
              <w:rPr>
                <w:rFonts w:hint="default" w:ascii="宋体" w:eastAsia="宋体" w:cs="宋体"/>
                <w:color w:val="000000"/>
                <w:sz w:val="24"/>
                <w:lang w:val="en-US" w:eastAsia="zh-CN"/>
              </w:rPr>
            </w:pPr>
          </w:p>
        </w:tc>
      </w:tr>
      <w:tr w14:paraId="7B64CA46">
        <w:tblPrEx>
          <w:tblCellMar>
            <w:top w:w="0" w:type="dxa"/>
            <w:left w:w="0" w:type="dxa"/>
            <w:bottom w:w="0" w:type="dxa"/>
            <w:right w:w="0" w:type="dxa"/>
          </w:tblCellMar>
        </w:tblPrEx>
        <w:trPr>
          <w:trHeight w:val="276" w:hRule="atLeast"/>
          <w:jc w:val="center"/>
        </w:trPr>
        <w:tc>
          <w:tcPr>
            <w:tcW w:w="66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A3E049">
            <w:pPr>
              <w:widowControl/>
              <w:jc w:val="center"/>
              <w:textAlignment w:val="center"/>
              <w:rPr>
                <w:rFonts w:ascii="宋体" w:cs="宋体"/>
                <w:color w:val="000000"/>
                <w:sz w:val="24"/>
              </w:rPr>
            </w:pPr>
            <w:r>
              <w:rPr>
                <w:rFonts w:hint="eastAsia" w:ascii="宋体" w:hAnsi="宋体" w:cs="宋体"/>
                <w:color w:val="000000"/>
                <w:kern w:val="0"/>
                <w:sz w:val="24"/>
              </w:rPr>
              <w:t>年度目标完成情况</w:t>
            </w:r>
          </w:p>
        </w:tc>
        <w:tc>
          <w:tcPr>
            <w:tcW w:w="693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D0B4DD">
            <w:pPr>
              <w:widowControl/>
              <w:jc w:val="center"/>
              <w:textAlignment w:val="center"/>
              <w:rPr>
                <w:rFonts w:ascii="宋体" w:cs="宋体"/>
                <w:color w:val="000000"/>
                <w:sz w:val="24"/>
              </w:rPr>
            </w:pPr>
            <w:r>
              <w:rPr>
                <w:rFonts w:hint="eastAsia" w:ascii="宋体" w:hAnsi="宋体" w:cs="宋体"/>
                <w:color w:val="000000"/>
                <w:kern w:val="0"/>
                <w:sz w:val="24"/>
              </w:rPr>
              <w:t>预期目标</w:t>
            </w:r>
          </w:p>
        </w:tc>
        <w:tc>
          <w:tcPr>
            <w:tcW w:w="236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D1D17A">
            <w:pPr>
              <w:widowControl/>
              <w:jc w:val="center"/>
              <w:textAlignment w:val="center"/>
              <w:rPr>
                <w:rFonts w:ascii="宋体" w:cs="宋体"/>
                <w:color w:val="000000"/>
                <w:sz w:val="24"/>
              </w:rPr>
            </w:pPr>
            <w:r>
              <w:rPr>
                <w:rFonts w:hint="eastAsia" w:ascii="宋体" w:hAnsi="宋体" w:cs="宋体"/>
                <w:color w:val="000000"/>
                <w:kern w:val="0"/>
                <w:sz w:val="24"/>
              </w:rPr>
              <w:t>实际完成目标</w:t>
            </w:r>
          </w:p>
        </w:tc>
      </w:tr>
      <w:tr w14:paraId="526782A1">
        <w:tblPrEx>
          <w:tblCellMar>
            <w:top w:w="0" w:type="dxa"/>
            <w:left w:w="0" w:type="dxa"/>
            <w:bottom w:w="0" w:type="dxa"/>
            <w:right w:w="0" w:type="dxa"/>
          </w:tblCellMar>
        </w:tblPrEx>
        <w:trPr>
          <w:trHeight w:val="804" w:hRule="atLeast"/>
          <w:jc w:val="center"/>
        </w:trPr>
        <w:tc>
          <w:tcPr>
            <w:tcW w:w="66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EBAD57">
            <w:pPr>
              <w:jc w:val="center"/>
              <w:rPr>
                <w:rFonts w:ascii="宋体" w:cs="宋体"/>
                <w:color w:val="000000"/>
                <w:sz w:val="24"/>
              </w:rPr>
            </w:pPr>
          </w:p>
        </w:tc>
        <w:tc>
          <w:tcPr>
            <w:tcW w:w="693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1428BC">
            <w:pPr>
              <w:widowControl/>
              <w:jc w:val="both"/>
              <w:textAlignment w:val="center"/>
              <w:rPr>
                <w:rFonts w:hint="default" w:ascii="宋体" w:eastAsia="宋体" w:cs="宋体"/>
                <w:color w:val="000000"/>
                <w:sz w:val="24"/>
                <w:lang w:val="en-US" w:eastAsia="zh-CN"/>
              </w:rPr>
            </w:pPr>
            <w:r>
              <w:rPr>
                <w:rFonts w:hint="eastAsia" w:ascii="宋体" w:cs="宋体"/>
                <w:color w:val="000000"/>
                <w:sz w:val="24"/>
                <w:lang w:val="en-US" w:eastAsia="zh-CN"/>
              </w:rPr>
              <w:t>2021年底完成编制</w:t>
            </w:r>
          </w:p>
        </w:tc>
        <w:tc>
          <w:tcPr>
            <w:tcW w:w="236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03B730">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全部完成</w:t>
            </w:r>
          </w:p>
        </w:tc>
      </w:tr>
      <w:tr w14:paraId="54310AF4">
        <w:tblPrEx>
          <w:tblCellMar>
            <w:top w:w="0" w:type="dxa"/>
            <w:left w:w="0" w:type="dxa"/>
            <w:bottom w:w="0" w:type="dxa"/>
            <w:right w:w="0" w:type="dxa"/>
          </w:tblCellMar>
        </w:tblPrEx>
        <w:trPr>
          <w:trHeight w:val="1170" w:hRule="atLeast"/>
          <w:jc w:val="center"/>
        </w:trPr>
        <w:tc>
          <w:tcPr>
            <w:tcW w:w="668"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2BD02F42">
            <w:pPr>
              <w:widowControl/>
              <w:jc w:val="center"/>
              <w:textAlignment w:val="center"/>
              <w:rPr>
                <w:rFonts w:ascii="宋体" w:cs="宋体"/>
                <w:color w:val="000000"/>
                <w:sz w:val="24"/>
              </w:rPr>
            </w:pPr>
            <w:r>
              <w:rPr>
                <w:rFonts w:hint="eastAsia" w:ascii="宋体" w:hAnsi="宋体" w:cs="宋体"/>
                <w:color w:val="000000"/>
                <w:sz w:val="24"/>
              </w:rPr>
              <w:t>绩效指标完成情况</w:t>
            </w: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18F83E">
            <w:pPr>
              <w:widowControl/>
              <w:jc w:val="center"/>
              <w:textAlignment w:val="center"/>
              <w:rPr>
                <w:rFonts w:ascii="宋体" w:cs="宋体"/>
                <w:color w:val="000000"/>
                <w:sz w:val="24"/>
              </w:rPr>
            </w:pPr>
            <w:r>
              <w:rPr>
                <w:rFonts w:hint="eastAsia" w:ascii="宋体" w:hAnsi="宋体" w:cs="宋体"/>
                <w:color w:val="000000"/>
                <w:kern w:val="0"/>
                <w:sz w:val="24"/>
              </w:rPr>
              <w:t>一级指标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429C29">
            <w:pPr>
              <w:widowControl/>
              <w:jc w:val="center"/>
              <w:textAlignment w:val="center"/>
              <w:rPr>
                <w:rFonts w:ascii="宋体" w:cs="宋体"/>
                <w:color w:val="000000"/>
                <w:sz w:val="24"/>
              </w:rPr>
            </w:pPr>
            <w:r>
              <w:rPr>
                <w:rFonts w:hint="eastAsia" w:ascii="宋体" w:hAnsi="宋体" w:cs="宋体"/>
                <w:color w:val="000000"/>
                <w:kern w:val="0"/>
                <w:sz w:val="24"/>
              </w:rPr>
              <w:t>二级指标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B44545">
            <w:pPr>
              <w:widowControl/>
              <w:jc w:val="center"/>
              <w:textAlignment w:val="center"/>
              <w:rPr>
                <w:rFonts w:ascii="宋体" w:cs="宋体"/>
                <w:color w:val="000000"/>
                <w:sz w:val="24"/>
              </w:rPr>
            </w:pPr>
            <w:r>
              <w:rPr>
                <w:rFonts w:hint="eastAsia" w:ascii="宋体" w:hAnsi="宋体" w:cs="宋体"/>
                <w:color w:val="000000"/>
                <w:kern w:val="0"/>
                <w:sz w:val="24"/>
              </w:rPr>
              <w:t>三级指标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CA8193">
            <w:pPr>
              <w:widowControl/>
              <w:jc w:val="center"/>
              <w:textAlignment w:val="center"/>
              <w:rPr>
                <w:rFonts w:ascii="宋体" w:cs="宋体"/>
                <w:color w:val="000000"/>
                <w:sz w:val="24"/>
              </w:rPr>
            </w:pPr>
            <w:r>
              <w:rPr>
                <w:rFonts w:hint="eastAsia" w:ascii="宋体" w:hAnsi="宋体" w:cs="宋体"/>
                <w:color w:val="000000"/>
                <w:kern w:val="0"/>
                <w:sz w:val="24"/>
              </w:rPr>
              <w:t>预期指标值</w:t>
            </w:r>
            <w:r>
              <w:rPr>
                <w:rFonts w:ascii="宋体" w:hAnsi="宋体" w:cs="宋体"/>
                <w:color w:val="000000"/>
                <w:kern w:val="0"/>
                <w:sz w:val="24"/>
              </w:rPr>
              <w:t>(</w:t>
            </w:r>
            <w:r>
              <w:rPr>
                <w:rFonts w:hint="eastAsia" w:ascii="宋体" w:hAnsi="宋体" w:cs="宋体"/>
                <w:color w:val="000000"/>
                <w:kern w:val="0"/>
                <w:sz w:val="24"/>
              </w:rPr>
              <w:t>包含数字及文字描述</w:t>
            </w:r>
            <w:r>
              <w:rPr>
                <w:rFonts w:ascii="宋体" w:hAnsi="宋体" w:cs="宋体"/>
                <w:color w:val="000000"/>
                <w:kern w:val="0"/>
                <w:sz w:val="24"/>
              </w:rPr>
              <w:t>)</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5B63D">
            <w:pPr>
              <w:widowControl/>
              <w:jc w:val="center"/>
              <w:textAlignment w:val="center"/>
              <w:rPr>
                <w:rFonts w:ascii="宋体" w:cs="宋体"/>
                <w:color w:val="000000"/>
                <w:sz w:val="24"/>
              </w:rPr>
            </w:pPr>
            <w:r>
              <w:rPr>
                <w:rFonts w:hint="eastAsia" w:ascii="宋体" w:hAnsi="宋体" w:cs="宋体"/>
                <w:color w:val="000000"/>
                <w:kern w:val="0"/>
                <w:sz w:val="24"/>
              </w:rPr>
              <w:t>实际完成指标值</w:t>
            </w:r>
            <w:r>
              <w:rPr>
                <w:rFonts w:ascii="宋体" w:hAnsi="宋体" w:cs="宋体"/>
                <w:color w:val="000000"/>
                <w:kern w:val="0"/>
                <w:sz w:val="24"/>
              </w:rPr>
              <w:t>(</w:t>
            </w:r>
            <w:r>
              <w:rPr>
                <w:rFonts w:hint="eastAsia" w:ascii="宋体" w:hAnsi="宋体" w:cs="宋体"/>
                <w:color w:val="000000"/>
                <w:kern w:val="0"/>
                <w:sz w:val="24"/>
              </w:rPr>
              <w:t>包含数字及文字描述</w:t>
            </w:r>
            <w:r>
              <w:rPr>
                <w:rFonts w:ascii="宋体" w:hAnsi="宋体" w:cs="宋体"/>
                <w:color w:val="000000"/>
                <w:kern w:val="0"/>
                <w:sz w:val="24"/>
              </w:rPr>
              <w:t>)</w:t>
            </w:r>
          </w:p>
        </w:tc>
      </w:tr>
      <w:tr w14:paraId="7908639E">
        <w:tblPrEx>
          <w:tblCellMar>
            <w:top w:w="0" w:type="dxa"/>
            <w:left w:w="0" w:type="dxa"/>
            <w:bottom w:w="0" w:type="dxa"/>
            <w:right w:w="0" w:type="dxa"/>
          </w:tblCellMar>
        </w:tblPrEx>
        <w:trPr>
          <w:trHeight w:val="2296"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2976F715">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AEA143">
            <w:pPr>
              <w:widowControl/>
              <w:jc w:val="center"/>
              <w:textAlignment w:val="center"/>
              <w:rPr>
                <w:rFonts w:ascii="宋体" w:cs="宋体"/>
                <w:color w:val="000000"/>
                <w:sz w:val="24"/>
              </w:rPr>
            </w:pPr>
            <w:r>
              <w:rPr>
                <w:rFonts w:hint="eastAsia" w:ascii="宋体" w:hAnsi="宋体" w:cs="宋体"/>
                <w:color w:val="000000"/>
                <w:kern w:val="0"/>
                <w:sz w:val="24"/>
              </w:rPr>
              <w:t>项目完成指标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EA91C9">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数量指标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DD8ADA">
            <w:pPr>
              <w:pStyle w:val="8"/>
              <w:bidi w:val="0"/>
              <w:rPr>
                <w:lang w:eastAsia="zh-CN"/>
              </w:rPr>
            </w:pPr>
            <w:r>
              <w:rPr>
                <w:rFonts w:hint="eastAsia"/>
                <w:lang w:eastAsia="zh-CN"/>
              </w:rPr>
              <w:t>我县《纲要草案》编制工作于2019年底正式启动，在县发改局的牵头和协调下，先后开展了前期重大问题研究、《基本思路》拟定、《纲要草案》起草、意见建议征求、专家论证咨询等阶段，最终形成了《纲要草案》。</w:t>
            </w:r>
          </w:p>
          <w:p w14:paraId="41B1D3AC">
            <w:pPr>
              <w:widowControl/>
              <w:jc w:val="center"/>
              <w:textAlignment w:val="center"/>
              <w:rPr>
                <w:rFonts w:hint="default" w:ascii="宋体" w:eastAsia="宋体" w:cs="宋体"/>
                <w:color w:val="000000"/>
                <w:sz w:val="21"/>
                <w:szCs w:val="21"/>
                <w:lang w:val="en-US" w:eastAsia="zh-CN"/>
              </w:rPr>
            </w:pP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EAE766">
            <w:pPr>
              <w:widowControl/>
              <w:jc w:val="center"/>
              <w:textAlignment w:val="center"/>
              <w:rPr>
                <w:rFonts w:ascii="宋体" w:cs="宋体"/>
                <w:color w:val="000000"/>
                <w:sz w:val="24"/>
              </w:rP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6E2EDA">
            <w:pPr>
              <w:widowControl/>
              <w:jc w:val="center"/>
              <w:textAlignment w:val="center"/>
              <w:rPr>
                <w:rFonts w:hint="default" w:ascii="宋体" w:eastAsia="宋体" w:cs="宋体"/>
                <w:color w:val="000000"/>
                <w:sz w:val="24"/>
                <w:lang w:val="en-US" w:eastAsia="zh-CN"/>
              </w:rPr>
            </w:pPr>
            <w:r>
              <w:rPr>
                <w:rFonts w:hint="eastAsia" w:ascii="宋体" w:cs="宋体"/>
                <w:color w:val="000000"/>
                <w:sz w:val="24"/>
                <w:lang w:val="en-US" w:eastAsia="zh-CN"/>
              </w:rPr>
              <w:t>2021年2月已完工</w:t>
            </w:r>
          </w:p>
        </w:tc>
      </w:tr>
      <w:tr w14:paraId="6643E080">
        <w:tblPrEx>
          <w:tblCellMar>
            <w:top w:w="0" w:type="dxa"/>
            <w:left w:w="0" w:type="dxa"/>
            <w:bottom w:w="0" w:type="dxa"/>
            <w:right w:w="0" w:type="dxa"/>
          </w:tblCellMar>
        </w:tblPrEx>
        <w:trPr>
          <w:trHeight w:val="1297"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0EF15F67">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9D44BB">
            <w:pPr>
              <w:widowControl/>
              <w:jc w:val="center"/>
              <w:textAlignment w:val="center"/>
              <w:rPr>
                <w:rFonts w:ascii="宋体" w:cs="宋体"/>
                <w:color w:val="000000"/>
                <w:sz w:val="24"/>
              </w:rPr>
            </w:pPr>
            <w:r>
              <w:rPr>
                <w:rFonts w:hint="eastAsia" w:ascii="宋体" w:hAnsi="宋体" w:cs="宋体"/>
                <w:color w:val="000000"/>
                <w:kern w:val="0"/>
                <w:sz w:val="24"/>
              </w:rPr>
              <w:t>项目完成指标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C05281">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质量指标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E66B89">
            <w:pPr>
              <w:pStyle w:val="8"/>
              <w:bidi w:val="0"/>
              <w:rPr>
                <w:lang w:eastAsia="zh-CN"/>
              </w:rPr>
            </w:pPr>
            <w:r>
              <w:rPr>
                <w:rFonts w:hint="eastAsia"/>
                <w:lang w:eastAsia="zh-CN"/>
              </w:rPr>
              <w:t>《纲要草案》</w:t>
            </w:r>
            <w:r>
              <w:rPr>
                <w:lang w:eastAsia="zh-CN"/>
              </w:rPr>
              <w:t>立足“两个百年”奋斗目标，全面贯彻了党的十九届五中全会、中央第七次西藏工作座谈会、省委十一届八次全会、省委涉藏工作会议、州委十一届十次全会和县委十三届十一次全会精神，与中央、省委、州委、县委战略保持高度一致。“十四五”时期</w:t>
            </w:r>
            <w:r>
              <w:rPr>
                <w:rFonts w:hint="eastAsia"/>
                <w:lang w:eastAsia="zh-CN"/>
              </w:rPr>
              <w:t>发展的思路清晰、目标明确、任务举措和保障措施有力，具有一定的前瞻性和可操作性，对促进松潘县在“十四五”时期高质量发展具有指导意义。</w:t>
            </w:r>
          </w:p>
          <w:p w14:paraId="045393BB">
            <w:pPr>
              <w:pStyle w:val="8"/>
              <w:bidi w:val="0"/>
              <w:rPr>
                <w:rFonts w:hint="eastAsia"/>
                <w:lang w:eastAsia="zh-CN"/>
              </w:rPr>
            </w:pP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16CC98">
            <w:pPr>
              <w:widowControl/>
              <w:jc w:val="center"/>
              <w:textAlignment w:val="center"/>
              <w:rPr>
                <w:rFonts w:ascii="宋体" w:cs="宋体"/>
                <w:color w:val="000000"/>
                <w:sz w:val="24"/>
              </w:rP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8C94C7">
            <w:pPr>
              <w:widowControl/>
              <w:jc w:val="center"/>
              <w:textAlignment w:val="center"/>
              <w:rPr>
                <w:rFonts w:ascii="宋体" w:cs="宋体"/>
                <w:color w:val="000000"/>
                <w:sz w:val="24"/>
              </w:rPr>
            </w:pPr>
            <w:r>
              <w:rPr>
                <w:rFonts w:hint="eastAsia" w:ascii="宋体" w:cs="宋体"/>
                <w:color w:val="000000"/>
                <w:sz w:val="24"/>
                <w:lang w:val="en-US" w:eastAsia="zh-CN"/>
              </w:rPr>
              <w:t>2021年2月已完工</w:t>
            </w:r>
          </w:p>
        </w:tc>
      </w:tr>
      <w:tr w14:paraId="39EB14E6">
        <w:tblPrEx>
          <w:tblCellMar>
            <w:top w:w="0" w:type="dxa"/>
            <w:left w:w="0" w:type="dxa"/>
            <w:bottom w:w="0" w:type="dxa"/>
            <w:right w:w="0" w:type="dxa"/>
          </w:tblCellMar>
        </w:tblPrEx>
        <w:trPr>
          <w:trHeight w:val="1042"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7EEC5217">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DE68D0">
            <w:pPr>
              <w:widowControl/>
              <w:jc w:val="center"/>
              <w:textAlignment w:val="center"/>
              <w:rPr>
                <w:rFonts w:ascii="宋体" w:cs="宋体"/>
                <w:color w:val="000000"/>
                <w:sz w:val="24"/>
              </w:rPr>
            </w:pPr>
            <w:r>
              <w:rPr>
                <w:rFonts w:hint="eastAsia" w:ascii="宋体" w:hAnsi="宋体" w:cs="宋体"/>
                <w:color w:val="000000"/>
                <w:kern w:val="0"/>
                <w:sz w:val="24"/>
              </w:rPr>
              <w:t>项目完成指标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D4C8FB">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时效指标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5CB8A9">
            <w:pPr>
              <w:pStyle w:val="8"/>
              <w:bidi w:val="0"/>
              <w:rPr>
                <w:rFonts w:hint="eastAsia"/>
                <w:lang w:eastAsia="zh-CN"/>
              </w:rPr>
            </w:pPr>
            <w:r>
              <w:rPr>
                <w:lang w:eastAsia="zh-CN"/>
              </w:rPr>
              <w:t>在《基本思路》的基础上，同步开展</w:t>
            </w:r>
            <w:r>
              <w:rPr>
                <w:rFonts w:hint="eastAsia"/>
                <w:lang w:eastAsia="zh-CN"/>
              </w:rPr>
              <w:t>《纲要草案》</w:t>
            </w:r>
            <w:r>
              <w:rPr>
                <w:lang w:eastAsia="zh-CN"/>
              </w:rPr>
              <w:t>编制。2020年10月中旬，形成</w:t>
            </w:r>
            <w:r>
              <w:rPr>
                <w:rFonts w:hint="eastAsia"/>
                <w:lang w:eastAsia="zh-CN"/>
              </w:rPr>
              <w:t>《纲要草案（初稿）》</w:t>
            </w:r>
            <w:r>
              <w:rPr>
                <w:lang w:eastAsia="zh-CN"/>
              </w:rPr>
              <w:t>，分别与各部门进行专题研讨对接，先后经过18次修改，形成</w:t>
            </w:r>
            <w:r>
              <w:rPr>
                <w:rFonts w:hint="eastAsia"/>
                <w:lang w:eastAsia="zh-CN"/>
              </w:rPr>
              <w:t>《纲要草案</w:t>
            </w:r>
            <w:r>
              <w:rPr>
                <w:lang w:eastAsia="zh-CN"/>
              </w:rPr>
              <w:t>（征求意见稿）</w:t>
            </w:r>
            <w:r>
              <w:rPr>
                <w:rFonts w:hint="eastAsia"/>
                <w:lang w:eastAsia="zh-CN"/>
              </w:rPr>
              <w:t>》</w:t>
            </w:r>
            <w:r>
              <w:rPr>
                <w:lang w:eastAsia="zh-CN"/>
              </w:rPr>
              <w:t>。12月底，结合县委十三届十一次全会精神和《规划建议》</w:t>
            </w:r>
            <w:r>
              <w:rPr>
                <w:rFonts w:hint="eastAsia"/>
                <w:lang w:eastAsia="zh-CN"/>
              </w:rPr>
              <w:t>要求</w:t>
            </w:r>
            <w:r>
              <w:rPr>
                <w:lang w:eastAsia="zh-CN"/>
              </w:rPr>
              <w:t>，再次修改完善。2021年1月13日，由省委省政府决策咨询委员会副主任王海林</w:t>
            </w:r>
            <w:r>
              <w:rPr>
                <w:rFonts w:hint="eastAsia"/>
                <w:lang w:eastAsia="zh-CN"/>
              </w:rPr>
              <w:t>等同志</w:t>
            </w:r>
            <w:r>
              <w:rPr>
                <w:lang w:eastAsia="zh-CN"/>
              </w:rPr>
              <w:t>组成的专家组对</w:t>
            </w:r>
            <w:r>
              <w:rPr>
                <w:rFonts w:hint="eastAsia"/>
                <w:lang w:eastAsia="zh-CN"/>
              </w:rPr>
              <w:t>《纲要草案》</w:t>
            </w:r>
            <w:r>
              <w:rPr>
                <w:lang w:eastAsia="zh-CN"/>
              </w:rPr>
              <w:t>进行审查</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037AB6">
            <w:pPr>
              <w:widowControl/>
              <w:jc w:val="center"/>
              <w:textAlignment w:val="cente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50353E">
            <w:pPr>
              <w:widowControl/>
              <w:jc w:val="center"/>
              <w:textAlignment w:val="center"/>
              <w:rPr>
                <w:rFonts w:ascii="宋体" w:cs="宋体"/>
                <w:color w:val="000000"/>
                <w:sz w:val="24"/>
              </w:rPr>
            </w:pPr>
            <w:r>
              <w:rPr>
                <w:rFonts w:hint="eastAsia" w:ascii="宋体" w:cs="宋体"/>
                <w:color w:val="000000"/>
                <w:sz w:val="24"/>
                <w:lang w:val="en-US" w:eastAsia="zh-CN"/>
              </w:rPr>
              <w:t>2021年2月已完工</w:t>
            </w:r>
          </w:p>
        </w:tc>
      </w:tr>
      <w:tr w14:paraId="110DFF14">
        <w:tblPrEx>
          <w:tblCellMar>
            <w:top w:w="0" w:type="dxa"/>
            <w:left w:w="0" w:type="dxa"/>
            <w:bottom w:w="0" w:type="dxa"/>
            <w:right w:w="0" w:type="dxa"/>
          </w:tblCellMar>
        </w:tblPrEx>
        <w:trPr>
          <w:trHeight w:val="1042"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3ACD4E46">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A5EEDB">
            <w:pPr>
              <w:widowControl/>
              <w:jc w:val="center"/>
              <w:textAlignment w:val="center"/>
              <w:rPr>
                <w:rFonts w:ascii="宋体" w:cs="宋体"/>
                <w:color w:val="000000"/>
                <w:kern w:val="0"/>
                <w:sz w:val="24"/>
              </w:rPr>
            </w:pPr>
            <w:r>
              <w:rPr>
                <w:rFonts w:hint="eastAsia" w:ascii="宋体" w:hAnsi="宋体" w:cs="宋体"/>
                <w:color w:val="000000"/>
                <w:kern w:val="0"/>
                <w:sz w:val="24"/>
              </w:rPr>
              <w:t>项目完成指标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A0B892">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成本指标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8BE23F">
            <w:pPr>
              <w:pStyle w:val="8"/>
              <w:bidi w:val="0"/>
            </w:pPr>
            <w:r>
              <w:rPr>
                <w:lang w:eastAsia="zh-CN"/>
              </w:rPr>
              <w:t>在“十四五”时期，要更加重视建立有效机制，强化组织实施，充分发挥</w:t>
            </w:r>
            <w:r>
              <w:rPr>
                <w:rFonts w:hint="eastAsia"/>
                <w:lang w:eastAsia="zh-CN"/>
              </w:rPr>
              <w:t>《纲要》</w:t>
            </w:r>
            <w:r>
              <w:rPr>
                <w:lang w:eastAsia="zh-CN"/>
              </w:rPr>
              <w:t>配置资源的导向性作用。明确</w:t>
            </w:r>
            <w:r>
              <w:rPr>
                <w:rFonts w:hint="eastAsia"/>
                <w:lang w:eastAsia="zh-CN"/>
              </w:rPr>
              <w:t>《纲要》</w:t>
            </w:r>
            <w:r>
              <w:rPr>
                <w:lang w:eastAsia="zh-CN"/>
              </w:rPr>
              <w:t>实施的目标责任，通过国民经济和社会发展年度计划、财政预算等，分解和落实</w:t>
            </w:r>
            <w:r>
              <w:rPr>
                <w:rFonts w:hint="eastAsia"/>
                <w:lang w:eastAsia="zh-CN"/>
              </w:rPr>
              <w:t>《纲要》</w:t>
            </w:r>
            <w:r>
              <w:rPr>
                <w:lang w:eastAsia="zh-CN"/>
              </w:rPr>
              <w:t>提出的发展目标和主要任务，及时配套编制和实施专项规划，抓好重点项目建设。</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67153E">
            <w:pPr>
              <w:widowControl/>
              <w:jc w:val="center"/>
              <w:textAlignment w:val="center"/>
              <w:rPr>
                <w:rFonts w:ascii="宋体" w:cs="宋体"/>
                <w:color w:val="000000"/>
                <w:sz w:val="24"/>
              </w:rP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198382">
            <w:pPr>
              <w:widowControl/>
              <w:jc w:val="center"/>
              <w:textAlignment w:val="center"/>
              <w:rPr>
                <w:rFonts w:ascii="宋体" w:cs="宋体"/>
                <w:color w:val="000000"/>
                <w:sz w:val="24"/>
              </w:rPr>
            </w:pPr>
            <w:r>
              <w:rPr>
                <w:rFonts w:hint="eastAsia" w:ascii="宋体" w:cs="宋体"/>
                <w:color w:val="000000"/>
                <w:sz w:val="24"/>
                <w:lang w:val="en-US" w:eastAsia="zh-CN"/>
              </w:rPr>
              <w:t>2021年2月已完工</w:t>
            </w:r>
          </w:p>
        </w:tc>
      </w:tr>
      <w:tr w14:paraId="0C07312F">
        <w:tblPrEx>
          <w:tblCellMar>
            <w:top w:w="0" w:type="dxa"/>
            <w:left w:w="0" w:type="dxa"/>
            <w:bottom w:w="0" w:type="dxa"/>
            <w:right w:w="0" w:type="dxa"/>
          </w:tblCellMar>
        </w:tblPrEx>
        <w:trPr>
          <w:trHeight w:val="1042"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13E7E4F5">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00FC60">
            <w:pPr>
              <w:widowControl/>
              <w:jc w:val="center"/>
              <w:textAlignment w:val="center"/>
              <w:rPr>
                <w:rFonts w:ascii="宋体" w:cs="宋体"/>
                <w:color w:val="000000"/>
                <w:sz w:val="24"/>
              </w:rPr>
            </w:pPr>
            <w:r>
              <w:rPr>
                <w:rFonts w:hint="eastAsia" w:ascii="宋体" w:hAnsi="宋体" w:cs="宋体"/>
                <w:color w:val="000000"/>
                <w:kern w:val="0"/>
                <w:sz w:val="24"/>
              </w:rPr>
              <w:t>项目完成指标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A3C8B9">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满意度指标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3FDD23">
            <w:pPr>
              <w:pStyle w:val="8"/>
              <w:bidi w:val="0"/>
            </w:pPr>
            <w:r>
              <w:rPr>
                <w:rFonts w:hint="eastAsia"/>
                <w:lang w:eastAsia="zh-CN"/>
              </w:rPr>
              <w:t>《纲要草案》</w:t>
            </w:r>
            <w:r>
              <w:rPr>
                <w:lang w:eastAsia="zh-CN"/>
              </w:rPr>
              <w:t>提出，始终坚持把实现好、维护好、发展好最广大人民根本利益作为高质量发展的出发点和落脚点，加快构建就业更充分、教育更均衡、健康更有质、文化更繁荣、服务更优质、生活更美好的新时代民生服务体系，不断增强人民群众获得感、幸福感、安全感</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01E7F0">
            <w:pPr>
              <w:widowControl/>
              <w:jc w:val="center"/>
              <w:textAlignment w:val="center"/>
              <w:rPr>
                <w:rFonts w:ascii="宋体" w:cs="宋体"/>
                <w:color w:val="000000"/>
                <w:sz w:val="24"/>
              </w:rP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45AC19">
            <w:pPr>
              <w:widowControl/>
              <w:jc w:val="center"/>
              <w:textAlignment w:val="center"/>
              <w:rPr>
                <w:rFonts w:ascii="宋体" w:cs="宋体"/>
                <w:color w:val="000000"/>
                <w:sz w:val="24"/>
              </w:rPr>
            </w:pPr>
            <w:r>
              <w:rPr>
                <w:rFonts w:hint="eastAsia" w:ascii="宋体" w:cs="宋体"/>
                <w:color w:val="000000"/>
                <w:sz w:val="24"/>
                <w:lang w:val="en-US" w:eastAsia="zh-CN"/>
              </w:rPr>
              <w:t>2021年2月已完工</w:t>
            </w:r>
          </w:p>
        </w:tc>
      </w:tr>
      <w:tr w14:paraId="5BDFEDC4">
        <w:tblPrEx>
          <w:tblCellMar>
            <w:top w:w="0" w:type="dxa"/>
            <w:left w:w="0" w:type="dxa"/>
            <w:bottom w:w="0" w:type="dxa"/>
            <w:right w:w="0" w:type="dxa"/>
          </w:tblCellMar>
        </w:tblPrEx>
        <w:trPr>
          <w:trHeight w:val="1042"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703FB12F">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B20885">
            <w:pPr>
              <w:widowControl/>
              <w:jc w:val="center"/>
              <w:textAlignment w:val="center"/>
              <w:rPr>
                <w:rFonts w:ascii="宋体" w:cs="宋体"/>
                <w:color w:val="000000"/>
                <w:sz w:val="24"/>
              </w:rPr>
            </w:pPr>
            <w:r>
              <w:rPr>
                <w:rFonts w:hint="eastAsia" w:ascii="宋体" w:hAnsi="宋体" w:cs="宋体"/>
                <w:color w:val="000000"/>
                <w:kern w:val="0"/>
                <w:sz w:val="24"/>
              </w:rPr>
              <w:t>效益指标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231EC2">
            <w:pPr>
              <w:widowControl/>
              <w:jc w:val="center"/>
              <w:textAlignment w:val="center"/>
              <w:rPr>
                <w:rFonts w:ascii="宋体" w:cs="宋体"/>
                <w:color w:val="000000"/>
                <w:sz w:val="24"/>
              </w:rPr>
            </w:pPr>
            <w:r>
              <w:rPr>
                <w:rFonts w:hint="eastAsia" w:ascii="宋体" w:cs="宋体"/>
                <w:color w:val="000000"/>
                <w:sz w:val="24"/>
                <w:lang w:eastAsia="zh-CN"/>
              </w:rPr>
              <w:t>经济效益指标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4B60C8">
            <w:pPr>
              <w:pStyle w:val="8"/>
              <w:bidi w:val="0"/>
            </w:pPr>
            <w:r>
              <w:rPr>
                <w:lang w:eastAsia="zh-CN"/>
              </w:rPr>
              <w:t>坚持把特色优势产业和战略性新兴产业作为主攻方向，把发展经济着力点放在实体经济上，以旅游导向型服务业为主导、以高原特色农牧业为支撑、以生态工业融合发展为补充，打造培育产业基础独特、区域优势明显、发展潜力巨大的现代特色产业体系。</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0BBB4B">
            <w:pPr>
              <w:widowControl/>
              <w:jc w:val="center"/>
              <w:textAlignment w:val="center"/>
              <w:rPr>
                <w:rFonts w:ascii="宋体" w:cs="宋体"/>
                <w:color w:val="000000"/>
                <w:sz w:val="24"/>
              </w:rP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5C2780">
            <w:pPr>
              <w:widowControl/>
              <w:jc w:val="center"/>
              <w:textAlignment w:val="center"/>
              <w:rPr>
                <w:rFonts w:ascii="宋体" w:cs="宋体"/>
                <w:color w:val="000000"/>
                <w:sz w:val="24"/>
              </w:rPr>
            </w:pPr>
            <w:r>
              <w:rPr>
                <w:rFonts w:hint="eastAsia" w:ascii="宋体" w:cs="宋体"/>
                <w:color w:val="000000"/>
                <w:sz w:val="24"/>
                <w:lang w:val="en-US" w:eastAsia="zh-CN"/>
              </w:rPr>
              <w:t>2021年2月已完工</w:t>
            </w:r>
          </w:p>
        </w:tc>
      </w:tr>
      <w:tr w14:paraId="2E267A1B">
        <w:tblPrEx>
          <w:tblCellMar>
            <w:top w:w="0" w:type="dxa"/>
            <w:left w:w="0" w:type="dxa"/>
            <w:bottom w:w="0" w:type="dxa"/>
            <w:right w:w="0" w:type="dxa"/>
          </w:tblCellMar>
        </w:tblPrEx>
        <w:trPr>
          <w:trHeight w:val="2811"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6C1D77B4">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9784A5">
            <w:pPr>
              <w:widowControl/>
              <w:jc w:val="center"/>
              <w:textAlignment w:val="center"/>
              <w:rPr>
                <w:rFonts w:ascii="宋体" w:cs="宋体"/>
                <w:color w:val="000000"/>
                <w:sz w:val="24"/>
              </w:rPr>
            </w:pPr>
            <w:r>
              <w:rPr>
                <w:rFonts w:hint="eastAsia" w:ascii="宋体" w:hAnsi="宋体" w:cs="宋体"/>
                <w:color w:val="000000"/>
                <w:kern w:val="0"/>
                <w:sz w:val="24"/>
              </w:rPr>
              <w:t>效益指标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F5246A">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社会效益指标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5E12C">
            <w:pPr>
              <w:pStyle w:val="8"/>
              <w:bidi w:val="0"/>
              <w:rPr>
                <w:lang w:eastAsia="zh-CN"/>
              </w:rPr>
            </w:pPr>
            <w:r>
              <w:rPr>
                <w:rFonts w:hint="eastAsia"/>
                <w:lang w:eastAsia="zh-CN"/>
              </w:rPr>
              <w:t>《纲要草案》</w:t>
            </w:r>
            <w:r>
              <w:rPr>
                <w:lang w:eastAsia="zh-CN"/>
              </w:rPr>
              <w:t>提出，按照“做优县城、培育小镇、振兴乡村”的思路，突出“以镇带村、以村促镇、镇村融合”，统筹推动区域协调发展，提高发展的协调性</w:t>
            </w:r>
            <w:r>
              <w:rPr>
                <w:rFonts w:hint="eastAsia"/>
                <w:lang w:eastAsia="zh-CN"/>
              </w:rPr>
              <w:t>、</w:t>
            </w:r>
            <w:r>
              <w:rPr>
                <w:lang w:eastAsia="zh-CN"/>
              </w:rPr>
              <w:t>平衡性，构建全域高质量发展格局。主要包括</w:t>
            </w:r>
            <w:r>
              <w:rPr>
                <w:rFonts w:hint="eastAsia"/>
                <w:lang w:eastAsia="zh-CN"/>
              </w:rPr>
              <w:t>：优化国土空间开发和保护格局、</w:t>
            </w:r>
            <w:r>
              <w:rPr>
                <w:lang w:eastAsia="zh-CN"/>
              </w:rPr>
              <w:t>大力实施乡村振兴战略、切实构建新型城镇化体系、加快申报国家级历史文化名城</w:t>
            </w:r>
            <w:r>
              <w:rPr>
                <w:rFonts w:hint="eastAsia"/>
                <w:lang w:eastAsia="zh-CN"/>
              </w:rPr>
              <w:t>、健全城乡融合发展机制五</w:t>
            </w:r>
            <w:r>
              <w:rPr>
                <w:lang w:eastAsia="zh-CN"/>
              </w:rPr>
              <w:t>个方面的内容。</w:t>
            </w:r>
          </w:p>
          <w:p w14:paraId="15294912">
            <w:pPr>
              <w:pStyle w:val="8"/>
              <w:bidi w:val="0"/>
            </w:pP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80F814">
            <w:pPr>
              <w:widowControl/>
              <w:jc w:val="center"/>
              <w:textAlignment w:val="center"/>
              <w:rPr>
                <w:rFonts w:ascii="宋体" w:cs="宋体"/>
                <w:color w:val="000000"/>
                <w:sz w:val="24"/>
              </w:rP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4761C1">
            <w:pPr>
              <w:widowControl/>
              <w:jc w:val="center"/>
              <w:textAlignment w:val="center"/>
              <w:rPr>
                <w:rFonts w:ascii="宋体" w:cs="宋体"/>
                <w:color w:val="000000"/>
                <w:sz w:val="24"/>
              </w:rPr>
            </w:pPr>
            <w:r>
              <w:rPr>
                <w:rFonts w:hint="eastAsia" w:ascii="宋体" w:cs="宋体"/>
                <w:color w:val="000000"/>
                <w:sz w:val="24"/>
                <w:lang w:val="en-US" w:eastAsia="zh-CN"/>
              </w:rPr>
              <w:t>2021年2月已完工</w:t>
            </w:r>
          </w:p>
        </w:tc>
      </w:tr>
      <w:tr w14:paraId="5612E78D">
        <w:tblPrEx>
          <w:tblCellMar>
            <w:top w:w="0" w:type="dxa"/>
            <w:left w:w="0" w:type="dxa"/>
            <w:bottom w:w="0" w:type="dxa"/>
            <w:right w:w="0" w:type="dxa"/>
          </w:tblCellMar>
        </w:tblPrEx>
        <w:trPr>
          <w:trHeight w:val="2048"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1C700667">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38CD9">
            <w:pPr>
              <w:widowControl/>
              <w:jc w:val="center"/>
              <w:textAlignment w:val="center"/>
              <w:rPr>
                <w:rFonts w:ascii="宋体" w:cs="宋体"/>
                <w:color w:val="000000"/>
                <w:sz w:val="24"/>
              </w:rPr>
            </w:pPr>
            <w:r>
              <w:rPr>
                <w:rFonts w:hint="eastAsia" w:ascii="宋体" w:hAnsi="宋体" w:cs="宋体"/>
                <w:color w:val="000000"/>
                <w:kern w:val="0"/>
                <w:sz w:val="24"/>
              </w:rPr>
              <w:t>效益指标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511E58">
            <w:pPr>
              <w:widowControl/>
              <w:jc w:val="center"/>
              <w:textAlignment w:val="center"/>
              <w:rPr>
                <w:rFonts w:hint="eastAsia" w:ascii="宋体" w:cs="宋体"/>
                <w:color w:val="000000"/>
                <w:sz w:val="24"/>
                <w:lang w:eastAsia="zh-CN"/>
              </w:rPr>
            </w:pPr>
            <w:r>
              <w:rPr>
                <w:rFonts w:hint="eastAsia" w:ascii="宋体" w:cs="宋体"/>
                <w:color w:val="000000"/>
                <w:sz w:val="24"/>
                <w:lang w:eastAsia="zh-CN"/>
              </w:rPr>
              <w:t>生态效益</w:t>
            </w:r>
          </w:p>
          <w:p w14:paraId="35E37B49">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076302">
            <w:pPr>
              <w:pStyle w:val="8"/>
              <w:bidi w:val="0"/>
              <w:rPr>
                <w:rFonts w:ascii="Times New Roman" w:hAnsi="Times New Roman" w:eastAsia="仿宋_GB2312" w:cs="Times New Roman"/>
                <w:bCs/>
                <w:szCs w:val="32"/>
                <w:lang w:eastAsia="zh-CN" w:bidi="ar-SA"/>
              </w:rPr>
            </w:pPr>
            <w:r>
              <w:rPr>
                <w:lang w:eastAsia="zh-CN"/>
              </w:rPr>
              <w:t>立足国家重点生态功能区定位，加强生态建设与环境保护，全面保持生态的系统性、平衡性、和谐性，保障生态系统完整和生态链安全，厚植山清水秀生态空间。主要包括</w:t>
            </w:r>
            <w:r>
              <w:rPr>
                <w:rFonts w:hint="eastAsia"/>
                <w:lang w:eastAsia="zh-CN"/>
              </w:rPr>
              <w:t>：</w:t>
            </w:r>
            <w:r>
              <w:rPr>
                <w:lang w:eastAsia="zh-CN"/>
              </w:rPr>
              <w:t>持续抓好生态环境保护、纵深推进生态系统治理、全力实现生态体系改善三个方面的内容。</w:t>
            </w:r>
          </w:p>
          <w:p w14:paraId="74799DEB">
            <w:pPr>
              <w:widowControl/>
              <w:jc w:val="center"/>
              <w:textAlignment w:val="center"/>
              <w:rPr>
                <w:rFonts w:ascii="宋体" w:cs="宋体"/>
                <w:color w:val="000000"/>
                <w:sz w:val="24"/>
              </w:rPr>
            </w:pP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7B779F">
            <w:pPr>
              <w:widowControl/>
              <w:jc w:val="center"/>
              <w:textAlignment w:val="center"/>
              <w:rPr>
                <w:rFonts w:ascii="宋体" w:cs="宋体"/>
                <w:color w:val="000000"/>
                <w:sz w:val="24"/>
              </w:rP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C16F57">
            <w:pPr>
              <w:widowControl/>
              <w:jc w:val="center"/>
              <w:textAlignment w:val="center"/>
              <w:rPr>
                <w:rFonts w:ascii="宋体" w:cs="宋体"/>
                <w:color w:val="000000"/>
                <w:sz w:val="24"/>
              </w:rPr>
            </w:pPr>
            <w:r>
              <w:rPr>
                <w:rFonts w:hint="eastAsia" w:ascii="宋体" w:cs="宋体"/>
                <w:color w:val="000000"/>
                <w:sz w:val="24"/>
                <w:lang w:val="en-US" w:eastAsia="zh-CN"/>
              </w:rPr>
              <w:t>2021年2月已完工</w:t>
            </w:r>
          </w:p>
        </w:tc>
      </w:tr>
      <w:tr w14:paraId="5EB63749">
        <w:tblPrEx>
          <w:tblCellMar>
            <w:top w:w="0" w:type="dxa"/>
            <w:left w:w="0" w:type="dxa"/>
            <w:bottom w:w="0" w:type="dxa"/>
            <w:right w:w="0" w:type="dxa"/>
          </w:tblCellMar>
        </w:tblPrEx>
        <w:trPr>
          <w:trHeight w:val="1082" w:hRule="atLeast"/>
          <w:jc w:val="center"/>
        </w:trPr>
        <w:tc>
          <w:tcPr>
            <w:tcW w:w="668" w:type="dxa"/>
            <w:vMerge w:val="continue"/>
            <w:tcBorders>
              <w:left w:val="single" w:color="000000" w:sz="4" w:space="0"/>
              <w:right w:val="single" w:color="000000" w:sz="4" w:space="0"/>
            </w:tcBorders>
            <w:tcMar>
              <w:top w:w="15" w:type="dxa"/>
              <w:left w:w="15" w:type="dxa"/>
              <w:right w:w="15" w:type="dxa"/>
            </w:tcMar>
            <w:vAlign w:val="center"/>
          </w:tcPr>
          <w:p w14:paraId="51B56E0E">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57646">
            <w:pPr>
              <w:widowControl/>
              <w:jc w:val="center"/>
              <w:textAlignment w:val="center"/>
              <w:rPr>
                <w:rFonts w:ascii="宋体" w:cs="宋体"/>
                <w:color w:val="000000"/>
                <w:kern w:val="0"/>
                <w:sz w:val="24"/>
              </w:rPr>
            </w:pPr>
            <w:r>
              <w:rPr>
                <w:rFonts w:hint="eastAsia" w:ascii="宋体" w:hAnsi="宋体" w:cs="宋体"/>
                <w:color w:val="000000"/>
                <w:kern w:val="0"/>
                <w:sz w:val="24"/>
              </w:rPr>
              <w:t>满意度指标</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35B212">
            <w:pPr>
              <w:widowControl/>
              <w:jc w:val="center"/>
              <w:textAlignment w:val="center"/>
              <w:rPr>
                <w:rFonts w:hint="eastAsia" w:ascii="宋体" w:eastAsia="宋体" w:cs="宋体"/>
                <w:color w:val="000000"/>
                <w:sz w:val="24"/>
                <w:lang w:eastAsia="zh-CN"/>
              </w:rPr>
            </w:pPr>
            <w:r>
              <w:rPr>
                <w:rFonts w:hint="eastAsia" w:ascii="宋体" w:cs="宋体"/>
                <w:color w:val="000000"/>
                <w:sz w:val="24"/>
                <w:lang w:eastAsia="zh-CN"/>
              </w:rPr>
              <w:t>满意度指标</w:t>
            </w: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D755CC">
            <w:pPr>
              <w:pStyle w:val="8"/>
              <w:bidi w:val="0"/>
              <w:rPr>
                <w:rFonts w:ascii="宋体" w:cs="宋体"/>
                <w:color w:val="000000"/>
              </w:rPr>
            </w:pPr>
            <w:r>
              <w:rPr>
                <w:rFonts w:hint="eastAsia"/>
                <w:lang w:eastAsia="zh-CN"/>
              </w:rPr>
              <w:t>预期达到满意</w:t>
            </w: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BF63B8">
            <w:pPr>
              <w:widowControl/>
              <w:jc w:val="center"/>
              <w:textAlignment w:val="center"/>
              <w:rPr>
                <w:rFonts w:ascii="宋体" w:cs="宋体"/>
                <w:color w:val="000000"/>
                <w:sz w:val="24"/>
              </w:rPr>
            </w:pPr>
            <w:r>
              <w:rPr>
                <w:rFonts w:hint="eastAsia" w:ascii="宋体" w:cs="宋体"/>
                <w:color w:val="000000"/>
                <w:sz w:val="24"/>
                <w:lang w:eastAsia="zh-CN"/>
              </w:rPr>
              <w:t>完成</w:t>
            </w:r>
            <w:r>
              <w:rPr>
                <w:rFonts w:hint="eastAsia" w:ascii="宋体" w:cs="宋体"/>
                <w:color w:val="000000"/>
                <w:sz w:val="24"/>
                <w:lang w:val="en-US" w:eastAsia="zh-CN"/>
              </w:rPr>
              <w:t>100%</w:t>
            </w: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FE4B35">
            <w:pPr>
              <w:widowControl/>
              <w:jc w:val="center"/>
              <w:textAlignment w:val="center"/>
              <w:rPr>
                <w:rFonts w:ascii="宋体" w:cs="宋体"/>
                <w:color w:val="000000"/>
                <w:sz w:val="24"/>
              </w:rPr>
            </w:pPr>
            <w:r>
              <w:rPr>
                <w:rFonts w:hint="eastAsia" w:ascii="宋体" w:cs="宋体"/>
                <w:color w:val="000000"/>
                <w:sz w:val="24"/>
                <w:lang w:val="en-US" w:eastAsia="zh-CN"/>
              </w:rPr>
              <w:t>2021年2月已完工</w:t>
            </w:r>
          </w:p>
        </w:tc>
      </w:tr>
      <w:tr w14:paraId="067C2D06">
        <w:tblPrEx>
          <w:tblCellMar>
            <w:top w:w="0" w:type="dxa"/>
            <w:left w:w="0" w:type="dxa"/>
            <w:bottom w:w="0" w:type="dxa"/>
            <w:right w:w="0" w:type="dxa"/>
          </w:tblCellMar>
        </w:tblPrEx>
        <w:trPr>
          <w:trHeight w:val="1050" w:hRule="atLeast"/>
          <w:jc w:val="center"/>
        </w:trPr>
        <w:tc>
          <w:tcPr>
            <w:tcW w:w="668"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83A11A2">
            <w:pPr>
              <w:widowControl/>
              <w:jc w:val="center"/>
              <w:textAlignment w:val="center"/>
              <w:rPr>
                <w:rFonts w:ascii="宋体" w:cs="宋体"/>
                <w:color w:val="000000"/>
                <w:sz w:val="24"/>
              </w:rPr>
            </w:pPr>
          </w:p>
        </w:tc>
        <w:tc>
          <w:tcPr>
            <w:tcW w:w="63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7A4215">
            <w:pPr>
              <w:widowControl/>
              <w:jc w:val="both"/>
              <w:textAlignment w:val="center"/>
              <w:rPr>
                <w:rFonts w:ascii="宋体" w:cs="宋体"/>
                <w:color w:val="000000"/>
                <w:sz w:val="24"/>
              </w:rPr>
            </w:pP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FF2E12">
            <w:pPr>
              <w:widowControl/>
              <w:jc w:val="center"/>
              <w:textAlignment w:val="center"/>
              <w:rPr>
                <w:rFonts w:ascii="宋体" w:cs="宋体"/>
                <w:color w:val="000000"/>
                <w:sz w:val="24"/>
              </w:rPr>
            </w:pPr>
          </w:p>
        </w:tc>
        <w:tc>
          <w:tcPr>
            <w:tcW w:w="52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21B327">
            <w:pPr>
              <w:widowControl/>
              <w:jc w:val="center"/>
              <w:textAlignment w:val="center"/>
              <w:rPr>
                <w:rFonts w:ascii="宋体" w:cs="宋体"/>
                <w:color w:val="000000"/>
                <w:sz w:val="24"/>
              </w:rPr>
            </w:pPr>
          </w:p>
        </w:tc>
        <w:tc>
          <w:tcPr>
            <w:tcW w:w="100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BBCA70">
            <w:pPr>
              <w:widowControl/>
              <w:jc w:val="center"/>
              <w:textAlignment w:val="center"/>
              <w:rPr>
                <w:rFonts w:ascii="宋体" w:cs="宋体"/>
                <w:color w:val="000000"/>
                <w:sz w:val="24"/>
              </w:rPr>
            </w:pPr>
          </w:p>
        </w:tc>
        <w:tc>
          <w:tcPr>
            <w:tcW w:w="135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EFC284">
            <w:pPr>
              <w:widowControl/>
              <w:jc w:val="center"/>
              <w:textAlignment w:val="center"/>
              <w:rPr>
                <w:rFonts w:ascii="宋体" w:cs="宋体"/>
                <w:color w:val="000000"/>
                <w:sz w:val="24"/>
              </w:rPr>
            </w:pPr>
          </w:p>
        </w:tc>
      </w:tr>
    </w:tbl>
    <w:p w14:paraId="49AA1A4E">
      <w:pPr>
        <w:spacing w:line="580" w:lineRule="exact"/>
        <w:rPr>
          <w:rFonts w:ascii="仿宋_GB2312" w:hAnsi="仿宋_GB2312" w:eastAsia="仿宋_GB2312" w:cs="仿宋_GB2312"/>
          <w:sz w:val="32"/>
          <w:szCs w:val="32"/>
        </w:rPr>
      </w:pPr>
    </w:p>
    <w:p w14:paraId="1545F566">
      <w:pPr>
        <w:spacing w:line="580" w:lineRule="exact"/>
        <w:ind w:left="630"/>
        <w:rPr>
          <w:rFonts w:ascii="仿宋_GB2312" w:hAnsi="仿宋_GB2312" w:eastAsia="仿宋_GB2312" w:cs="仿宋_GB2312"/>
          <w:sz w:val="32"/>
          <w:szCs w:val="32"/>
        </w:rPr>
      </w:pPr>
    </w:p>
    <w:p w14:paraId="319DBCBA">
      <w:pPr>
        <w:spacing w:line="580" w:lineRule="exact"/>
        <w:ind w:left="630"/>
        <w:rPr>
          <w:rFonts w:ascii="仿宋_GB2312" w:hAnsi="仿宋_GB2312" w:eastAsia="仿宋_GB2312" w:cs="仿宋_GB2312"/>
          <w:sz w:val="32"/>
          <w:szCs w:val="32"/>
        </w:rPr>
      </w:pPr>
      <w:r>
        <w:rPr>
          <w:rFonts w:ascii="楷体_GB2312" w:hAnsi="楷体_GB2312" w:eastAsia="楷体_GB2312" w:cs="楷体_GB2312"/>
          <w:sz w:val="32"/>
          <w:szCs w:val="32"/>
        </w:rPr>
        <w:t>2.</w:t>
      </w:r>
      <w:r>
        <w:rPr>
          <w:rFonts w:hint="eastAsia" w:ascii="楷体_GB2312" w:hAnsi="楷体_GB2312" w:eastAsia="楷体_GB2312" w:cs="楷体_GB2312"/>
          <w:sz w:val="32"/>
          <w:szCs w:val="32"/>
        </w:rPr>
        <w:t>部门绩效评价结果。</w:t>
      </w:r>
    </w:p>
    <w:p w14:paraId="2F0BDBD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1年部门整体支出绩效评价情况开展自评，《</w:t>
      </w:r>
      <w:r>
        <w:rPr>
          <w:rFonts w:hint="eastAsia" w:ascii="仿宋_GB2312" w:hAnsi="仿宋_GB2312" w:eastAsia="仿宋_GB2312" w:cs="仿宋_GB2312"/>
          <w:sz w:val="32"/>
          <w:szCs w:val="32"/>
          <w:lang w:eastAsia="zh-CN"/>
        </w:rPr>
        <w:t>松潘县发展和改革局</w:t>
      </w:r>
      <w:r>
        <w:rPr>
          <w:rFonts w:hint="eastAsia" w:ascii="仿宋_GB2312" w:hAnsi="仿宋_GB2312" w:eastAsia="仿宋_GB2312" w:cs="仿宋_GB2312"/>
          <w:sz w:val="32"/>
          <w:szCs w:val="32"/>
        </w:rPr>
        <w:t>部门</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1年部门整体支出绩效评价报告》见附件（附件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w:t>
      </w:r>
    </w:p>
    <w:p w14:paraId="5C532DF5">
      <w:pPr>
        <w:spacing w:line="580" w:lineRule="exact"/>
        <w:ind w:firstLine="640" w:firstLineChars="200"/>
        <w:rPr>
          <w:rFonts w:ascii="仿宋_GB2312" w:eastAsia="仿宋_GB2312"/>
          <w:b/>
          <w:color w:val="000000"/>
          <w:sz w:val="32"/>
          <w:szCs w:val="32"/>
        </w:rPr>
      </w:pPr>
      <w:r>
        <w:rPr>
          <w:rFonts w:hint="eastAsia" w:ascii="仿宋_GB2312" w:hAnsi="仿宋_GB2312" w:eastAsia="仿宋_GB2312" w:cs="仿宋_GB2312"/>
          <w:sz w:val="32"/>
          <w:szCs w:val="32"/>
        </w:rPr>
        <w:t>本部门自行组织对</w:t>
      </w:r>
      <w:r>
        <w:rPr>
          <w:rFonts w:hint="eastAsia" w:ascii="仿宋_GB2312" w:hAnsi="仿宋_GB2312" w:eastAsia="仿宋_GB2312" w:cs="仿宋_GB2312"/>
          <w:sz w:val="32"/>
          <w:szCs w:val="32"/>
          <w:lang w:eastAsia="zh-CN"/>
        </w:rPr>
        <w:t>十四五编制服务</w:t>
      </w:r>
      <w:r>
        <w:rPr>
          <w:rFonts w:hint="eastAsia" w:ascii="仿宋_GB2312" w:hAnsi="仿宋_GB2312" w:eastAsia="仿宋_GB2312" w:cs="仿宋_GB2312"/>
          <w:sz w:val="32"/>
          <w:szCs w:val="32"/>
        </w:rPr>
        <w:t>项目开展了绩效评价，《</w:t>
      </w:r>
      <w:r>
        <w:rPr>
          <w:rFonts w:hint="eastAsia" w:ascii="仿宋_GB2312" w:hAnsi="仿宋_GB2312" w:eastAsia="仿宋_GB2312" w:cs="仿宋_GB2312"/>
          <w:sz w:val="32"/>
          <w:szCs w:val="32"/>
          <w:lang w:eastAsia="zh-CN"/>
        </w:rPr>
        <w:t>十四五编制服务</w:t>
      </w:r>
      <w:r>
        <w:rPr>
          <w:rFonts w:hint="eastAsia" w:ascii="仿宋_GB2312" w:hAnsi="仿宋_GB2312" w:eastAsia="仿宋_GB2312" w:cs="仿宋_GB2312"/>
          <w:sz w:val="32"/>
          <w:szCs w:val="32"/>
        </w:rPr>
        <w:t>项目</w:t>
      </w:r>
      <w:r>
        <w:rPr>
          <w:rFonts w:ascii="仿宋_GB2312" w:hAnsi="仿宋_GB2312" w:eastAsia="仿宋_GB2312" w:cs="仿宋_GB2312"/>
          <w:sz w:val="32"/>
          <w:szCs w:val="32"/>
        </w:rPr>
        <w:t>202</w:t>
      </w:r>
      <w:r>
        <w:rPr>
          <w:rFonts w:hint="eastAsia" w:ascii="仿宋_GB2312" w:hAnsi="仿宋_GB2312" w:eastAsia="仿宋_GB2312" w:cs="仿宋_GB2312"/>
          <w:sz w:val="32"/>
          <w:szCs w:val="32"/>
        </w:rPr>
        <w:t>1年绩效评价报告》见附件（附件</w:t>
      </w:r>
      <w:r>
        <w:rPr>
          <w:rFonts w:ascii="仿宋_GB2312" w:hAnsi="仿宋_GB2312" w:eastAsia="仿宋_GB2312" w:cs="仿宋_GB2312"/>
          <w:sz w:val="32"/>
          <w:szCs w:val="32"/>
        </w:rPr>
        <w:t>2</w:t>
      </w:r>
      <w:r>
        <w:rPr>
          <w:rFonts w:hint="eastAsia" w:ascii="仿宋_GB2312" w:hAnsi="仿宋_GB2312" w:eastAsia="仿宋_GB2312" w:cs="仿宋_GB2312"/>
          <w:sz w:val="32"/>
          <w:szCs w:val="32"/>
        </w:rPr>
        <w:t>）。（非涉密部门均需公开部门整体支出评价报告，部门自行组织的绩效评价情况根据部门实际公开，若未组织项目绩效评价，则只需说明部门整体支出绩效评价情况）</w:t>
      </w:r>
    </w:p>
    <w:p w14:paraId="390FB5DB">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28BF8C1B">
      <w:pPr>
        <w:numPr>
          <w:ilvl w:val="0"/>
          <w:numId w:val="5"/>
        </w:numPr>
        <w:spacing w:line="600" w:lineRule="exact"/>
        <w:ind w:firstLine="660" w:firstLineChars="150"/>
        <w:jc w:val="center"/>
        <w:outlineLvl w:val="0"/>
        <w:rPr>
          <w:rStyle w:val="25"/>
          <w:rFonts w:ascii="黑体" w:hAnsi="黑体" w:eastAsia="黑体"/>
          <w:b w:val="0"/>
        </w:rPr>
      </w:pPr>
      <w:bookmarkStart w:id="102" w:name="_Toc15396613"/>
      <w:bookmarkStart w:id="103" w:name="_Toc79163629"/>
      <w:bookmarkStart w:id="104" w:name="_Toc15377225"/>
      <w:bookmarkStart w:id="105" w:name="_Toc79163879"/>
      <w:r>
        <w:rPr>
          <w:rFonts w:hint="eastAsia" w:ascii="黑体" w:hAnsi="黑体" w:eastAsia="黑体"/>
          <w:color w:val="000000"/>
          <w:sz w:val="44"/>
          <w:szCs w:val="44"/>
        </w:rPr>
        <w:t>名</w:t>
      </w:r>
      <w:r>
        <w:rPr>
          <w:rStyle w:val="25"/>
          <w:rFonts w:hint="eastAsia" w:ascii="黑体" w:hAnsi="黑体" w:eastAsia="黑体"/>
          <w:b w:val="0"/>
        </w:rPr>
        <w:t>词解释</w:t>
      </w:r>
      <w:bookmarkEnd w:id="102"/>
      <w:bookmarkEnd w:id="103"/>
      <w:bookmarkEnd w:id="104"/>
      <w:bookmarkEnd w:id="105"/>
    </w:p>
    <w:p w14:paraId="49C1CE96">
      <w:pPr>
        <w:spacing w:line="600" w:lineRule="exact"/>
        <w:jc w:val="left"/>
        <w:rPr>
          <w:rFonts w:ascii="宋体"/>
          <w:b/>
          <w:color w:val="000000"/>
          <w:sz w:val="44"/>
          <w:szCs w:val="44"/>
        </w:rPr>
      </w:pPr>
    </w:p>
    <w:p w14:paraId="6E33A7B8">
      <w:pPr>
        <w:pStyle w:val="35"/>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4F4D3BF9">
      <w:pPr>
        <w:pStyle w:val="35"/>
        <w:spacing w:line="56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事业收入：指事业单位开展专业业务活动及辅助活动取得的收入。如…（二级预算单位事业收入情况）等。</w:t>
      </w:r>
    </w:p>
    <w:p w14:paraId="64A170CC">
      <w:pPr>
        <w:pStyle w:val="35"/>
        <w:spacing w:line="560" w:lineRule="exact"/>
        <w:ind w:firstLine="640" w:firstLineChars="200"/>
        <w:rPr>
          <w:rFonts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经营收入：指事业单位在专业业务活动及其辅助活动之外开展非独立核算经营活动取得的收入。如…（二级预算单位经营收入情况）等。</w:t>
      </w:r>
    </w:p>
    <w:p w14:paraId="178D5643">
      <w:pPr>
        <w:pStyle w:val="35"/>
        <w:spacing w:line="560" w:lineRule="exact"/>
        <w:ind w:firstLine="640" w:firstLineChars="200"/>
        <w:rPr>
          <w:rFonts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其他收入：指单位取得的除上述收入以外的各项收入。主要是…（收入类型）等。</w:t>
      </w:r>
      <w:r>
        <w:rPr>
          <w:rFonts w:ascii="仿宋_GB2312" w:eastAsia="仿宋_GB2312"/>
          <w:sz w:val="32"/>
          <w:szCs w:val="32"/>
        </w:rPr>
        <w:t xml:space="preserve"> </w:t>
      </w:r>
    </w:p>
    <w:p w14:paraId="6639A439">
      <w:pPr>
        <w:pStyle w:val="35"/>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使用非财政拨款结余：指事业单位使用以前年度积累的非财政拨款结余弥补当年收支差额的金额。</w:t>
      </w:r>
      <w:r>
        <w:rPr>
          <w:rFonts w:ascii="仿宋_GB2312" w:eastAsia="仿宋_GB2312"/>
          <w:sz w:val="32"/>
          <w:szCs w:val="32"/>
        </w:rPr>
        <w:t xml:space="preserve"> </w:t>
      </w:r>
    </w:p>
    <w:p w14:paraId="0177E819">
      <w:pPr>
        <w:pStyle w:val="35"/>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0245470E">
      <w:pPr>
        <w:pStyle w:val="35"/>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结余分配：指事业单位按照会计制度规定缴纳的所得税、提取的专用结余以及转入非财政拨款结余的金额等。</w:t>
      </w:r>
    </w:p>
    <w:p w14:paraId="0F5A8817">
      <w:pPr>
        <w:pStyle w:val="35"/>
        <w:spacing w:line="560" w:lineRule="exact"/>
        <w:ind w:firstLine="640" w:firstLineChars="200"/>
        <w:rPr>
          <w:rFonts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14:paraId="4D497E8D">
      <w:pPr>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rPr>
        <w:t>一般公共服务（类）…（款）…（项）：指……。</w:t>
      </w:r>
    </w:p>
    <w:p w14:paraId="5AED2C93">
      <w:pPr>
        <w:ind w:firstLine="640" w:firstLineChars="200"/>
        <w:rPr>
          <w:rFonts w:ascii="仿宋_GB2312" w:eastAsia="仿宋_GB2312"/>
          <w:color w:val="000000"/>
          <w:sz w:val="32"/>
          <w:szCs w:val="32"/>
        </w:rPr>
      </w:pPr>
      <w:r>
        <w:rPr>
          <w:rFonts w:ascii="仿宋_GB2312" w:eastAsia="仿宋_GB2312"/>
          <w:color w:val="000000"/>
          <w:sz w:val="32"/>
          <w:szCs w:val="32"/>
        </w:rPr>
        <w:t>10.</w:t>
      </w:r>
      <w:r>
        <w:rPr>
          <w:rFonts w:hint="eastAsia" w:ascii="仿宋_GB2312" w:eastAsia="仿宋_GB2312"/>
          <w:color w:val="000000"/>
          <w:sz w:val="32"/>
          <w:szCs w:val="32"/>
        </w:rPr>
        <w:t>外交（类）…（款）…（项）：指……。</w:t>
      </w:r>
    </w:p>
    <w:p w14:paraId="66E87BA5">
      <w:pPr>
        <w:ind w:firstLine="640" w:firstLineChars="200"/>
        <w:rPr>
          <w:rFonts w:ascii="仿宋_GB2312" w:eastAsia="仿宋_GB2312"/>
          <w:color w:val="000000"/>
          <w:sz w:val="32"/>
          <w:szCs w:val="32"/>
        </w:rPr>
      </w:pPr>
      <w:r>
        <w:rPr>
          <w:rFonts w:ascii="仿宋_GB2312" w:eastAsia="仿宋_GB2312"/>
          <w:color w:val="000000"/>
          <w:sz w:val="32"/>
          <w:szCs w:val="32"/>
        </w:rPr>
        <w:t>11.</w:t>
      </w:r>
      <w:r>
        <w:rPr>
          <w:rFonts w:hint="eastAsia" w:ascii="仿宋_GB2312" w:eastAsia="仿宋_GB2312"/>
          <w:color w:val="000000"/>
          <w:sz w:val="32"/>
          <w:szCs w:val="32"/>
        </w:rPr>
        <w:t>公共安全（类）…（款）…（项）：指……。</w:t>
      </w:r>
    </w:p>
    <w:p w14:paraId="6B1A234C">
      <w:pPr>
        <w:ind w:firstLine="640" w:firstLineChars="200"/>
        <w:rPr>
          <w:rFonts w:ascii="仿宋_GB2312" w:eastAsia="仿宋_GB2312"/>
          <w:color w:val="000000"/>
          <w:sz w:val="32"/>
          <w:szCs w:val="32"/>
        </w:rPr>
      </w:pPr>
      <w:r>
        <w:rPr>
          <w:rFonts w:ascii="仿宋_GB2312" w:eastAsia="仿宋_GB2312"/>
          <w:color w:val="000000"/>
          <w:sz w:val="32"/>
          <w:szCs w:val="32"/>
        </w:rPr>
        <w:t>12.</w:t>
      </w:r>
      <w:r>
        <w:rPr>
          <w:rFonts w:hint="eastAsia" w:ascii="仿宋_GB2312" w:eastAsia="仿宋_GB2312"/>
          <w:color w:val="000000"/>
          <w:sz w:val="32"/>
          <w:szCs w:val="32"/>
        </w:rPr>
        <w:t>教育（类）…（款）…（项）：指……。</w:t>
      </w:r>
    </w:p>
    <w:p w14:paraId="44A9F92E">
      <w:pPr>
        <w:ind w:firstLine="640" w:firstLineChars="200"/>
        <w:rPr>
          <w:rFonts w:ascii="仿宋_GB2312" w:eastAsia="仿宋_GB2312"/>
          <w:color w:val="000000"/>
          <w:sz w:val="32"/>
          <w:szCs w:val="32"/>
        </w:rPr>
      </w:pPr>
      <w:r>
        <w:rPr>
          <w:rFonts w:ascii="仿宋_GB2312" w:eastAsia="仿宋_GB2312"/>
          <w:color w:val="000000"/>
          <w:sz w:val="32"/>
          <w:szCs w:val="32"/>
        </w:rPr>
        <w:t>13.</w:t>
      </w:r>
      <w:r>
        <w:rPr>
          <w:rFonts w:hint="eastAsia" w:ascii="仿宋_GB2312" w:eastAsia="仿宋_GB2312"/>
          <w:color w:val="000000"/>
          <w:sz w:val="32"/>
          <w:szCs w:val="32"/>
        </w:rPr>
        <w:t>科学技术（类）…（款）…（项）：指……。</w:t>
      </w:r>
    </w:p>
    <w:p w14:paraId="5C757A32">
      <w:pPr>
        <w:ind w:firstLine="640" w:firstLineChars="200"/>
        <w:rPr>
          <w:rFonts w:ascii="仿宋_GB2312" w:eastAsia="仿宋_GB2312"/>
          <w:color w:val="000000"/>
          <w:sz w:val="32"/>
          <w:szCs w:val="32"/>
        </w:rPr>
      </w:pPr>
      <w:r>
        <w:rPr>
          <w:rFonts w:ascii="仿宋_GB2312" w:eastAsia="仿宋_GB2312"/>
          <w:color w:val="000000"/>
          <w:sz w:val="32"/>
          <w:szCs w:val="32"/>
        </w:rPr>
        <w:t>14.</w:t>
      </w:r>
      <w:r>
        <w:rPr>
          <w:rFonts w:hint="eastAsia" w:ascii="仿宋_GB2312" w:eastAsia="仿宋_GB2312"/>
          <w:color w:val="000000"/>
          <w:sz w:val="32"/>
          <w:szCs w:val="32"/>
        </w:rPr>
        <w:t>文化体育与传媒（类）…（款）…（项）：指……。</w:t>
      </w:r>
    </w:p>
    <w:p w14:paraId="6CDA1964">
      <w:pPr>
        <w:ind w:firstLine="640" w:firstLineChars="200"/>
        <w:rPr>
          <w:rFonts w:ascii="仿宋_GB2312" w:eastAsia="仿宋_GB2312"/>
          <w:color w:val="000000"/>
          <w:sz w:val="32"/>
          <w:szCs w:val="32"/>
        </w:rPr>
      </w:pPr>
      <w:r>
        <w:rPr>
          <w:rFonts w:ascii="仿宋_GB2312" w:eastAsia="仿宋_GB2312"/>
          <w:color w:val="000000"/>
          <w:sz w:val="32"/>
          <w:szCs w:val="32"/>
        </w:rPr>
        <w:t>15.</w:t>
      </w:r>
      <w:r>
        <w:rPr>
          <w:rFonts w:hint="eastAsia" w:ascii="仿宋_GB2312" w:eastAsia="仿宋_GB2312"/>
          <w:color w:val="000000"/>
          <w:sz w:val="32"/>
          <w:szCs w:val="32"/>
        </w:rPr>
        <w:t>社会保障和就业（类）…（款）…（项）：指……。</w:t>
      </w:r>
    </w:p>
    <w:p w14:paraId="4233E616">
      <w:pPr>
        <w:ind w:firstLine="640" w:firstLineChars="200"/>
        <w:rPr>
          <w:rFonts w:ascii="仿宋_GB2312" w:eastAsia="仿宋_GB2312"/>
          <w:color w:val="000000"/>
          <w:sz w:val="32"/>
          <w:szCs w:val="32"/>
        </w:rPr>
      </w:pPr>
      <w:r>
        <w:rPr>
          <w:rFonts w:ascii="仿宋_GB2312" w:eastAsia="仿宋_GB2312"/>
          <w:color w:val="000000"/>
          <w:sz w:val="32"/>
          <w:szCs w:val="32"/>
        </w:rPr>
        <w:t>16.</w:t>
      </w:r>
      <w:r>
        <w:rPr>
          <w:rFonts w:hint="eastAsia" w:ascii="仿宋_GB2312" w:eastAsia="仿宋_GB2312"/>
          <w:color w:val="000000"/>
          <w:sz w:val="32"/>
          <w:szCs w:val="32"/>
        </w:rPr>
        <w:t>医疗卫生与计划生育（类）…（款）…（项）：指……。</w:t>
      </w:r>
    </w:p>
    <w:p w14:paraId="7F90BEF1">
      <w:pPr>
        <w:ind w:firstLine="640" w:firstLineChars="200"/>
        <w:rPr>
          <w:rFonts w:ascii="仿宋_GB2312" w:eastAsia="仿宋_GB2312"/>
          <w:color w:val="000000"/>
          <w:sz w:val="32"/>
          <w:szCs w:val="32"/>
        </w:rPr>
      </w:pPr>
      <w:r>
        <w:rPr>
          <w:rFonts w:ascii="仿宋_GB2312" w:eastAsia="仿宋_GB2312"/>
          <w:color w:val="000000"/>
          <w:sz w:val="32"/>
          <w:szCs w:val="32"/>
        </w:rPr>
        <w:t>17.</w:t>
      </w:r>
      <w:r>
        <w:rPr>
          <w:rFonts w:hint="eastAsia" w:ascii="仿宋_GB2312" w:eastAsia="仿宋_GB2312"/>
          <w:color w:val="000000"/>
          <w:sz w:val="32"/>
          <w:szCs w:val="32"/>
        </w:rPr>
        <w:t>节能环保（类）…（款）…（项）：指……。</w:t>
      </w:r>
    </w:p>
    <w:p w14:paraId="4A480E1C">
      <w:pPr>
        <w:ind w:firstLine="640" w:firstLineChars="200"/>
        <w:rPr>
          <w:rFonts w:ascii="仿宋_GB2312" w:eastAsia="仿宋_GB2312"/>
          <w:color w:val="000000"/>
          <w:sz w:val="32"/>
          <w:szCs w:val="32"/>
        </w:rPr>
      </w:pPr>
      <w:r>
        <w:rPr>
          <w:rFonts w:ascii="仿宋_GB2312" w:eastAsia="仿宋_GB2312"/>
          <w:color w:val="000000"/>
          <w:sz w:val="32"/>
          <w:szCs w:val="32"/>
        </w:rPr>
        <w:t>18.</w:t>
      </w:r>
      <w:r>
        <w:rPr>
          <w:rFonts w:hint="eastAsia" w:ascii="仿宋_GB2312" w:eastAsia="仿宋_GB2312"/>
          <w:color w:val="000000"/>
          <w:sz w:val="32"/>
          <w:szCs w:val="32"/>
        </w:rPr>
        <w:t>城乡社区（类）…（款）…（项）：指……。</w:t>
      </w:r>
    </w:p>
    <w:p w14:paraId="165084CD">
      <w:pPr>
        <w:ind w:firstLine="640" w:firstLineChars="200"/>
        <w:rPr>
          <w:rFonts w:ascii="仿宋_GB2312" w:eastAsia="仿宋_GB2312"/>
          <w:color w:val="000000"/>
          <w:sz w:val="32"/>
          <w:szCs w:val="32"/>
        </w:rPr>
      </w:pPr>
      <w:r>
        <w:rPr>
          <w:rFonts w:ascii="仿宋_GB2312" w:eastAsia="仿宋_GB2312"/>
          <w:color w:val="000000"/>
          <w:sz w:val="32"/>
          <w:szCs w:val="32"/>
        </w:rPr>
        <w:t>19.</w:t>
      </w:r>
      <w:r>
        <w:rPr>
          <w:rFonts w:hint="eastAsia" w:ascii="仿宋_GB2312" w:eastAsia="仿宋_GB2312"/>
          <w:color w:val="000000"/>
          <w:sz w:val="32"/>
          <w:szCs w:val="32"/>
        </w:rPr>
        <w:t>农林水（类）…（款）…（项）：指……。</w:t>
      </w:r>
    </w:p>
    <w:p w14:paraId="236B0C4D">
      <w:pPr>
        <w:ind w:firstLine="640" w:firstLineChars="20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交通运输（类）…（款）…（项）：指……。</w:t>
      </w:r>
    </w:p>
    <w:p w14:paraId="57836B8C">
      <w:pPr>
        <w:ind w:firstLine="640" w:firstLineChars="200"/>
        <w:rPr>
          <w:rFonts w:ascii="仿宋_GB2312" w:eastAsia="仿宋_GB2312"/>
          <w:color w:val="000000"/>
          <w:sz w:val="32"/>
          <w:szCs w:val="32"/>
        </w:rPr>
      </w:pPr>
      <w:r>
        <w:rPr>
          <w:rFonts w:ascii="仿宋_GB2312" w:eastAsia="仿宋_GB2312"/>
          <w:color w:val="000000"/>
          <w:sz w:val="32"/>
          <w:szCs w:val="32"/>
        </w:rPr>
        <w:t>21.</w:t>
      </w:r>
      <w:r>
        <w:rPr>
          <w:rFonts w:hint="eastAsia" w:ascii="仿宋_GB2312" w:eastAsia="仿宋_GB2312"/>
          <w:color w:val="000000"/>
          <w:sz w:val="32"/>
          <w:szCs w:val="32"/>
        </w:rPr>
        <w:t>资源勘探信息等（类）…（款）…（项）：指……。</w:t>
      </w:r>
    </w:p>
    <w:p w14:paraId="10E1E013">
      <w:pPr>
        <w:ind w:firstLine="640" w:firstLineChars="200"/>
        <w:rPr>
          <w:rFonts w:ascii="仿宋_GB2312" w:eastAsia="仿宋_GB2312"/>
          <w:color w:val="000000"/>
          <w:sz w:val="32"/>
          <w:szCs w:val="32"/>
        </w:rPr>
      </w:pPr>
      <w:r>
        <w:rPr>
          <w:rFonts w:ascii="仿宋_GB2312" w:eastAsia="仿宋_GB2312"/>
          <w:color w:val="000000"/>
          <w:sz w:val="32"/>
          <w:szCs w:val="32"/>
        </w:rPr>
        <w:t>22.</w:t>
      </w:r>
      <w:r>
        <w:rPr>
          <w:rFonts w:hint="eastAsia" w:ascii="仿宋_GB2312" w:eastAsia="仿宋_GB2312"/>
          <w:color w:val="000000"/>
          <w:sz w:val="32"/>
          <w:szCs w:val="32"/>
        </w:rPr>
        <w:t>商业服务业（类）…（款）…（项）：指……。</w:t>
      </w:r>
    </w:p>
    <w:p w14:paraId="7E29FF00">
      <w:pPr>
        <w:ind w:firstLine="640" w:firstLineChars="200"/>
        <w:rPr>
          <w:rFonts w:ascii="仿宋_GB2312" w:eastAsia="仿宋_GB2312"/>
          <w:color w:val="000000"/>
          <w:sz w:val="32"/>
          <w:szCs w:val="32"/>
        </w:rPr>
      </w:pPr>
      <w:r>
        <w:rPr>
          <w:rFonts w:ascii="仿宋_GB2312" w:eastAsia="仿宋_GB2312"/>
          <w:color w:val="000000"/>
          <w:sz w:val="32"/>
          <w:szCs w:val="32"/>
        </w:rPr>
        <w:t>23.</w:t>
      </w:r>
      <w:r>
        <w:rPr>
          <w:rFonts w:hint="eastAsia" w:ascii="仿宋_GB2312" w:eastAsia="仿宋_GB2312"/>
          <w:color w:val="000000"/>
          <w:sz w:val="32"/>
          <w:szCs w:val="32"/>
        </w:rPr>
        <w:t>金融（类）…（款）…（项）：指……。</w:t>
      </w:r>
    </w:p>
    <w:p w14:paraId="22A8476F">
      <w:pPr>
        <w:ind w:firstLine="640" w:firstLineChars="200"/>
        <w:rPr>
          <w:rFonts w:ascii="仿宋_GB2312" w:eastAsia="仿宋_GB2312"/>
          <w:color w:val="000000"/>
          <w:sz w:val="32"/>
          <w:szCs w:val="32"/>
        </w:rPr>
      </w:pPr>
      <w:r>
        <w:rPr>
          <w:rFonts w:ascii="仿宋_GB2312" w:eastAsia="仿宋_GB2312"/>
          <w:color w:val="000000"/>
          <w:sz w:val="32"/>
          <w:szCs w:val="32"/>
        </w:rPr>
        <w:t>24.</w:t>
      </w:r>
      <w:r>
        <w:rPr>
          <w:rFonts w:hint="eastAsia" w:ascii="仿宋_GB2312" w:eastAsia="仿宋_GB2312"/>
          <w:color w:val="000000"/>
          <w:sz w:val="32"/>
          <w:szCs w:val="32"/>
        </w:rPr>
        <w:t>国土海洋气象等（类）…（款）…（项）：指……。</w:t>
      </w:r>
    </w:p>
    <w:p w14:paraId="1101953B">
      <w:pPr>
        <w:ind w:firstLine="640" w:firstLineChars="200"/>
        <w:rPr>
          <w:rFonts w:ascii="仿宋_GB2312" w:eastAsia="仿宋_GB2312"/>
          <w:color w:val="000000"/>
          <w:sz w:val="32"/>
          <w:szCs w:val="32"/>
        </w:rPr>
      </w:pPr>
      <w:r>
        <w:rPr>
          <w:rFonts w:ascii="仿宋_GB2312" w:eastAsia="仿宋_GB2312"/>
          <w:color w:val="000000"/>
          <w:sz w:val="32"/>
          <w:szCs w:val="32"/>
        </w:rPr>
        <w:t>25.</w:t>
      </w:r>
      <w:r>
        <w:rPr>
          <w:rFonts w:hint="eastAsia" w:ascii="仿宋_GB2312" w:eastAsia="仿宋_GB2312"/>
          <w:color w:val="000000"/>
          <w:sz w:val="32"/>
          <w:szCs w:val="32"/>
        </w:rPr>
        <w:t>住房保障（类）…（款）…（项）：指……。</w:t>
      </w:r>
    </w:p>
    <w:p w14:paraId="71B258C7">
      <w:pPr>
        <w:ind w:firstLine="640" w:firstLineChars="200"/>
        <w:rPr>
          <w:rFonts w:ascii="仿宋_GB2312" w:eastAsia="仿宋_GB2312"/>
          <w:color w:val="000000"/>
          <w:sz w:val="32"/>
          <w:szCs w:val="32"/>
        </w:rPr>
      </w:pPr>
      <w:r>
        <w:rPr>
          <w:rFonts w:ascii="仿宋_GB2312" w:eastAsia="仿宋_GB2312"/>
          <w:color w:val="000000"/>
          <w:sz w:val="32"/>
          <w:szCs w:val="32"/>
        </w:rPr>
        <w:t>26.</w:t>
      </w:r>
      <w:r>
        <w:rPr>
          <w:rFonts w:hint="eastAsia" w:ascii="仿宋_GB2312" w:eastAsia="仿宋_GB2312"/>
          <w:color w:val="000000"/>
          <w:sz w:val="32"/>
          <w:szCs w:val="32"/>
        </w:rPr>
        <w:t>粮油物资储备（类）…（款）…（项）：指……。</w:t>
      </w:r>
    </w:p>
    <w:p w14:paraId="155BB376">
      <w:pPr>
        <w:ind w:firstLine="640" w:firstLineChars="200"/>
        <w:rPr>
          <w:rFonts w:ascii="仿宋_GB2312" w:eastAsia="仿宋_GB2312"/>
          <w:color w:val="000000"/>
          <w:sz w:val="32"/>
          <w:szCs w:val="32"/>
        </w:rPr>
      </w:pPr>
      <w:r>
        <w:rPr>
          <w:rFonts w:hint="eastAsia" w:ascii="仿宋_GB2312" w:eastAsia="仿宋_GB2312"/>
          <w:color w:val="000000"/>
          <w:sz w:val="32"/>
          <w:szCs w:val="32"/>
        </w:rPr>
        <w:t>……</w:t>
      </w:r>
    </w:p>
    <w:p w14:paraId="362F550B">
      <w:pPr>
        <w:ind w:firstLine="640" w:firstLineChars="200"/>
        <w:rPr>
          <w:rFonts w:ascii="仿宋_GB2312" w:eastAsia="仿宋_GB2312"/>
          <w:color w:val="000000"/>
          <w:sz w:val="32"/>
          <w:szCs w:val="32"/>
        </w:rPr>
      </w:pPr>
      <w:r>
        <w:rPr>
          <w:rFonts w:hint="eastAsia" w:ascii="仿宋_GB2312" w:eastAsia="仿宋_GB2312"/>
          <w:color w:val="000000"/>
          <w:sz w:val="32"/>
          <w:szCs w:val="32"/>
        </w:rPr>
        <w:t>……</w:t>
      </w:r>
    </w:p>
    <w:p w14:paraId="27D9B276">
      <w:pPr>
        <w:ind w:firstLine="640" w:firstLineChars="200"/>
        <w:rPr>
          <w:rFonts w:ascii="仿宋_GB2312" w:eastAsia="仿宋_GB2312"/>
          <w:color w:val="000000"/>
          <w:sz w:val="32"/>
          <w:szCs w:val="32"/>
        </w:rPr>
      </w:pPr>
      <w:r>
        <w:rPr>
          <w:rFonts w:hint="eastAsia" w:ascii="仿宋_GB2312" w:eastAsia="仿宋_GB2312"/>
          <w:color w:val="000000"/>
          <w:sz w:val="32"/>
          <w:szCs w:val="32"/>
        </w:rPr>
        <w:t>……</w:t>
      </w:r>
    </w:p>
    <w:p w14:paraId="300219A1">
      <w:pPr>
        <w:spacing w:line="600" w:lineRule="exact"/>
        <w:ind w:firstLine="640"/>
        <w:rPr>
          <w:rFonts w:ascii="仿宋" w:hAnsi="仿宋" w:eastAsia="仿宋"/>
          <w:b/>
          <w:color w:val="000000"/>
          <w:sz w:val="32"/>
          <w:szCs w:val="32"/>
        </w:rPr>
      </w:pPr>
      <w:r>
        <w:rPr>
          <w:rFonts w:hint="eastAsia" w:ascii="仿宋" w:hAnsi="仿宋" w:eastAsia="仿宋"/>
          <w:b/>
          <w:color w:val="000000"/>
          <w:sz w:val="32"/>
          <w:szCs w:val="32"/>
        </w:rPr>
        <w:t>（解释本部门决算报表中全部功能分类科目至项级，请参照《</w:t>
      </w:r>
      <w:r>
        <w:rPr>
          <w:rFonts w:ascii="仿宋" w:hAnsi="仿宋" w:eastAsia="仿宋"/>
          <w:b/>
          <w:color w:val="000000"/>
          <w:sz w:val="32"/>
          <w:szCs w:val="32"/>
        </w:rPr>
        <w:t>202</w:t>
      </w:r>
      <w:r>
        <w:rPr>
          <w:rFonts w:hint="eastAsia" w:ascii="仿宋" w:hAnsi="仿宋" w:eastAsia="仿宋"/>
          <w:b/>
          <w:color w:val="000000"/>
          <w:sz w:val="32"/>
          <w:szCs w:val="32"/>
          <w:lang w:val="en-US" w:eastAsia="zh-CN"/>
        </w:rPr>
        <w:t>1</w:t>
      </w:r>
      <w:r>
        <w:rPr>
          <w:rFonts w:hint="eastAsia" w:ascii="仿宋" w:hAnsi="仿宋" w:eastAsia="仿宋"/>
          <w:b/>
          <w:color w:val="000000"/>
          <w:sz w:val="32"/>
          <w:szCs w:val="32"/>
        </w:rPr>
        <w:t>年政府收支分类科目》增减内容。）</w:t>
      </w:r>
    </w:p>
    <w:p w14:paraId="4138CE0C">
      <w:pPr>
        <w:ind w:firstLine="640" w:firstLineChars="200"/>
        <w:rPr>
          <w:rFonts w:ascii="仿宋_GB2312" w:eastAsia="仿宋_GB2312"/>
          <w:color w:val="000000"/>
          <w:sz w:val="32"/>
          <w:szCs w:val="32"/>
        </w:rPr>
      </w:pPr>
      <w:r>
        <w:rPr>
          <w:rFonts w:ascii="仿宋_GB2312" w:eastAsia="仿宋_GB2312"/>
          <w:color w:val="000000"/>
          <w:sz w:val="32"/>
          <w:szCs w:val="32"/>
        </w:rPr>
        <w:t>27.</w:t>
      </w:r>
      <w:r>
        <w:rPr>
          <w:rFonts w:hint="eastAsia" w:ascii="仿宋_GB2312" w:eastAsia="仿宋_GB2312"/>
          <w:color w:val="000000"/>
          <w:sz w:val="32"/>
          <w:szCs w:val="32"/>
        </w:rPr>
        <w:t>基本支出：指为保障机构正常运转、完成日常工作任务而发生的人员支出和公用支出。</w:t>
      </w:r>
    </w:p>
    <w:p w14:paraId="32EB7D50">
      <w:pPr>
        <w:ind w:firstLine="640" w:firstLineChars="200"/>
        <w:rPr>
          <w:rFonts w:ascii="仿宋_GB2312" w:eastAsia="仿宋_GB2312"/>
          <w:color w:val="000000"/>
          <w:sz w:val="32"/>
          <w:szCs w:val="32"/>
        </w:rPr>
      </w:pPr>
      <w:r>
        <w:rPr>
          <w:rFonts w:ascii="仿宋_GB2312" w:eastAsia="仿宋_GB2312"/>
          <w:color w:val="000000"/>
          <w:sz w:val="32"/>
          <w:szCs w:val="32"/>
        </w:rPr>
        <w:t>28.</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6702572B">
      <w:pPr>
        <w:ind w:firstLine="640" w:firstLineChars="200"/>
        <w:rPr>
          <w:rFonts w:ascii="仿宋_GB2312" w:eastAsia="仿宋_GB2312"/>
          <w:color w:val="000000"/>
          <w:sz w:val="32"/>
          <w:szCs w:val="32"/>
        </w:rPr>
      </w:pPr>
      <w:r>
        <w:rPr>
          <w:rFonts w:ascii="仿宋_GB2312" w:eastAsia="仿宋_GB2312"/>
          <w:color w:val="000000"/>
          <w:sz w:val="32"/>
          <w:szCs w:val="32"/>
        </w:rPr>
        <w:t>29.</w:t>
      </w:r>
      <w:r>
        <w:rPr>
          <w:rFonts w:hint="eastAsia" w:ascii="仿宋_GB2312" w:eastAsia="仿宋_GB2312"/>
          <w:color w:val="000000"/>
          <w:sz w:val="32"/>
          <w:szCs w:val="32"/>
        </w:rPr>
        <w:t>经营支出：指事业单位在专业业务活动及其辅助活动之外开展非独立核算经营活动发生的支出。</w:t>
      </w:r>
    </w:p>
    <w:p w14:paraId="487B0445">
      <w:pPr>
        <w:pStyle w:val="35"/>
        <w:spacing w:line="560" w:lineRule="exact"/>
        <w:ind w:firstLine="640" w:firstLineChars="200"/>
        <w:rPr>
          <w:rFonts w:ascii="仿宋_GB2312" w:eastAsia="仿宋_GB2312"/>
          <w:sz w:val="32"/>
          <w:szCs w:val="32"/>
        </w:rPr>
      </w:pPr>
      <w:r>
        <w:rPr>
          <w:rFonts w:ascii="仿宋_GB2312" w:eastAsia="仿宋_GB2312"/>
          <w:sz w:val="32"/>
          <w:szCs w:val="32"/>
        </w:rPr>
        <w:t>30.</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076813D">
      <w:pPr>
        <w:pStyle w:val="35"/>
        <w:spacing w:line="560" w:lineRule="exact"/>
        <w:ind w:firstLine="640" w:firstLineChars="200"/>
        <w:rPr>
          <w:rFonts w:ascii="仿宋_GB2312" w:eastAsia="仿宋_GB2312"/>
          <w:sz w:val="32"/>
          <w:szCs w:val="32"/>
        </w:rPr>
      </w:pPr>
      <w:r>
        <w:rPr>
          <w:rFonts w:ascii="仿宋_GB2312" w:eastAsia="仿宋_GB2312"/>
          <w:sz w:val="32"/>
          <w:szCs w:val="32"/>
        </w:rPr>
        <w:t>31.</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7982ED">
      <w:pPr>
        <w:pStyle w:val="35"/>
        <w:spacing w:line="560" w:lineRule="exact"/>
        <w:ind w:firstLine="640" w:firstLineChars="200"/>
        <w:rPr>
          <w:rFonts w:ascii="仿宋_GB2312" w:eastAsia="仿宋_GB2312"/>
          <w:sz w:val="32"/>
          <w:szCs w:val="32"/>
        </w:rPr>
      </w:pPr>
      <w:r>
        <w:rPr>
          <w:rFonts w:ascii="仿宋_GB2312" w:eastAsia="仿宋_GB2312"/>
          <w:sz w:val="32"/>
          <w:szCs w:val="32"/>
        </w:rPr>
        <w:t>32.</w:t>
      </w:r>
      <w:r>
        <w:rPr>
          <w:rFonts w:hint="eastAsia" w:ascii="仿宋_GB2312" w:eastAsia="仿宋_GB2312"/>
          <w:sz w:val="32"/>
          <w:szCs w:val="32"/>
        </w:rPr>
        <w:t>……。</w:t>
      </w:r>
    </w:p>
    <w:p w14:paraId="33DE8B0F">
      <w:pPr>
        <w:pStyle w:val="35"/>
        <w:spacing w:line="560" w:lineRule="exact"/>
        <w:ind w:firstLine="640" w:firstLineChars="200"/>
        <w:rPr>
          <w:rFonts w:ascii="仿宋_GB2312" w:eastAsia="仿宋_GB2312" w:cs="黑体"/>
          <w:sz w:val="32"/>
          <w:szCs w:val="32"/>
        </w:rPr>
      </w:pPr>
    </w:p>
    <w:p w14:paraId="6D6B49F2">
      <w:pPr>
        <w:ind w:firstLine="643" w:firstLineChars="200"/>
        <w:rPr>
          <w:rFonts w:ascii="仿宋" w:hAnsi="仿宋" w:eastAsia="仿宋"/>
          <w:b/>
          <w:color w:val="000000"/>
          <w:sz w:val="32"/>
          <w:szCs w:val="32"/>
        </w:rPr>
      </w:pPr>
      <w:r>
        <w:rPr>
          <w:rFonts w:hint="eastAsia" w:ascii="仿宋" w:hAnsi="仿宋" w:eastAsia="仿宋"/>
          <w:b/>
          <w:color w:val="000000"/>
          <w:sz w:val="32"/>
          <w:szCs w:val="32"/>
        </w:rPr>
        <w:t>（名词解释部分请根据各部门实际列支情况罗列，并根据本部门职责职能增减名词解释内容。）</w:t>
      </w:r>
    </w:p>
    <w:p w14:paraId="1F9366F5">
      <w:pPr>
        <w:spacing w:line="600" w:lineRule="exact"/>
        <w:jc w:val="center"/>
        <w:outlineLvl w:val="0"/>
        <w:rPr>
          <w:rStyle w:val="25"/>
          <w:rFonts w:ascii="黑体" w:hAnsi="黑体" w:eastAsia="黑体"/>
          <w:b w:val="0"/>
        </w:rPr>
      </w:pPr>
      <w:bookmarkStart w:id="106" w:name="_Toc15377226"/>
      <w:r>
        <w:rPr>
          <w:rFonts w:ascii="宋体"/>
          <w:b/>
          <w:color w:val="000000"/>
          <w:sz w:val="44"/>
          <w:szCs w:val="44"/>
        </w:rPr>
        <w:br w:type="page"/>
      </w:r>
      <w:bookmarkStart w:id="107" w:name="_Toc79163880"/>
      <w:bookmarkStart w:id="108" w:name="_Toc79163630"/>
      <w:bookmarkStart w:id="109" w:name="_Toc15396614"/>
      <w:r>
        <w:rPr>
          <w:rFonts w:hint="eastAsia" w:ascii="黑体" w:hAnsi="黑体" w:eastAsia="黑体"/>
          <w:color w:val="000000"/>
          <w:sz w:val="44"/>
          <w:szCs w:val="44"/>
        </w:rPr>
        <w:t>第</w:t>
      </w:r>
      <w:r>
        <w:rPr>
          <w:rStyle w:val="25"/>
          <w:rFonts w:hint="eastAsia" w:ascii="黑体" w:hAnsi="黑体" w:eastAsia="黑体"/>
          <w:b w:val="0"/>
        </w:rPr>
        <w:t>四部分</w:t>
      </w:r>
      <w:r>
        <w:rPr>
          <w:rStyle w:val="25"/>
          <w:rFonts w:ascii="黑体" w:hAnsi="黑体" w:eastAsia="黑体"/>
          <w:b w:val="0"/>
        </w:rPr>
        <w:t xml:space="preserve"> </w:t>
      </w:r>
      <w:r>
        <w:rPr>
          <w:rStyle w:val="25"/>
          <w:rFonts w:hint="eastAsia" w:ascii="黑体" w:hAnsi="黑体" w:eastAsia="黑体"/>
          <w:b w:val="0"/>
        </w:rPr>
        <w:t>附件</w:t>
      </w:r>
      <w:bookmarkEnd w:id="107"/>
      <w:bookmarkEnd w:id="108"/>
      <w:bookmarkEnd w:id="109"/>
    </w:p>
    <w:p w14:paraId="25E09E43">
      <w:pPr>
        <w:spacing w:line="600" w:lineRule="exact"/>
        <w:jc w:val="left"/>
        <w:outlineLvl w:val="0"/>
        <w:rPr>
          <w:rFonts w:ascii="方正小标宋简体" w:hAnsi="方正小标宋简体" w:eastAsia="方正小标宋简体" w:cs="方正小标宋简体"/>
          <w:sz w:val="32"/>
          <w:szCs w:val="32"/>
        </w:rPr>
      </w:pPr>
      <w:bookmarkStart w:id="110" w:name="_Toc79163881"/>
      <w:bookmarkStart w:id="111" w:name="_Toc79163631"/>
      <w:r>
        <w:rPr>
          <w:rFonts w:hint="eastAsia" w:ascii="黑体" w:hAnsi="黑体" w:eastAsia="黑体" w:cs="黑体"/>
          <w:sz w:val="32"/>
          <w:szCs w:val="32"/>
        </w:rPr>
        <w:t>附件</w:t>
      </w:r>
      <w:r>
        <w:rPr>
          <w:rFonts w:ascii="黑体" w:hAnsi="黑体" w:eastAsia="黑体" w:cs="黑体"/>
          <w:sz w:val="32"/>
          <w:szCs w:val="32"/>
        </w:rPr>
        <w:t>1</w:t>
      </w:r>
      <w:bookmarkEnd w:id="110"/>
      <w:bookmarkEnd w:id="111"/>
    </w:p>
    <w:p w14:paraId="6D78D1BC">
      <w:pPr>
        <w:spacing w:line="580" w:lineRule="exact"/>
        <w:jc w:val="center"/>
        <w:rPr>
          <w:rFonts w:ascii="方正小标宋简体" w:hAnsi="方正小标宋简体" w:eastAsia="方正小标宋简体" w:cs="方正小标宋简体"/>
          <w:sz w:val="44"/>
          <w:szCs w:val="44"/>
        </w:rPr>
      </w:pPr>
    </w:p>
    <w:p w14:paraId="1445A941">
      <w:pPr>
        <w:spacing w:line="600" w:lineRule="exact"/>
        <w:jc w:val="center"/>
        <w:outlineLvl w:val="0"/>
        <w:rPr>
          <w:rFonts w:hint="eastAsia" w:ascii="方正小标宋简体" w:hAnsi="黑体" w:eastAsia="方正小标宋简体" w:cs="黑体"/>
          <w:sz w:val="44"/>
          <w:szCs w:val="44"/>
        </w:rPr>
      </w:pPr>
      <w:bookmarkStart w:id="112" w:name="_Toc79163632"/>
      <w:bookmarkStart w:id="113" w:name="_Toc79163882"/>
      <w:r>
        <w:rPr>
          <w:rFonts w:hint="eastAsia" w:ascii="宋体" w:eastAsia="宋体"/>
          <w:b/>
          <w:sz w:val="44"/>
          <w:szCs w:val="44"/>
          <w:shd w:val="clear" w:color="auto" w:fill="FFFFFF"/>
          <w:lang w:eastAsia="zh-CN"/>
        </w:rPr>
        <w:t>松潘县发展和改革局</w:t>
      </w:r>
      <w:r>
        <w:rPr>
          <w:rFonts w:ascii="方正小标宋简体" w:hAnsi="黑体" w:eastAsia="方正小标宋简体" w:cs="黑体"/>
          <w:sz w:val="44"/>
          <w:szCs w:val="44"/>
        </w:rPr>
        <w:t>202</w:t>
      </w:r>
      <w:r>
        <w:rPr>
          <w:rFonts w:hint="eastAsia" w:ascii="方正小标宋简体" w:hAnsi="黑体" w:eastAsia="方正小标宋简体" w:cs="黑体"/>
          <w:sz w:val="44"/>
          <w:szCs w:val="44"/>
        </w:rPr>
        <w:t>1年部门</w:t>
      </w:r>
    </w:p>
    <w:p w14:paraId="42A17522">
      <w:pPr>
        <w:spacing w:line="600" w:lineRule="exact"/>
        <w:jc w:val="center"/>
        <w:outlineLvl w:val="0"/>
        <w:rPr>
          <w:rFonts w:ascii="方正小标宋简体" w:hAnsi="黑体" w:eastAsia="方正小标宋简体" w:cs="黑体"/>
          <w:sz w:val="44"/>
          <w:szCs w:val="44"/>
        </w:rPr>
      </w:pPr>
      <w:r>
        <w:rPr>
          <w:rFonts w:hint="eastAsia" w:ascii="方正小标宋简体" w:hAnsi="黑体" w:eastAsia="方正小标宋简体" w:cs="黑体"/>
          <w:sz w:val="44"/>
          <w:szCs w:val="44"/>
        </w:rPr>
        <w:t>整体支出绩效评价报告</w:t>
      </w:r>
      <w:bookmarkEnd w:id="112"/>
      <w:bookmarkEnd w:id="113"/>
    </w:p>
    <w:p w14:paraId="71FFA382">
      <w:pPr>
        <w:widowControl/>
        <w:spacing w:line="580" w:lineRule="exact"/>
        <w:ind w:firstLine="640" w:firstLineChars="200"/>
        <w:contextualSpacing/>
        <w:jc w:val="center"/>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（报告范围包括机关和下属单位）</w:t>
      </w:r>
    </w:p>
    <w:p w14:paraId="5F42B149">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14:paraId="3CD1993C">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14:paraId="71E6512E">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14:paraId="5C999276">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县发改局设7个内设机构：</w:t>
      </w:r>
    </w:p>
    <w:p w14:paraId="2BBE62D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 xml:space="preserve">    1、</w:t>
      </w:r>
      <w:r>
        <w:rPr>
          <w:rFonts w:hint="eastAsia" w:ascii="仿宋" w:hAnsi="仿宋" w:eastAsia="仿宋" w:cs="仿宋"/>
          <w:b/>
          <w:bCs/>
          <w:sz w:val="32"/>
          <w:szCs w:val="32"/>
          <w:lang w:eastAsia="zh-CN"/>
        </w:rPr>
        <w:t>办公室</w:t>
      </w:r>
    </w:p>
    <w:p w14:paraId="1C5C1075">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组织协调机关日常政务，负责机关目标管理、电子政务、公文运转、会议组织、政务信息、财务、资产管理、后勤服务、机要、保密、信访、安全保卫、社会治安综合治理、精神文明建设等工作；负责机关规章制度的制订和组织实施；组织办理议案、提案和建议；负责会议组织及会议决定事项的督办。</w:t>
      </w:r>
    </w:p>
    <w:p w14:paraId="658B433D">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负责本局机关的机构编制和干部、劳动、人事管理；负责全县发改系统人才资源开发利用和人才培训工作。负责本局档案管理和离退休人员的管理、服务工作。</w:t>
      </w:r>
    </w:p>
    <w:p w14:paraId="2EDFFCD3">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b/>
          <w:bCs/>
          <w:i w:val="0"/>
          <w:iCs w:val="0"/>
          <w:sz w:val="32"/>
          <w:szCs w:val="32"/>
          <w:lang w:val="en-US" w:eastAsia="zh-CN"/>
        </w:rPr>
        <w:t xml:space="preserve">  2、</w:t>
      </w:r>
      <w:r>
        <w:rPr>
          <w:rFonts w:hint="eastAsia" w:ascii="仿宋" w:hAnsi="仿宋" w:eastAsia="仿宋" w:cs="仿宋"/>
          <w:b/>
          <w:bCs/>
          <w:i w:val="0"/>
          <w:iCs w:val="0"/>
          <w:sz w:val="32"/>
          <w:szCs w:val="32"/>
          <w:lang w:eastAsia="zh-CN"/>
        </w:rPr>
        <w:t>政策法规股（挂“稽察办公室”、行政审批股牌子）</w:t>
      </w:r>
    </w:p>
    <w:p w14:paraId="142FCDDC">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起草有关国民经济和社会发展、经济体制改革的重大政策和地方性法规、规章草案；组织研究经济社会发展、改革开放的重大问题；承担本系统、本部门推进依法行政工作的组织协调和督促指导；承担行政执法监督、行政复议、行政应诉、行政调解和规范性文件审核和备案工作；负责本部门普法工作的宣传、指导和监督。</w:t>
      </w:r>
    </w:p>
    <w:p w14:paraId="61C1A5D0">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负责指导和协调招标投标工作，组织拟订招标投标配套规定和实施意见；按规定核准项目招标事项；协助省、州发展改革委负责中央投资项目招标代理机构的转报及管理；负责省、州发改委审批项目招标投标核准意见的转报工作。</w:t>
      </w:r>
    </w:p>
    <w:p w14:paraId="105619D8">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综合管理招标投标（比选）活动。负责重大建设项目招标文件的审查和备案，监督招标投标活动，受理相关投诉，调查违规行为；统筹监督国家投资建设项目招标投标合同的执行情况并组织后评估工作；负责协调招标投标平台的建设和管理，管理综合性评标专家库；组织协调招标投标信用体系建设，建立公共资源交易中心招标投标活动和其他招标投标领域相关中介咨询机构的协调管理机制。</w:t>
      </w:r>
    </w:p>
    <w:p w14:paraId="39DECBA6">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负责对国家、省、州安排资金项目的审批程序、建设资金使用、工程招标投标、开工建设条件、建设进度、工程质量、投资概算控制以及工程竣工验收等建设活动进行全过程的稽察和监督检查，及时提出稽察报告；协调、督促有关项目建设单位进行整改。监督检查以工代赈项目的实施情况；承担全县所有固定资产投资项目进行稽察，纠正建设项目中存在的问题，确保建设工程顺利实施。</w:t>
      </w:r>
    </w:p>
    <w:p w14:paraId="401E7620">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贯彻和组织实施上级有关纪检监察工作方面的决议、决定和指示；负责处理纪检监察工作的日常事务；负责处理控告和举报；处理与部门工作相关的重大疑难问题及突发性事件；负责处理系统内的违法违纪案件。</w:t>
      </w:r>
    </w:p>
    <w:p w14:paraId="04511562">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负责拟订行政许可事项审查（审核）的政策、规定、标准、规程细则；负责县发展和改革局（县粮食局、县物价局）机关行政许可职责，依法审批保留权限以内的行政许可事项；负责审批权限以内的非国家投资项目立项（核准、备案）。</w:t>
      </w:r>
    </w:p>
    <w:p w14:paraId="7EECACC3">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b/>
          <w:bCs/>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lang w:val="en-US" w:eastAsia="zh-CN"/>
        </w:rPr>
        <w:t xml:space="preserve"> 3、</w:t>
      </w:r>
      <w:r>
        <w:rPr>
          <w:rFonts w:hint="eastAsia" w:ascii="仿宋" w:hAnsi="仿宋" w:eastAsia="仿宋" w:cs="仿宋"/>
          <w:b/>
          <w:bCs/>
          <w:sz w:val="32"/>
          <w:szCs w:val="32"/>
          <w:lang w:eastAsia="zh-CN"/>
        </w:rPr>
        <w:t>国民经济综合协调股（挂“经济动员办公室”牌子）</w:t>
      </w:r>
    </w:p>
    <w:p w14:paraId="2E578725">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提出全县经济和社会发展战略、规划及生产力布局的建议；提出全县经济和社会中长期发展、总量平衡和结构调整的目标和政策；提出推进城镇化的发展战略和重大政策；编制经济和社会发展中长期规划；组织编制和协调经济社会发展专项规划、区域经济发展规划，提出区域经济发展政策。</w:t>
      </w:r>
    </w:p>
    <w:p w14:paraId="44A7587D">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综合分析研究经济形势，做好对全县宏观经济的预测、预警；组织研究并提出全县经济和社会发展年度计划以及年度总量平衡、结构调整的目标和政策；提出促进经济增长、增加就业、稳定物价等宏观调控目标以及运用各种经济手段和政策的建议；对县级开发区（含保税区）进行指导、协调和宏观管理。</w:t>
      </w:r>
    </w:p>
    <w:p w14:paraId="5149FCC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负责半年和年度国民经济和社会发展计划执行情况报告的起草工作；参与有关股室研究制定发展计划和规划。</w:t>
      </w:r>
    </w:p>
    <w:p w14:paraId="2BE345E0">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提出经济体制改革重大问题，指导推进和综合协调经济体制改革；组织拟订综合性经济体制改革方案，参与研究和衔接有关方面拟订的专项经济体制改革方案，协调推进专项经济体制改革；指导经济体制改革试点和改革试验区工作；协调解决经济体制改革进程中的重大问题。</w:t>
      </w:r>
    </w:p>
    <w:p w14:paraId="5D6D982C">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研究提出全县国民经济动员工作方针、政策，编制全县国民经济动员方案、总体规划和年度计划；转报、安排全县国民经济动员重大项目；协调国民经济动员工作中的重大问题。</w:t>
      </w:r>
    </w:p>
    <w:p w14:paraId="2BF3A5FE">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b/>
          <w:bCs/>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lang w:val="en-US" w:eastAsia="zh-CN"/>
        </w:rPr>
        <w:t xml:space="preserve">  4、</w:t>
      </w:r>
      <w:r>
        <w:rPr>
          <w:rFonts w:hint="eastAsia" w:ascii="仿宋" w:hAnsi="仿宋" w:eastAsia="仿宋" w:cs="仿宋"/>
          <w:b/>
          <w:bCs/>
          <w:sz w:val="32"/>
          <w:szCs w:val="32"/>
          <w:lang w:eastAsia="zh-CN"/>
        </w:rPr>
        <w:t>固定资产投资和项目管理股（挂“援藏办公室”、“西部大开发办公室”牌子）</w:t>
      </w:r>
    </w:p>
    <w:p w14:paraId="543C825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负责编制重大项目规划、年度计划，管理项目储备；提出加强重大项目全过程管理的政策措施；监督检查重大项目计划执行情况，会同有关部门督促重大项目实施工作，协调重大项目建设、管理、要素支持和资源配置中的相关事宜；参与重大项目的立项、可行性研究、初步设计的审批、核准、备案、审查等工作；汇总并发布县重大项目进展情况；指导重大项目储备、建设、管理工作；承办县重大建设项目推进领导小组的具体工作。</w:t>
      </w:r>
    </w:p>
    <w:p w14:paraId="3C40A717">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研究提出全县实施西部大开发战略、发展规划和有关政策建议；编制我县实施西部大开发战略的规划，组织协调全县实施西部大开发战略的有关重大问题；承办县实施西部大开发领导小组及其办公室的日常工作。</w:t>
      </w:r>
    </w:p>
    <w:p w14:paraId="19A0F61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协助做好对国家、省、州安排资金项目以及固定资产投资项目的审批程序、建设资金使用、工程招标投标、开工建设条件、建设进度、工程质量、投资概算控制以及工程竣工验收等建设活动进行全过程的稽察和监督检查，协调、督促有关项目建设单位进行整改，纠正建设项目中存在的问题，确保建设工程顺利实施。</w:t>
      </w:r>
    </w:p>
    <w:p w14:paraId="6B5DC1BD">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监测分析全社会固定资产投资状况，研究提出固定资产投资的总规模、结构和资金来源，提出全社会固定资产投资调控政策、中长期规划和年度计划；研究制订加强政府投资项目管理的政策措施；提出投融资体制改革的建议；审核、转报和安排国家和县财政性资金的建设项目。</w:t>
      </w:r>
    </w:p>
    <w:p w14:paraId="0184C1B6">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研究提出全县民族地区（藏区）经济社会发展战略和政策，协调发展中的重大问题；汇总编制藏区经济和社会发展中长期规划和年度规划；汇总申报藏区国家政策性投资项目。</w:t>
      </w:r>
    </w:p>
    <w:p w14:paraId="72C0C266">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协助参与对全县所有固定资产投资项目进行稽察，纠正建设项目中存在的问题，确保建设工程顺利实施。</w:t>
      </w:r>
    </w:p>
    <w:p w14:paraId="1A7C6417">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b/>
          <w:bCs/>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lang w:val="en-US" w:eastAsia="zh-CN"/>
        </w:rPr>
        <w:t>5、</w:t>
      </w:r>
      <w:r>
        <w:rPr>
          <w:rFonts w:hint="eastAsia" w:ascii="仿宋" w:hAnsi="仿宋" w:eastAsia="仿宋" w:cs="仿宋"/>
          <w:b/>
          <w:bCs/>
          <w:sz w:val="32"/>
          <w:szCs w:val="32"/>
          <w:lang w:eastAsia="zh-CN"/>
        </w:rPr>
        <w:t>农村经济发展和社会事业股</w:t>
      </w:r>
    </w:p>
    <w:p w14:paraId="1F469FE3">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会同相关部门研究提出全县农业和农村经济发展战略、体制改革及有关政策建议，协调农业和农村经济社会发展的重大问题；组织编制农村经济中长期规划和年度计划，衔接平衡农业、林业、水利、畜牧、农机和气象等行业发展规划和年度计划；组织编制农业、林业、水利、畜牧、农机和气象及有关农村基础设施投资计划并审核、转报使用财政性资金重大项目，监督检查投资计划执行和项目实施情况；组织编制全县生态建设中长期规划和年度计划，协调组织相关部门实施生态建设重大项目；协助做好藏区政策研究及项目的申报。</w:t>
      </w:r>
    </w:p>
    <w:p w14:paraId="2B15C56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提出全县社会发展战略，拟订和协调全县社会发展中长期规划和年度计划；协调社会事业发展和改革的重大问题；转报、安排国家和县财政性资金的社会事业项目；协调人口、文化、教育、卫生、体育、广播电视、旅游、民政、文物、新闻出版、民族等发展政策。</w:t>
      </w:r>
    </w:p>
    <w:p w14:paraId="77137FB8">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研究提出全县社会事业投资的发展战略、总规模和中长期规划、年度计划；提出和申报涉及社会事业的国外贷款备选项目，负责权限以内投资项目的审核工作，审核和转报利用外资和境外投资项目。</w:t>
      </w:r>
    </w:p>
    <w:p w14:paraId="75E9890A">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研究全县就业与人力资源、居民收入分配和社会保障情况，提出就业规划和促进就业、调整收入分配、完善社会保障体系的相关政策；组织拟订和论证相关体制改革方案，协调解决相关的重大问题。</w:t>
      </w:r>
    </w:p>
    <w:p w14:paraId="3A8924F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b/>
          <w:bCs/>
          <w:sz w:val="32"/>
          <w:szCs w:val="32"/>
          <w:lang w:val="en-US" w:eastAsia="zh-CN"/>
        </w:rPr>
        <w:t xml:space="preserve">  6、</w:t>
      </w:r>
      <w:r>
        <w:rPr>
          <w:rFonts w:hint="eastAsia" w:ascii="仿宋" w:hAnsi="仿宋" w:eastAsia="仿宋" w:cs="仿宋"/>
          <w:b/>
          <w:bCs/>
          <w:sz w:val="32"/>
          <w:szCs w:val="32"/>
          <w:lang w:eastAsia="zh-CN"/>
        </w:rPr>
        <w:t>产业发展和能源股</w:t>
      </w:r>
    </w:p>
    <w:p w14:paraId="3DAAC6EF">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统筹工业、服务业、交通运输业发展规划、计划与国民经济和社会发展规划、计划的衔接平衡；研究分析全县产业发展的情况，组织拟订综合性产业政策，组织协调专项产业政策的制定，监督产业政策的落实；研究提出全县服务业发展战略和重大政策，协调服务业发展。</w:t>
      </w:r>
    </w:p>
    <w:p w14:paraId="7CCA669C">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协调重大技术装备推广应用和重大产业基地建设；统筹协调重要矿产资源的开发利用；按规定权限审批、备案、核准和转报工业、交通。承办食盐、烟草等国家指令性管理的特种行业和清洁汽车产业发展工作；研究提出高技术产业及产业技术的发展方向，拟订高技术产业发展和产业技术进步的战略、规划、政策；做好相关高新技术产业化工作，组织高技术产业化示范工程；申报、安排工业、交通、邮政和高技术产业财政性资金建设项目。</w:t>
      </w:r>
    </w:p>
    <w:p w14:paraId="4E9357A7">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转报、安排国家、省、州的高技术产业化财政性资金建设项目；指导协调自主创新体系发展，组织推动技术创新和产学研联合；推动国民经济和社会发展信息化进程，培育壮大战略性新兴产业；协调做好藏区政策研究及项目的申报。</w:t>
      </w:r>
    </w:p>
    <w:p w14:paraId="5B1B8408">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研究提出全县交通运输发展战略、政策措施和体制改革建议；协调相关部门编制全县交通运输发展中长期规划和年度计划；审核转报交通重点建设项目（含利用外资项目）；协调全县公路、航空、铁路、水运建设的综合平衡以及发展中的重大问题。</w:t>
      </w:r>
    </w:p>
    <w:p w14:paraId="7E61AEE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分析工业发展情况，研究新型工业化发展战略；拟订工业及相关产业发展规划及配套政策，提出相关体制改革建议，对工业现代化实施宏观指导；组织拟订与全县工业发展配套的优化资源配置的政策、措施；审核转报工业建设项目；协调相关产业发展和生产力布局。</w:t>
      </w:r>
    </w:p>
    <w:p w14:paraId="66209301">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统筹国民经济和社会发展对能源的需求，拟订全县能源发展战略和政策措施；协调有关部门拟订全县能源发展规划，提出相关体制改革的建议；监测能源发展情况；统筹规划、综合平衡能源建设和重大项目布局，协调能源发展和项目建设中的重大问题，审核和转报能源建设项目。</w:t>
      </w:r>
    </w:p>
    <w:p w14:paraId="12E029A2">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640" w:firstLineChars="20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研究提出优化能源结构、能源节约综合利用和发展循环经济（开发新能源）的政策措施；组织对煤、电、油、气资源勘探调查和合理、有序开发利用；实施能源可持续发展战略的，推进可再生能源和新能源的开发利用；参与编制环境保护规划，协调环保产业发展有关工作；组织实施固定资产投资项目（企业技术改造项目除外）节能评估和审查工作；审核、转报和安排资源节约、综合利用、循环经济和污染治理国家财政性资金建设项目；组织协调重大节能减排示范工程和新产品、新技术、新设备的推广应用；组织拟订应对气候变化重大战略、规划和重大政策；承办县节能减排工作领导小组的具体工作。</w:t>
      </w:r>
    </w:p>
    <w:p w14:paraId="50F952AD">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643" w:firstLineChars="200"/>
        <w:jc w:val="left"/>
        <w:textAlignment w:val="auto"/>
        <w:outlineLvl w:val="9"/>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7、</w:t>
      </w:r>
      <w:r>
        <w:rPr>
          <w:rFonts w:hint="eastAsia" w:ascii="仿宋" w:hAnsi="仿宋" w:eastAsia="仿宋" w:cs="仿宋"/>
          <w:b/>
          <w:bCs/>
          <w:sz w:val="32"/>
          <w:szCs w:val="32"/>
          <w:lang w:eastAsia="zh-CN"/>
        </w:rPr>
        <w:t>以工代赈综合办公室</w:t>
      </w:r>
    </w:p>
    <w:p w14:paraId="56DC7764">
      <w:pPr>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宋体" w:cs="宋体"/>
          <w:color w:val="000000"/>
          <w:kern w:val="0"/>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提出全县以工代赈工作的具体政策措施并组织实施；负责管理以工代赈资金；编制全县以工代赈项目规划；建立和完善以工代赈项目库；会同有关部门筛选、审查以工代赈项目；编制和审报以工代赈项目的年度计划；监督检查以工代赈项目的实施情况，协助做好以工代赈项目的监督检查；协助有关部门做好以工代赈资金的及时到位；负责以工代赈工作文件的起草和统计工作；提出以工代赈资金使用管理的措施、意见；负责以工代赈培训工作；负责搜集、整理、报送以工代赈工作信息；负责人民代表、政协委员有关以工代赈工作的建议、提案的办理。</w:t>
      </w:r>
    </w:p>
    <w:p w14:paraId="0AFC3771">
      <w:pPr>
        <w:widowControl/>
        <w:numPr>
          <w:ilvl w:val="0"/>
          <w:numId w:val="6"/>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机构职能。</w:t>
      </w:r>
    </w:p>
    <w:p w14:paraId="5E07DDFB">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贯彻实施国家有关国民经济和社会发展、经济体制改革的方针、政策和法律、法规。拟订全县有关国民经济和社会发展、经济体制改革的地方性法规、规章草案，负责本系统、本部门依法行政工作，落实行政执法责任制。</w:t>
      </w:r>
    </w:p>
    <w:p w14:paraId="27BCE39D">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负责拟订并组织实施全县国民经济和社会发展战略、中长期规划和年度计划，统筹协调全县经济社会发展，研究分析宏观经济形势，提出全县经济社会发展、经济结构优化、价格总水平调控目标和政策建议。受县政府委托向县人大提交国民经济和社会发展计划报告。</w:t>
      </w:r>
    </w:p>
    <w:p w14:paraId="48DE9857">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负责监测宏观经济和社会发展态势，承担预测预警和信息引导的责任，研究宏观调控重大问题并提出政策建议，搞好总量平衡，综合协调经济社会发展中的重大问题。负责县级以上开发区的指导、协调和宏观管理。</w:t>
      </w:r>
    </w:p>
    <w:p w14:paraId="2249FC69">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4、</w:t>
      </w:r>
      <w:r>
        <w:rPr>
          <w:rFonts w:hint="eastAsia" w:ascii="仿宋" w:hAnsi="仿宋" w:eastAsia="仿宋" w:cs="仿宋"/>
          <w:sz w:val="32"/>
          <w:szCs w:val="32"/>
          <w:lang w:eastAsia="zh-CN"/>
        </w:rPr>
        <w:t>负责汇总分析全县财政、金融等方面情况；提出多渠道融资的政策建议；综合协调财政、金融、价格和产业政策等经济杠杆以及县上直接掌握的经济手段的使用并通过法规和政策协调、信息指导，保证全县国民经济计划和发展规划的实施。</w:t>
      </w:r>
    </w:p>
    <w:p w14:paraId="1B593CCF">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5、</w:t>
      </w:r>
      <w:r>
        <w:rPr>
          <w:rFonts w:hint="eastAsia" w:ascii="仿宋" w:hAnsi="仿宋" w:eastAsia="仿宋" w:cs="仿宋"/>
          <w:sz w:val="32"/>
          <w:szCs w:val="32"/>
          <w:lang w:eastAsia="zh-CN"/>
        </w:rPr>
        <w:t>承担指导推进和综合协调全县经济体制改革的责任，研究经济体制改革和对外开放的重大问题，组织拟订综合性经济体制改革方案，协调有关专项经济体制改革方案，指导和推进总体经济体制改革以及综合配套改革与体制创新，组织、指导和协调综合配套改革试点和重大专项经济体制改革试点。</w:t>
      </w:r>
    </w:p>
    <w:p w14:paraId="608D628E">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负责贯彻落实国家、省、州关于价格、收费改革的方针政策，拟订全县价格、收费改革方案并组织实施；负责研究草拟价格收费地方性法规、规章、政策；提出全县价格总水平调控目标和措施，研究提出保持价格总水平基本稳定的措施建议；负责监测、分析、预报全县市场价格动态和变化趋势，提出政策建议；负责监督指导全县价格法律、法规和规章制度的贯彻实施，开展反价格垄断行政执法和价格公共服务工作；负责贯彻实施国家、省各项价格规定和统一调价方案，拟订全县重要商品和服务项目的价格政策；负责研究制定县管定价目录和管理办法，制定并公布政府定价和政府指导价；负责贯彻执行国家、省行政事业性收费管理政策，会同有关部门审定行政事业性收费项目和标准，组织实施行政事业性收费、经营性收费许可证制度和年度审验制度；负责监督检查政府定价、政府指导价以及政策规定的收费标准的执行情况；负责受理价格、收费违法行为和不正当价格行为的举报、投诉；负责实施价格行政执法，依法查处价格违法行为和违法案件，实施行政处罚；承担涉案物品价格评估；承担组织对农产品、垄断行业、公用事业和公益性服务价格的成本调查和监审；承担商品和服务价格定价成本监审工作。</w:t>
      </w:r>
    </w:p>
    <w:p w14:paraId="76304970">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负责重要商品总量平衡和宏观调控。研究分析县内外市场和对外贸易运行情况，编制重要农产品、工业品和原材料进出口总量计划并监督执行。会同有关部门管理粮食等重要物资和商品的县级储备工作，提出重要商品市场、生产要素市场的总体布局和发展规划。贯彻执行国家粮食流通和储备粮管理的方针、政策和法律、法规，拟定全县粮食流通和县级储备粮管理的有关法规草案、规章制度和有关政策，并组织执行。承担粮食预警监测和应急责任，负责全县粮食宏观调控具体工作，组织指导全县粮食系统统计工作；负责州级储备粮管理，指导全县粮食储备体系建设。监督检查县级储备粮库存数量、质量和安全，研究提出县级储备粮的收购、轮换、抛售计划，并组织实施。负责全县粮食收购、储存环节和政策性用粮质量安全，负责库存原粮卫生监督管理，指导粮食行业安全生产和抢险救灾，指导全县农村科学储粮工作；制定粮食流通产业发展规划，提出促进粮食流通产业发展的政策性建议并督促落实。指导全县粮食流通市场的行业管理、会同有关部门搞好县级粮食批发市场体系建设，加强粮油市场的监管；指导并推动行业的技术改造、新技术推广运用、安全生产工作；承担行业统计工作。</w:t>
      </w:r>
    </w:p>
    <w:p w14:paraId="44576BD8">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负责全县投资宏观管理和协调推进重大项目建设。拟订全社会固定资产投资总规模和投资结构，编制年度投资计划；研究提出有关重大投资政策，规划重大项目和生产力布局；安排财政性建设资金，指导和监督政策性贷款的使用方向；申报限额以上和审批权限以内的基本建设项目；按照基本建设程序，负责全县基本建设项目立项、可行性研究报告和国家出资的工业（含内贸）、农业、水利、交通、信息产业等行业和产业项目的初步设计审查、开工报告审批工作；引导民间资金用于固定资产投资的方向；研究提出全县利用外资的发展战略、总量平衡和结构优化的目标和政策措施；提出拟订全县工商领域外的外商投资产业指导目录的意见；审批权限以内国外贷款、外商提资和境外投资项目；申报和审核利用外资、境外投资的重大项目；负责编制全县重点建设项目和年度投资计划；负责组织和管理重大建设项目稽察工作。</w:t>
      </w:r>
    </w:p>
    <w:p w14:paraId="048DA3A5">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推进经济结构战略性调整。组织拟订全县综合性产业政策，负责协调第一、二、三产业发展的重大问题，衔接平衡相关发展规划和重大政策，协调农业和农村经济社会发展的重大问题，衔接农村专项规划和政策。拟订重大产业发展规划，引导全县重大生产力合理布局，协调推进全县重大技术装备推广应用和重大产业基地建设，会同有关部门拟订服务业、现代物流业发展战略、规划和重大政策。组织拟订高技术产业发展、产业技术进步的战略、规划和重大政策，指导全县自主创新体系建设发展。</w:t>
      </w:r>
    </w:p>
    <w:p w14:paraId="2DE02FD7">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促进城乡区域协调发展。组织编制全县主体功能区规划并协调规划实施和进行监测评估，组织拟订区域协调发展战略、规划和重大政策，研究提出城镇化发展战略和统筹城乡发展的重大政策，负责地区经济协作的统筹协调。</w:t>
      </w:r>
    </w:p>
    <w:p w14:paraId="7F0C61F0">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负责全县社会发展与国民经济发展的政策衔接，组织拟订社会发展战略、总体规划和年度计划，参与拟订人口和计划生育、科学技术、教育、文化、卫生、民政等发展政策，推进社会事业建设。研究提出促进就业、调整收入分配、完善社会保障与经济协调发展的政策建议，协调社会事业发展和政策中的重大问题及政策。</w:t>
      </w:r>
    </w:p>
    <w:p w14:paraId="2A0CFE2E">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推进可持续发展，负责全县节能减排的综合协调工作，组织拟订并协调实施全州发展循环经济、能源资源节约和综合利用规划及政策措施，参与编制生态建设、环境保护规划，协调生态建设、能源资源节约和综合利用的重大问题。</w:t>
      </w:r>
    </w:p>
    <w:p w14:paraId="5692D446">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13、</w:t>
      </w:r>
      <w:r>
        <w:rPr>
          <w:rFonts w:hint="eastAsia" w:ascii="仿宋" w:hAnsi="仿宋" w:eastAsia="仿宋" w:cs="仿宋"/>
          <w:sz w:val="32"/>
          <w:szCs w:val="32"/>
          <w:lang w:eastAsia="zh-CN"/>
        </w:rPr>
        <w:t>指导、协调并综合管理全县招标投标工作，对国家和县重大建设项目建设过程中的工程招标投标活动实施监督检查。</w:t>
      </w:r>
    </w:p>
    <w:p w14:paraId="0AEF7218">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14、</w:t>
      </w:r>
      <w:r>
        <w:rPr>
          <w:rFonts w:hint="eastAsia" w:ascii="仿宋" w:hAnsi="仿宋" w:eastAsia="仿宋" w:cs="仿宋"/>
          <w:sz w:val="32"/>
          <w:szCs w:val="32"/>
          <w:lang w:eastAsia="zh-CN"/>
        </w:rPr>
        <w:t>负责铁路、机场等综合交通的规划和发展协调；参与协调高速公路项目建设中涉及的重大问题，组织协调和处理全县铁路建设项目前期工作、征地拆迁、建设过程中涉及的重大问题，协同做好全县铁路建设规划及年度计划编制的相关工作。</w:t>
      </w:r>
    </w:p>
    <w:p w14:paraId="6C30F620">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15、</w:t>
      </w:r>
      <w:r>
        <w:rPr>
          <w:rFonts w:hint="eastAsia" w:ascii="仿宋" w:hAnsi="仿宋" w:eastAsia="仿宋" w:cs="仿宋"/>
          <w:sz w:val="32"/>
          <w:szCs w:val="32"/>
          <w:lang w:eastAsia="zh-CN"/>
        </w:rPr>
        <w:t>负责组织编制全县国民经济动员与装备动员规划、计划，研究国民经济动员与装备动员和国民经济、国防建设的关系，协调相关重大问题，组织实施国民经济动员与装备动员有关工作。</w:t>
      </w:r>
    </w:p>
    <w:p w14:paraId="2739F93A">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val="en-US" w:eastAsia="zh-CN"/>
        </w:rPr>
        <w:t>16、</w:t>
      </w:r>
      <w:r>
        <w:rPr>
          <w:rFonts w:hint="eastAsia" w:ascii="仿宋" w:hAnsi="仿宋" w:eastAsia="仿宋" w:cs="仿宋"/>
          <w:sz w:val="32"/>
          <w:szCs w:val="32"/>
          <w:lang w:eastAsia="zh-CN"/>
        </w:rPr>
        <w:t>承担县实施西部大开发领导小组、县重点项目领导小组的具体工作。</w:t>
      </w:r>
    </w:p>
    <w:p w14:paraId="0FF80629">
      <w:pPr>
        <w:pStyle w:val="3"/>
        <w:keepNext w:val="0"/>
        <w:keepLines w:val="0"/>
        <w:pageBreakBefore w:val="0"/>
        <w:kinsoku/>
        <w:wordWrap/>
        <w:overflowPunct/>
        <w:topLinePunct w:val="0"/>
        <w:autoSpaceDE/>
        <w:autoSpaceDN/>
        <w:bidi w:val="0"/>
        <w:adjustRightInd/>
        <w:snapToGrid/>
        <w:spacing w:beforeAutospacing="0" w:afterAutospacing="0" w:line="576" w:lineRule="exact"/>
        <w:ind w:left="0" w:leftChars="0" w:right="0" w:rightChars="0" w:firstLine="480"/>
        <w:jc w:val="left"/>
        <w:textAlignment w:val="auto"/>
        <w:outlineLvl w:val="9"/>
        <w:rPr>
          <w:rFonts w:hint="eastAsia" w:ascii="仿宋_GB2312" w:hAnsi="宋体" w:eastAsia="仿宋_GB2312" w:cs="宋体"/>
          <w:color w:val="000000"/>
          <w:kern w:val="0"/>
          <w:lang w:val="en-US" w:eastAsia="zh-CN"/>
        </w:rPr>
      </w:pPr>
      <w:r>
        <w:rPr>
          <w:rFonts w:hint="eastAsia" w:ascii="仿宋" w:hAnsi="仿宋" w:eastAsia="仿宋" w:cs="仿宋"/>
          <w:sz w:val="32"/>
          <w:szCs w:val="32"/>
          <w:lang w:val="en-US" w:eastAsia="zh-CN"/>
        </w:rPr>
        <w:t>17、</w:t>
      </w:r>
      <w:r>
        <w:rPr>
          <w:rFonts w:hint="eastAsia" w:ascii="仿宋" w:hAnsi="仿宋" w:eastAsia="仿宋" w:cs="仿宋"/>
          <w:sz w:val="32"/>
          <w:szCs w:val="32"/>
          <w:lang w:eastAsia="zh-CN"/>
        </w:rPr>
        <w:t>承担县政府公布的有关行政审批事项。</w:t>
      </w:r>
    </w:p>
    <w:p w14:paraId="12BC3E73">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w:t>
      </w:r>
    </w:p>
    <w:p w14:paraId="33D1C68B">
      <w:pPr>
        <w:keepNext w:val="0"/>
        <w:keepLines w:val="0"/>
        <w:pageBreakBefore w:val="0"/>
        <w:numPr>
          <w:ilvl w:val="0"/>
          <w:numId w:val="0"/>
        </w:numPr>
        <w:kinsoku/>
        <w:wordWrap/>
        <w:overflowPunct/>
        <w:topLinePunct w:val="0"/>
        <w:autoSpaceDE/>
        <w:autoSpaceDN/>
        <w:bidi w:val="0"/>
        <w:adjustRightInd/>
        <w:snapToGrid/>
        <w:spacing w:beforeAutospacing="0" w:afterAutospacing="0" w:line="576" w:lineRule="exact"/>
        <w:ind w:left="0" w:leftChars="0" w:right="0" w:rightChars="0"/>
        <w:jc w:val="left"/>
        <w:textAlignment w:val="auto"/>
        <w:outlineLvl w:val="9"/>
        <w:rPr>
          <w:rFonts w:hint="eastAsia" w:ascii="仿宋_GB2312" w:hAnsi="宋体" w:cs="宋体"/>
          <w:color w:val="000000"/>
          <w:kern w:val="0"/>
          <w:lang w:val="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松潘县发展和改革局</w:t>
      </w:r>
      <w:r>
        <w:rPr>
          <w:rFonts w:hint="eastAsia" w:ascii="仿宋" w:hAnsi="仿宋" w:eastAsia="仿宋" w:cs="仿宋"/>
          <w:sz w:val="32"/>
          <w:szCs w:val="32"/>
        </w:rPr>
        <w:t>属一级预算单位，独立编制机构数1个，独立核算机构数1个</w:t>
      </w:r>
      <w:r>
        <w:rPr>
          <w:rFonts w:hint="eastAsia" w:ascii="仿宋" w:hAnsi="仿宋" w:eastAsia="仿宋" w:cs="仿宋"/>
          <w:sz w:val="32"/>
          <w:szCs w:val="32"/>
          <w:lang w:eastAsia="zh-CN"/>
        </w:rPr>
        <w:t>，</w:t>
      </w:r>
      <w:r>
        <w:rPr>
          <w:rFonts w:hint="eastAsia" w:ascii="仿宋" w:hAnsi="仿宋" w:eastAsia="仿宋" w:cs="仿宋"/>
          <w:sz w:val="32"/>
          <w:szCs w:val="32"/>
        </w:rPr>
        <w:t>总编制</w:t>
      </w:r>
      <w:r>
        <w:rPr>
          <w:rFonts w:hint="eastAsia" w:ascii="仿宋" w:hAnsi="仿宋" w:eastAsia="仿宋" w:cs="仿宋"/>
          <w:sz w:val="32"/>
          <w:szCs w:val="32"/>
          <w:lang w:val="en-US" w:eastAsia="zh-CN"/>
        </w:rPr>
        <w:t>22</w:t>
      </w:r>
      <w:r>
        <w:rPr>
          <w:rFonts w:hint="eastAsia" w:ascii="仿宋" w:hAnsi="仿宋" w:eastAsia="仿宋" w:cs="仿宋"/>
          <w:sz w:val="32"/>
          <w:szCs w:val="32"/>
        </w:rPr>
        <w:t>名，其中：行政编制</w:t>
      </w:r>
      <w:r>
        <w:rPr>
          <w:rFonts w:hint="eastAsia" w:ascii="仿宋" w:hAnsi="仿宋" w:eastAsia="仿宋" w:cs="仿宋"/>
          <w:sz w:val="32"/>
          <w:szCs w:val="32"/>
          <w:lang w:val="en-US" w:eastAsia="zh-CN"/>
        </w:rPr>
        <w:t>10</w:t>
      </w:r>
      <w:r>
        <w:rPr>
          <w:rFonts w:hint="eastAsia" w:ascii="仿宋" w:hAnsi="仿宋" w:eastAsia="仿宋" w:cs="仿宋"/>
          <w:sz w:val="32"/>
          <w:szCs w:val="32"/>
        </w:rPr>
        <w:t>名；</w:t>
      </w:r>
      <w:r>
        <w:rPr>
          <w:rFonts w:hint="eastAsia" w:ascii="仿宋" w:hAnsi="仿宋" w:eastAsia="仿宋" w:cs="仿宋"/>
          <w:sz w:val="32"/>
          <w:szCs w:val="32"/>
          <w:lang w:eastAsia="zh-CN"/>
        </w:rPr>
        <w:t>参公编制</w:t>
      </w:r>
      <w:r>
        <w:rPr>
          <w:rFonts w:hint="eastAsia" w:ascii="仿宋" w:hAnsi="仿宋" w:eastAsia="仿宋" w:cs="仿宋"/>
          <w:sz w:val="32"/>
          <w:szCs w:val="32"/>
          <w:lang w:val="en-US" w:eastAsia="zh-CN"/>
        </w:rPr>
        <w:t>5名；</w:t>
      </w:r>
      <w:r>
        <w:rPr>
          <w:rFonts w:hint="eastAsia" w:ascii="仿宋" w:hAnsi="仿宋" w:eastAsia="仿宋" w:cs="仿宋"/>
          <w:sz w:val="32"/>
          <w:szCs w:val="32"/>
        </w:rPr>
        <w:t>事业编制</w:t>
      </w:r>
      <w:r>
        <w:rPr>
          <w:rFonts w:hint="eastAsia" w:ascii="仿宋" w:hAnsi="仿宋" w:eastAsia="仿宋" w:cs="仿宋"/>
          <w:sz w:val="32"/>
          <w:szCs w:val="32"/>
          <w:lang w:val="en-US" w:eastAsia="zh-CN"/>
        </w:rPr>
        <w:t>5</w:t>
      </w:r>
      <w:r>
        <w:rPr>
          <w:rFonts w:hint="eastAsia" w:ascii="仿宋" w:hAnsi="仿宋" w:eastAsia="仿宋" w:cs="仿宋"/>
          <w:sz w:val="32"/>
          <w:szCs w:val="32"/>
        </w:rPr>
        <w:t>名；工勤编制</w:t>
      </w:r>
      <w:r>
        <w:rPr>
          <w:rFonts w:hint="eastAsia" w:ascii="仿宋" w:hAnsi="仿宋" w:eastAsia="仿宋" w:cs="仿宋"/>
          <w:sz w:val="32"/>
          <w:szCs w:val="32"/>
          <w:lang w:val="en-US" w:eastAsia="zh-CN"/>
        </w:rPr>
        <w:t>2</w:t>
      </w:r>
      <w:r>
        <w:rPr>
          <w:rFonts w:hint="eastAsia" w:ascii="仿宋" w:hAnsi="仿宋" w:eastAsia="仿宋" w:cs="仿宋"/>
          <w:sz w:val="32"/>
          <w:szCs w:val="32"/>
        </w:rPr>
        <w:t>名。在职人员总数</w:t>
      </w:r>
      <w:r>
        <w:rPr>
          <w:rFonts w:hint="eastAsia" w:ascii="仿宋" w:hAnsi="仿宋" w:eastAsia="仿宋" w:cs="仿宋"/>
          <w:sz w:val="32"/>
          <w:szCs w:val="32"/>
          <w:lang w:val="en-US" w:eastAsia="zh-CN"/>
        </w:rPr>
        <w:t>21</w:t>
      </w:r>
      <w:r>
        <w:rPr>
          <w:rFonts w:hint="eastAsia" w:ascii="仿宋" w:hAnsi="仿宋" w:eastAsia="仿宋" w:cs="仿宋"/>
          <w:sz w:val="32"/>
          <w:szCs w:val="32"/>
        </w:rPr>
        <w:t>人，其中：行政人员</w:t>
      </w:r>
      <w:r>
        <w:rPr>
          <w:rFonts w:hint="eastAsia" w:ascii="仿宋" w:hAnsi="仿宋" w:eastAsia="仿宋" w:cs="仿宋"/>
          <w:sz w:val="32"/>
          <w:szCs w:val="32"/>
          <w:lang w:val="en-US" w:eastAsia="zh-CN"/>
        </w:rPr>
        <w:t>10</w:t>
      </w:r>
      <w:r>
        <w:rPr>
          <w:rFonts w:hint="eastAsia" w:ascii="仿宋" w:hAnsi="仿宋" w:eastAsia="仿宋" w:cs="仿宋"/>
          <w:sz w:val="32"/>
          <w:szCs w:val="32"/>
        </w:rPr>
        <w:t>人，</w:t>
      </w:r>
      <w:r>
        <w:rPr>
          <w:rFonts w:hint="eastAsia" w:ascii="仿宋" w:hAnsi="仿宋" w:eastAsia="仿宋" w:cs="仿宋"/>
          <w:sz w:val="32"/>
          <w:szCs w:val="32"/>
          <w:lang w:eastAsia="zh-CN"/>
        </w:rPr>
        <w:t>参公人员</w:t>
      </w:r>
      <w:r>
        <w:rPr>
          <w:rFonts w:hint="eastAsia" w:ascii="仿宋" w:hAnsi="仿宋" w:eastAsia="仿宋" w:cs="仿宋"/>
          <w:sz w:val="32"/>
          <w:szCs w:val="32"/>
          <w:lang w:val="en-US" w:eastAsia="zh-CN"/>
        </w:rPr>
        <w:t>4人，</w:t>
      </w:r>
      <w:r>
        <w:rPr>
          <w:rFonts w:hint="eastAsia" w:ascii="仿宋" w:hAnsi="仿宋" w:eastAsia="仿宋" w:cs="仿宋"/>
          <w:sz w:val="32"/>
          <w:szCs w:val="32"/>
        </w:rPr>
        <w:t>事业人员</w:t>
      </w:r>
      <w:r>
        <w:rPr>
          <w:rFonts w:hint="eastAsia" w:ascii="仿宋" w:hAnsi="仿宋" w:eastAsia="仿宋" w:cs="仿宋"/>
          <w:sz w:val="32"/>
          <w:szCs w:val="32"/>
          <w:lang w:val="en-US" w:eastAsia="zh-CN"/>
        </w:rPr>
        <w:t>5</w:t>
      </w:r>
      <w:r>
        <w:rPr>
          <w:rFonts w:hint="eastAsia" w:ascii="仿宋" w:hAnsi="仿宋" w:eastAsia="仿宋" w:cs="仿宋"/>
          <w:sz w:val="32"/>
          <w:szCs w:val="32"/>
        </w:rPr>
        <w:t>人，工勤在职</w:t>
      </w:r>
      <w:r>
        <w:rPr>
          <w:rFonts w:hint="eastAsia" w:ascii="仿宋" w:hAnsi="仿宋" w:eastAsia="仿宋" w:cs="仿宋"/>
          <w:sz w:val="32"/>
          <w:szCs w:val="32"/>
          <w:lang w:val="en-US" w:eastAsia="zh-CN"/>
        </w:rPr>
        <w:t>2</w:t>
      </w:r>
      <w:r>
        <w:rPr>
          <w:rFonts w:hint="eastAsia" w:ascii="仿宋" w:hAnsi="仿宋" w:eastAsia="仿宋" w:cs="仿宋"/>
          <w:sz w:val="32"/>
          <w:szCs w:val="32"/>
        </w:rPr>
        <w:t>人</w:t>
      </w:r>
      <w:r>
        <w:rPr>
          <w:rFonts w:hint="eastAsia" w:ascii="仿宋" w:hAnsi="仿宋" w:eastAsia="仿宋" w:cs="仿宋"/>
          <w:sz w:val="32"/>
          <w:szCs w:val="32"/>
          <w:lang w:eastAsia="zh-CN"/>
        </w:rPr>
        <w:t>。</w:t>
      </w:r>
      <w:r>
        <w:rPr>
          <w:rFonts w:hint="eastAsia" w:ascii="仿宋" w:hAnsi="仿宋" w:eastAsia="仿宋" w:cs="仿宋"/>
          <w:sz w:val="32"/>
          <w:szCs w:val="32"/>
        </w:rPr>
        <w:t>退休人员</w:t>
      </w:r>
      <w:r>
        <w:rPr>
          <w:rFonts w:hint="eastAsia" w:ascii="仿宋" w:hAnsi="仿宋" w:eastAsia="仿宋" w:cs="仿宋"/>
          <w:sz w:val="32"/>
          <w:szCs w:val="32"/>
          <w:lang w:val="en-US" w:eastAsia="zh-CN"/>
        </w:rPr>
        <w:t>11</w:t>
      </w:r>
      <w:r>
        <w:rPr>
          <w:rFonts w:hint="eastAsia" w:ascii="仿宋" w:hAnsi="仿宋" w:eastAsia="仿宋" w:cs="仿宋"/>
          <w:sz w:val="32"/>
          <w:szCs w:val="32"/>
        </w:rPr>
        <w:t>人。</w:t>
      </w:r>
    </w:p>
    <w:p w14:paraId="705E5DBA">
      <w:pPr>
        <w:widowControl/>
        <w:adjustRightInd w:val="0"/>
        <w:snapToGrid w:val="0"/>
        <w:spacing w:line="580" w:lineRule="exact"/>
        <w:ind w:firstLine="320" w:firstLineChars="1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14:paraId="6A255B2F">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14:paraId="15D18780">
      <w:pPr>
        <w:keepNext w:val="0"/>
        <w:keepLines w:val="0"/>
        <w:widowControl/>
        <w:suppressLineNumbers w:val="0"/>
        <w:shd w:val="clear" w:fill="FFFFFF"/>
        <w:snapToGrid w:val="0"/>
        <w:spacing w:before="0" w:beforeAutospacing="0" w:after="0" w:afterAutospacing="0" w:line="580" w:lineRule="exact"/>
        <w:ind w:left="0" w:right="0" w:firstLine="320" w:firstLineChars="100"/>
        <w:jc w:val="left"/>
        <w:rPr>
          <w:lang w:val="zh-CN"/>
        </w:rPr>
      </w:pPr>
      <w:r>
        <w:rPr>
          <w:rFonts w:hint="eastAsia" w:ascii="仿宋" w:hAnsi="仿宋" w:eastAsia="仿宋" w:cs="仿宋"/>
          <w:color w:val="000000"/>
          <w:kern w:val="0"/>
          <w:sz w:val="32"/>
          <w:szCs w:val="32"/>
          <w:shd w:val="clear" w:fill="FFFFFF"/>
          <w:lang w:val="en-US" w:eastAsia="zh-CN" w:bidi="ar"/>
        </w:rPr>
        <w:t>2021预算收入总数483.48万元，无基金预算。较2020年预算收入总数320.49元增加50.86%主要原因是机构改革人员增加；2021年决算收入决算数为2464.27万元，较2020年收入决算数990.61万元增加148.76%.主要原因是项目增加。</w:t>
      </w:r>
    </w:p>
    <w:p w14:paraId="489AB71C">
      <w:pPr>
        <w:widowControl/>
        <w:numPr>
          <w:ilvl w:val="0"/>
          <w:numId w:val="0"/>
        </w:numPr>
        <w:adjustRightInd w:val="0"/>
        <w:snapToGrid w:val="0"/>
        <w:spacing w:line="580" w:lineRule="exact"/>
        <w:ind w:left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p>
    <w:p w14:paraId="6204A035">
      <w:pPr>
        <w:keepNext w:val="0"/>
        <w:keepLines w:val="0"/>
        <w:widowControl/>
        <w:suppressLineNumbers w:val="0"/>
        <w:shd w:val="clear" w:fill="FFFFFF"/>
        <w:snapToGrid w:val="0"/>
        <w:spacing w:before="0" w:beforeAutospacing="0" w:after="0" w:afterAutospacing="0" w:line="580" w:lineRule="exact"/>
        <w:ind w:left="0" w:right="0" w:firstLine="320" w:firstLineChars="100"/>
        <w:jc w:val="left"/>
        <w:rPr>
          <w:rFonts w:ascii="宋体" w:hAnsi="宋体" w:eastAsia="宋体" w:cs="仿宋"/>
          <w:color w:val="000000"/>
          <w:sz w:val="32"/>
          <w:szCs w:val="32"/>
          <w:shd w:val="clear" w:fill="FFFFFF"/>
          <w:lang w:val="en-US"/>
        </w:rPr>
      </w:pPr>
      <w:r>
        <w:rPr>
          <w:rFonts w:hint="eastAsia" w:ascii="仿宋" w:hAnsi="仿宋" w:eastAsia="仿宋" w:cs="仿宋"/>
          <w:color w:val="000000"/>
          <w:kern w:val="0"/>
          <w:sz w:val="32"/>
          <w:szCs w:val="32"/>
          <w:shd w:val="clear" w:fill="FFFFFF"/>
          <w:lang w:val="en-US" w:eastAsia="zh-CN" w:bidi="ar"/>
        </w:rPr>
        <w:t>2021年部门预算基本支出预算总数483.48万元，其中：人员支出441.05万元，公用支出42.43万元。2021年部门决算基本支出数为483.48万元，其中人员支出：441.05万元，公用支出42.43万元.</w:t>
      </w:r>
      <w:r>
        <w:rPr>
          <w:rFonts w:hint="eastAsia" w:ascii="仿宋" w:hAnsi="仿宋" w:eastAsia="仿宋" w:cs="仿宋"/>
          <w:color w:val="000000"/>
          <w:sz w:val="32"/>
          <w:szCs w:val="32"/>
          <w:shd w:val="clear" w:fill="FFFFFF"/>
          <w:lang w:val="en-US"/>
        </w:rPr>
        <w:t>2021</w:t>
      </w:r>
      <w:r>
        <w:rPr>
          <w:rFonts w:hint="eastAsia" w:ascii="仿宋" w:hAnsi="仿宋" w:eastAsia="仿宋" w:cs="仿宋"/>
          <w:color w:val="000000"/>
          <w:sz w:val="32"/>
          <w:szCs w:val="32"/>
          <w:shd w:val="clear" w:fill="FFFFFF"/>
          <w:lang w:eastAsia="zh-CN"/>
        </w:rPr>
        <w:t>年部门预算项目支出预算总数</w:t>
      </w:r>
      <w:r>
        <w:rPr>
          <w:rFonts w:hint="eastAsia" w:ascii="仿宋" w:hAnsi="仿宋" w:eastAsia="仿宋" w:cs="仿宋"/>
          <w:color w:val="000000"/>
          <w:sz w:val="32"/>
          <w:szCs w:val="32"/>
          <w:shd w:val="clear" w:fill="FFFFFF"/>
          <w:lang w:val="en-US" w:eastAsia="zh-CN"/>
        </w:rPr>
        <w:t>1977.81</w:t>
      </w:r>
      <w:r>
        <w:rPr>
          <w:rFonts w:hint="eastAsia" w:ascii="仿宋" w:hAnsi="仿宋" w:eastAsia="仿宋" w:cs="仿宋"/>
          <w:color w:val="000000"/>
          <w:sz w:val="32"/>
          <w:szCs w:val="32"/>
          <w:shd w:val="clear" w:fill="FFFFFF"/>
          <w:lang w:eastAsia="zh-CN"/>
        </w:rPr>
        <w:t>万元，其中：一般行政管理事务项目经费：</w:t>
      </w:r>
      <w:r>
        <w:rPr>
          <w:rFonts w:hint="eastAsia" w:ascii="仿宋" w:hAnsi="仿宋" w:eastAsia="仿宋" w:cs="仿宋"/>
          <w:color w:val="000000"/>
          <w:sz w:val="32"/>
          <w:szCs w:val="32"/>
          <w:shd w:val="clear" w:fill="FFFFFF"/>
          <w:lang w:val="en-US" w:eastAsia="zh-CN"/>
        </w:rPr>
        <w:t>264.42</w:t>
      </w:r>
      <w:r>
        <w:rPr>
          <w:rFonts w:hint="eastAsia" w:ascii="仿宋" w:hAnsi="仿宋" w:eastAsia="仿宋" w:cs="仿宋"/>
          <w:color w:val="000000"/>
          <w:sz w:val="32"/>
          <w:szCs w:val="32"/>
          <w:shd w:val="clear" w:fill="FFFFFF"/>
          <w:lang w:eastAsia="zh-CN"/>
        </w:rPr>
        <w:t>万元，物价管理项目</w:t>
      </w:r>
      <w:r>
        <w:rPr>
          <w:rFonts w:hint="eastAsia" w:ascii="仿宋" w:hAnsi="仿宋" w:eastAsia="仿宋" w:cs="仿宋"/>
          <w:color w:val="000000"/>
          <w:sz w:val="32"/>
          <w:szCs w:val="32"/>
          <w:shd w:val="clear" w:fill="FFFFFF"/>
          <w:lang w:val="en-US"/>
        </w:rPr>
        <w:t>0.05</w:t>
      </w:r>
      <w:r>
        <w:rPr>
          <w:rFonts w:hint="eastAsia" w:ascii="仿宋" w:hAnsi="仿宋" w:eastAsia="仿宋" w:cs="仿宋"/>
          <w:color w:val="000000"/>
          <w:sz w:val="32"/>
          <w:szCs w:val="32"/>
          <w:shd w:val="clear" w:fill="FFFFFF"/>
          <w:lang w:eastAsia="zh-CN"/>
        </w:rPr>
        <w:t>万元，其他发展与改革事务项目：</w:t>
      </w:r>
      <w:r>
        <w:rPr>
          <w:rFonts w:hint="eastAsia" w:ascii="仿宋" w:hAnsi="仿宋" w:eastAsia="仿宋" w:cs="仿宋"/>
          <w:color w:val="000000"/>
          <w:sz w:val="32"/>
          <w:szCs w:val="32"/>
          <w:shd w:val="clear" w:fill="FFFFFF"/>
          <w:lang w:val="en-US"/>
        </w:rPr>
        <w:t>35.23</w:t>
      </w:r>
      <w:r>
        <w:rPr>
          <w:rFonts w:hint="eastAsia" w:ascii="仿宋" w:hAnsi="仿宋" w:eastAsia="仿宋" w:cs="仿宋"/>
          <w:color w:val="000000"/>
          <w:sz w:val="32"/>
          <w:szCs w:val="32"/>
          <w:shd w:val="clear" w:fill="FFFFFF"/>
          <w:lang w:eastAsia="zh-CN"/>
        </w:rPr>
        <w:t>万元，农林水支出：</w:t>
      </w:r>
      <w:r>
        <w:rPr>
          <w:rFonts w:hint="eastAsia" w:ascii="仿宋" w:hAnsi="仿宋" w:eastAsia="仿宋" w:cs="仿宋"/>
          <w:color w:val="000000"/>
          <w:sz w:val="32"/>
          <w:szCs w:val="32"/>
          <w:shd w:val="clear" w:fill="FFFFFF"/>
          <w:lang w:val="en-US" w:eastAsia="zh-CN"/>
        </w:rPr>
        <w:t>852.77</w:t>
      </w:r>
      <w:r>
        <w:rPr>
          <w:rFonts w:hint="eastAsia" w:ascii="仿宋" w:hAnsi="仿宋" w:eastAsia="仿宋" w:cs="仿宋"/>
          <w:color w:val="000000"/>
          <w:sz w:val="32"/>
          <w:szCs w:val="32"/>
          <w:shd w:val="clear" w:fill="FFFFFF"/>
          <w:lang w:eastAsia="zh-CN"/>
        </w:rPr>
        <w:t>万元，其他支出：</w:t>
      </w:r>
      <w:r>
        <w:rPr>
          <w:rFonts w:hint="eastAsia" w:ascii="仿宋" w:hAnsi="仿宋" w:eastAsia="仿宋" w:cs="仿宋"/>
          <w:color w:val="000000"/>
          <w:sz w:val="32"/>
          <w:szCs w:val="32"/>
          <w:shd w:val="clear" w:fill="FFFFFF"/>
          <w:lang w:val="en-US"/>
        </w:rPr>
        <w:t>825.34</w:t>
      </w:r>
      <w:r>
        <w:rPr>
          <w:rFonts w:hint="eastAsia" w:ascii="仿宋" w:hAnsi="仿宋" w:eastAsia="仿宋" w:cs="仿宋"/>
          <w:color w:val="000000"/>
          <w:sz w:val="32"/>
          <w:szCs w:val="32"/>
          <w:shd w:val="clear" w:fill="FFFFFF"/>
          <w:lang w:eastAsia="zh-CN"/>
        </w:rPr>
        <w:t>万元。</w:t>
      </w:r>
      <w:r>
        <w:rPr>
          <w:rFonts w:hint="eastAsia" w:ascii="仿宋" w:hAnsi="仿宋" w:eastAsia="仿宋" w:cs="仿宋"/>
          <w:color w:val="000000"/>
          <w:sz w:val="32"/>
          <w:szCs w:val="32"/>
          <w:shd w:val="clear" w:fill="FFFFFF"/>
          <w:lang w:val="en-US"/>
        </w:rPr>
        <w:t>2021</w:t>
      </w:r>
      <w:r>
        <w:rPr>
          <w:rFonts w:hint="eastAsia" w:ascii="仿宋" w:hAnsi="仿宋" w:eastAsia="仿宋" w:cs="仿宋"/>
          <w:color w:val="000000"/>
          <w:sz w:val="32"/>
          <w:szCs w:val="32"/>
          <w:shd w:val="clear" w:fill="FFFFFF"/>
          <w:lang w:eastAsia="zh-CN"/>
        </w:rPr>
        <w:t>年部门决算项目支出总数</w:t>
      </w:r>
      <w:r>
        <w:rPr>
          <w:rFonts w:hint="eastAsia" w:ascii="仿宋" w:hAnsi="仿宋" w:eastAsia="仿宋" w:cs="仿宋"/>
          <w:color w:val="000000"/>
          <w:sz w:val="32"/>
          <w:szCs w:val="32"/>
          <w:shd w:val="clear" w:fill="FFFFFF"/>
          <w:lang w:val="en-US" w:eastAsia="zh-CN"/>
        </w:rPr>
        <w:t>2028.64</w:t>
      </w:r>
      <w:r>
        <w:rPr>
          <w:rFonts w:hint="eastAsia" w:ascii="仿宋" w:hAnsi="仿宋" w:eastAsia="仿宋" w:cs="仿宋"/>
          <w:color w:val="000000"/>
          <w:sz w:val="32"/>
          <w:szCs w:val="32"/>
          <w:shd w:val="clear" w:fill="FFFFFF"/>
          <w:lang w:eastAsia="zh-CN"/>
        </w:rPr>
        <w:t>万元，其中：一般行政管理事务项目经费：</w:t>
      </w:r>
      <w:r>
        <w:rPr>
          <w:rFonts w:hint="eastAsia" w:ascii="仿宋" w:hAnsi="仿宋" w:eastAsia="仿宋" w:cs="仿宋"/>
          <w:color w:val="000000"/>
          <w:sz w:val="32"/>
          <w:szCs w:val="32"/>
          <w:shd w:val="clear" w:fill="FFFFFF"/>
          <w:lang w:val="en-US" w:eastAsia="zh-CN"/>
        </w:rPr>
        <w:t>280.17</w:t>
      </w:r>
      <w:r>
        <w:rPr>
          <w:rFonts w:hint="eastAsia" w:ascii="仿宋" w:hAnsi="仿宋" w:eastAsia="仿宋" w:cs="仿宋"/>
          <w:color w:val="000000"/>
          <w:sz w:val="32"/>
          <w:szCs w:val="32"/>
          <w:shd w:val="clear" w:fill="FFFFFF"/>
          <w:lang w:eastAsia="zh-CN"/>
        </w:rPr>
        <w:t>万元，物价管理项目</w:t>
      </w:r>
      <w:r>
        <w:rPr>
          <w:rFonts w:hint="eastAsia" w:ascii="仿宋" w:hAnsi="仿宋" w:eastAsia="仿宋" w:cs="仿宋"/>
          <w:color w:val="000000"/>
          <w:sz w:val="32"/>
          <w:szCs w:val="32"/>
          <w:shd w:val="clear" w:fill="FFFFFF"/>
          <w:lang w:val="en-US"/>
        </w:rPr>
        <w:t>0.05</w:t>
      </w:r>
      <w:r>
        <w:rPr>
          <w:rFonts w:hint="eastAsia" w:ascii="仿宋" w:hAnsi="仿宋" w:eastAsia="仿宋" w:cs="仿宋"/>
          <w:color w:val="000000"/>
          <w:sz w:val="32"/>
          <w:szCs w:val="32"/>
          <w:shd w:val="clear" w:fill="FFFFFF"/>
          <w:lang w:eastAsia="zh-CN"/>
        </w:rPr>
        <w:t>万元，其他发展与改革事务项目：</w:t>
      </w:r>
      <w:r>
        <w:rPr>
          <w:rFonts w:hint="eastAsia" w:ascii="仿宋" w:hAnsi="仿宋" w:eastAsia="仿宋" w:cs="仿宋"/>
          <w:color w:val="000000"/>
          <w:sz w:val="32"/>
          <w:szCs w:val="32"/>
          <w:shd w:val="clear" w:fill="FFFFFF"/>
          <w:lang w:val="en-US"/>
        </w:rPr>
        <w:t>35.23</w:t>
      </w:r>
      <w:r>
        <w:rPr>
          <w:rFonts w:hint="eastAsia" w:ascii="仿宋" w:hAnsi="仿宋" w:eastAsia="仿宋" w:cs="仿宋"/>
          <w:color w:val="000000"/>
          <w:sz w:val="32"/>
          <w:szCs w:val="32"/>
          <w:shd w:val="clear" w:fill="FFFFFF"/>
          <w:lang w:eastAsia="zh-CN"/>
        </w:rPr>
        <w:t>万元，农林水支出：</w:t>
      </w:r>
      <w:r>
        <w:rPr>
          <w:rFonts w:hint="eastAsia" w:ascii="仿宋" w:hAnsi="仿宋" w:eastAsia="仿宋" w:cs="仿宋"/>
          <w:color w:val="000000"/>
          <w:sz w:val="32"/>
          <w:szCs w:val="32"/>
          <w:shd w:val="clear" w:fill="FFFFFF"/>
          <w:lang w:val="en-US" w:eastAsia="zh-CN"/>
        </w:rPr>
        <w:t>887.85</w:t>
      </w:r>
      <w:r>
        <w:rPr>
          <w:rFonts w:hint="eastAsia" w:ascii="仿宋" w:hAnsi="仿宋" w:eastAsia="仿宋" w:cs="仿宋"/>
          <w:color w:val="000000"/>
          <w:sz w:val="32"/>
          <w:szCs w:val="32"/>
          <w:shd w:val="clear" w:fill="FFFFFF"/>
          <w:lang w:eastAsia="zh-CN"/>
        </w:rPr>
        <w:t>万元，其他支出：</w:t>
      </w:r>
      <w:r>
        <w:rPr>
          <w:rFonts w:hint="eastAsia" w:ascii="仿宋" w:hAnsi="仿宋" w:eastAsia="仿宋" w:cs="仿宋"/>
          <w:color w:val="000000"/>
          <w:sz w:val="32"/>
          <w:szCs w:val="32"/>
          <w:shd w:val="clear" w:fill="FFFFFF"/>
          <w:lang w:val="en-US"/>
        </w:rPr>
        <w:t>825.34</w:t>
      </w:r>
      <w:r>
        <w:rPr>
          <w:rFonts w:hint="eastAsia" w:ascii="仿宋" w:hAnsi="仿宋" w:eastAsia="仿宋" w:cs="仿宋"/>
          <w:color w:val="000000"/>
          <w:sz w:val="32"/>
          <w:szCs w:val="32"/>
          <w:shd w:val="clear" w:fill="FFFFFF"/>
          <w:lang w:eastAsia="zh-CN"/>
        </w:rPr>
        <w:t xml:space="preserve">万元。 </w:t>
      </w:r>
    </w:p>
    <w:p w14:paraId="56D3EE19">
      <w:pPr>
        <w:pStyle w:val="2"/>
        <w:numPr>
          <w:ilvl w:val="0"/>
          <w:numId w:val="0"/>
        </w:numPr>
        <w:ind w:leftChars="200"/>
        <w:rPr>
          <w:lang w:val="zh-CN"/>
        </w:rPr>
      </w:pPr>
    </w:p>
    <w:p w14:paraId="566B6CC9">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14:paraId="2504A38D">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14:paraId="07C48733">
      <w:pPr>
        <w:keepNext w:val="0"/>
        <w:keepLines w:val="0"/>
        <w:pageBreakBefore w:val="0"/>
        <w:kinsoku/>
        <w:wordWrap/>
        <w:overflowPunct/>
        <w:topLinePunct w:val="0"/>
        <w:autoSpaceDE/>
        <w:autoSpaceDN/>
        <w:bidi w:val="0"/>
        <w:spacing w:beforeAutospacing="0" w:afterAutospacing="0" w:line="576" w:lineRule="exact"/>
        <w:ind w:right="0" w:rightChars="0"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县财政及时足额下达年初预算，上级部门下达转移支付专项资金指标后，也能及时将资金落实给部门，为部门的业务工作顺利开展提供了强有力的财力保障。</w:t>
      </w:r>
    </w:p>
    <w:p w14:paraId="091D260F">
      <w:pPr>
        <w:keepNext w:val="0"/>
        <w:keepLines w:val="0"/>
        <w:pageBreakBefore w:val="0"/>
        <w:kinsoku/>
        <w:wordWrap/>
        <w:overflowPunct/>
        <w:topLinePunct w:val="0"/>
        <w:autoSpaceDE/>
        <w:autoSpaceDN/>
        <w:bidi w:val="0"/>
        <w:snapToGrid w:val="0"/>
        <w:spacing w:beforeAutospacing="0" w:afterAutospacing="0" w:line="576" w:lineRule="exact"/>
        <w:ind w:right="0" w:rightChars="0" w:firstLine="640" w:firstLineChars="200"/>
        <w:textAlignment w:val="auto"/>
        <w:rPr>
          <w:rFonts w:hint="eastAsia" w:ascii="仿宋_GB2312" w:hAnsi="仿宋" w:eastAsia="仿宋_GB2312"/>
          <w:color w:val="auto"/>
          <w:sz w:val="32"/>
          <w:szCs w:val="32"/>
        </w:rPr>
      </w:pPr>
      <w:r>
        <w:rPr>
          <w:rFonts w:hint="eastAsia" w:ascii="仿宋_GB2312" w:hAnsi="仿宋"/>
          <w:color w:val="auto"/>
          <w:sz w:val="32"/>
          <w:szCs w:val="32"/>
          <w:lang w:val="en-US" w:eastAsia="zh-CN"/>
        </w:rPr>
        <w:t>2</w:t>
      </w:r>
      <w:r>
        <w:rPr>
          <w:rFonts w:hint="eastAsia" w:ascii="仿宋_GB2312" w:hAnsi="仿宋" w:eastAsia="仿宋_GB2312"/>
          <w:color w:val="auto"/>
          <w:sz w:val="32"/>
          <w:szCs w:val="32"/>
        </w:rPr>
        <w:t>0</w:t>
      </w:r>
      <w:r>
        <w:rPr>
          <w:rFonts w:hint="eastAsia" w:ascii="仿宋_GB2312" w:hAnsi="仿宋"/>
          <w:color w:val="auto"/>
          <w:sz w:val="32"/>
          <w:szCs w:val="32"/>
          <w:lang w:val="en-US" w:eastAsia="zh-CN"/>
        </w:rPr>
        <w:t>21</w:t>
      </w:r>
      <w:r>
        <w:rPr>
          <w:rFonts w:hint="eastAsia" w:ascii="仿宋_GB2312" w:hAnsi="仿宋" w:eastAsia="仿宋_GB2312"/>
          <w:color w:val="auto"/>
          <w:sz w:val="32"/>
          <w:szCs w:val="32"/>
        </w:rPr>
        <w:t>年</w:t>
      </w:r>
      <w:r>
        <w:rPr>
          <w:rFonts w:hint="eastAsia" w:ascii="仿宋_GB2312" w:hAnsi="仿宋"/>
          <w:color w:val="auto"/>
          <w:sz w:val="32"/>
          <w:szCs w:val="32"/>
          <w:lang w:eastAsia="zh-CN"/>
        </w:rPr>
        <w:t>总收入</w:t>
      </w:r>
      <w:r>
        <w:rPr>
          <w:rFonts w:hint="eastAsia" w:ascii="仿宋" w:hAnsi="仿宋" w:eastAsia="仿宋" w:cs="仿宋_GB2312"/>
          <w:sz w:val="32"/>
          <w:szCs w:val="32"/>
          <w:lang w:val="en-US" w:eastAsia="zh-CN"/>
        </w:rPr>
        <w:t>2461.29</w:t>
      </w:r>
      <w:r>
        <w:rPr>
          <w:rFonts w:hint="eastAsia" w:ascii="仿宋_GB2312" w:hAnsi="仿宋"/>
          <w:color w:val="000000"/>
          <w:sz w:val="32"/>
          <w:szCs w:val="32"/>
          <w:lang w:val="en-US" w:eastAsia="zh-CN"/>
        </w:rPr>
        <w:t>万元、</w:t>
      </w:r>
      <w:r>
        <w:rPr>
          <w:rFonts w:hint="eastAsia" w:ascii="仿宋_GB2312" w:hAnsi="仿宋" w:eastAsia="仿宋_GB2312"/>
          <w:color w:val="auto"/>
          <w:sz w:val="32"/>
          <w:szCs w:val="32"/>
        </w:rPr>
        <w:t>总支出</w:t>
      </w:r>
      <w:r>
        <w:rPr>
          <w:rFonts w:hint="eastAsia" w:ascii="仿宋" w:hAnsi="仿宋" w:eastAsia="仿宋"/>
          <w:color w:val="000000"/>
          <w:sz w:val="32"/>
          <w:szCs w:val="32"/>
          <w:lang w:val="en-US" w:eastAsia="zh-CN"/>
        </w:rPr>
        <w:t>2512.12</w:t>
      </w:r>
      <w:r>
        <w:rPr>
          <w:rFonts w:hint="eastAsia" w:ascii="仿宋_GB2312" w:hAnsi="仿宋" w:eastAsia="仿宋_GB2312"/>
          <w:color w:val="auto"/>
          <w:sz w:val="32"/>
          <w:szCs w:val="32"/>
        </w:rPr>
        <w:t>万元</w:t>
      </w:r>
      <w:r>
        <w:rPr>
          <w:rFonts w:hint="eastAsia" w:ascii="仿宋_GB2312" w:hAnsi="仿宋"/>
          <w:color w:val="auto"/>
          <w:sz w:val="32"/>
          <w:szCs w:val="32"/>
          <w:lang w:eastAsia="zh-CN"/>
        </w:rPr>
        <w:t>，</w:t>
      </w:r>
      <w:r>
        <w:rPr>
          <w:rFonts w:hint="eastAsia" w:ascii="仿宋_GB2312" w:hAnsi="仿宋" w:eastAsia="仿宋_GB2312"/>
          <w:color w:val="auto"/>
          <w:sz w:val="32"/>
          <w:szCs w:val="32"/>
        </w:rPr>
        <w:t>其中：</w:t>
      </w:r>
      <w:r>
        <w:rPr>
          <w:rFonts w:hint="eastAsia" w:ascii="仿宋_GB2312" w:hAnsi="仿宋" w:eastAsia="仿宋_GB2312"/>
          <w:color w:val="auto"/>
          <w:sz w:val="32"/>
          <w:szCs w:val="32"/>
          <w:lang w:eastAsia="zh-CN"/>
        </w:rPr>
        <w:t>工资福利支出</w:t>
      </w:r>
      <w:r>
        <w:rPr>
          <w:rFonts w:hint="eastAsia" w:ascii="仿宋_GB2312" w:hAnsi="仿宋"/>
          <w:color w:val="auto"/>
          <w:sz w:val="32"/>
          <w:szCs w:val="32"/>
          <w:lang w:val="en-US" w:eastAsia="zh-CN"/>
        </w:rPr>
        <w:t>374.24</w:t>
      </w:r>
      <w:r>
        <w:rPr>
          <w:rFonts w:hint="eastAsia" w:ascii="仿宋_GB2312" w:hAnsi="仿宋" w:eastAsia="仿宋_GB2312"/>
          <w:color w:val="auto"/>
          <w:sz w:val="32"/>
          <w:szCs w:val="32"/>
        </w:rPr>
        <w:t>万元、占总支出的</w:t>
      </w:r>
      <w:r>
        <w:rPr>
          <w:rFonts w:hint="eastAsia" w:ascii="仿宋_GB2312" w:hAnsi="仿宋"/>
          <w:color w:val="auto"/>
          <w:sz w:val="32"/>
          <w:szCs w:val="32"/>
          <w:lang w:val="en-US" w:eastAsia="zh-CN"/>
        </w:rPr>
        <w:t>14.9</w:t>
      </w: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商品和服务支出</w:t>
      </w:r>
      <w:r>
        <w:rPr>
          <w:rFonts w:hint="eastAsia" w:ascii="仿宋_GB2312" w:hAnsi="仿宋"/>
          <w:color w:val="auto"/>
          <w:sz w:val="32"/>
          <w:szCs w:val="32"/>
          <w:lang w:val="en-US" w:eastAsia="zh-CN"/>
        </w:rPr>
        <w:t>315.59</w:t>
      </w:r>
      <w:r>
        <w:rPr>
          <w:rFonts w:hint="eastAsia" w:ascii="仿宋_GB2312" w:hAnsi="仿宋" w:eastAsia="仿宋_GB2312"/>
          <w:color w:val="auto"/>
          <w:sz w:val="32"/>
          <w:szCs w:val="32"/>
        </w:rPr>
        <w:t>万元、占总支出的</w:t>
      </w:r>
      <w:r>
        <w:rPr>
          <w:rFonts w:hint="eastAsia" w:ascii="仿宋_GB2312" w:hAnsi="仿宋"/>
          <w:color w:val="auto"/>
          <w:sz w:val="32"/>
          <w:szCs w:val="32"/>
          <w:lang w:val="en-US" w:eastAsia="zh-CN"/>
        </w:rPr>
        <w:t>12.56</w:t>
      </w: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个人和家庭的补助</w:t>
      </w:r>
      <w:r>
        <w:rPr>
          <w:rFonts w:hint="eastAsia" w:ascii="仿宋_GB2312" w:hAnsi="仿宋"/>
          <w:color w:val="auto"/>
          <w:sz w:val="32"/>
          <w:szCs w:val="32"/>
          <w:lang w:val="en-US" w:eastAsia="zh-CN"/>
        </w:rPr>
        <w:t>51.05</w:t>
      </w:r>
      <w:r>
        <w:rPr>
          <w:rFonts w:hint="eastAsia" w:ascii="仿宋_GB2312" w:hAnsi="仿宋" w:eastAsia="仿宋_GB2312"/>
          <w:color w:val="auto"/>
          <w:sz w:val="32"/>
          <w:szCs w:val="32"/>
          <w:lang w:val="en-US" w:eastAsia="zh-CN"/>
        </w:rPr>
        <w:t>万元</w:t>
      </w:r>
      <w:r>
        <w:rPr>
          <w:rFonts w:hint="eastAsia" w:ascii="仿宋_GB2312" w:hAnsi="仿宋" w:eastAsia="仿宋_GB2312"/>
          <w:color w:val="auto"/>
          <w:sz w:val="32"/>
          <w:szCs w:val="32"/>
        </w:rPr>
        <w:t>、占总支出的</w:t>
      </w:r>
      <w:r>
        <w:rPr>
          <w:rFonts w:hint="eastAsia" w:ascii="仿宋_GB2312" w:hAnsi="仿宋"/>
          <w:color w:val="auto"/>
          <w:sz w:val="32"/>
          <w:szCs w:val="32"/>
          <w:lang w:val="en-US" w:eastAsia="zh-CN"/>
        </w:rPr>
        <w:t>2.03</w:t>
      </w: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w:t>
      </w:r>
      <w:r>
        <w:rPr>
          <w:rFonts w:hint="eastAsia" w:ascii="仿宋_GB2312" w:hAnsi="仿宋" w:eastAsia="仿宋_GB2312"/>
          <w:color w:val="auto"/>
          <w:sz w:val="32"/>
          <w:szCs w:val="32"/>
        </w:rPr>
        <w:t>其他资本性支出</w:t>
      </w:r>
      <w:r>
        <w:rPr>
          <w:rFonts w:hint="eastAsia" w:ascii="仿宋_GB2312" w:hAnsi="仿宋"/>
          <w:color w:val="auto"/>
          <w:sz w:val="32"/>
          <w:szCs w:val="32"/>
          <w:lang w:val="en-US" w:eastAsia="zh-CN"/>
        </w:rPr>
        <w:t>1771.23</w:t>
      </w:r>
      <w:r>
        <w:rPr>
          <w:rFonts w:hint="eastAsia" w:ascii="仿宋_GB2312" w:hAnsi="仿宋" w:eastAsia="仿宋_GB2312"/>
          <w:color w:val="auto"/>
          <w:sz w:val="32"/>
          <w:szCs w:val="32"/>
        </w:rPr>
        <w:t>万元，占总支出的</w:t>
      </w:r>
      <w:r>
        <w:rPr>
          <w:rFonts w:hint="eastAsia" w:ascii="仿宋_GB2312" w:hAnsi="仿宋"/>
          <w:color w:val="auto"/>
          <w:sz w:val="32"/>
          <w:szCs w:val="32"/>
          <w:lang w:val="en-US" w:eastAsia="zh-CN"/>
        </w:rPr>
        <w:t>70.51</w:t>
      </w:r>
      <w:r>
        <w:rPr>
          <w:rFonts w:hint="eastAsia" w:ascii="仿宋_GB2312" w:hAnsi="仿宋" w:eastAsia="仿宋_GB2312"/>
          <w:color w:val="auto"/>
          <w:sz w:val="32"/>
          <w:szCs w:val="32"/>
        </w:rPr>
        <w:t>%。</w:t>
      </w:r>
    </w:p>
    <w:p w14:paraId="1A8CBE92">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14:paraId="7429A4B0">
      <w:pPr>
        <w:pStyle w:val="20"/>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我单位无政府性债务</w:t>
      </w:r>
      <w:r>
        <w:rPr>
          <w:rFonts w:hint="eastAsia" w:ascii="仿宋" w:hAnsi="仿宋" w:eastAsia="仿宋" w:cs="仿宋"/>
          <w:sz w:val="32"/>
          <w:szCs w:val="32"/>
          <w:lang w:eastAsia="zh-CN"/>
        </w:rPr>
        <w:t>；无</w:t>
      </w:r>
      <w:r>
        <w:rPr>
          <w:rFonts w:hint="eastAsia" w:ascii="仿宋" w:hAnsi="仿宋" w:eastAsia="仿宋" w:cs="仿宋"/>
          <w:sz w:val="32"/>
          <w:szCs w:val="32"/>
        </w:rPr>
        <w:t>非税收收入</w:t>
      </w:r>
      <w:r>
        <w:rPr>
          <w:rFonts w:hint="eastAsia" w:ascii="仿宋" w:hAnsi="仿宋" w:eastAsia="仿宋" w:cs="仿宋"/>
          <w:sz w:val="32"/>
          <w:szCs w:val="32"/>
          <w:lang w:eastAsia="zh-CN"/>
        </w:rPr>
        <w:t>；</w:t>
      </w:r>
      <w:r>
        <w:rPr>
          <w:rFonts w:hint="eastAsia" w:ascii="仿宋" w:hAnsi="仿宋" w:eastAsia="仿宋" w:cs="仿宋"/>
          <w:sz w:val="32"/>
          <w:szCs w:val="32"/>
        </w:rPr>
        <w:t>政府采购严格按照相关采购规定执行。</w:t>
      </w:r>
    </w:p>
    <w:p w14:paraId="25477F9D">
      <w:pPr>
        <w:pStyle w:val="20"/>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color w:val="000000"/>
          <w:sz w:val="32"/>
          <w:szCs w:val="32"/>
        </w:rPr>
      </w:pPr>
      <w:r>
        <w:rPr>
          <w:rFonts w:hint="eastAsia" w:ascii="仿宋" w:hAnsi="仿宋" w:eastAsia="仿宋" w:cs="仿宋"/>
          <w:sz w:val="32"/>
          <w:szCs w:val="32"/>
        </w:rPr>
        <w:t>资产管理严格按照资产管理制度执行，</w:t>
      </w:r>
      <w:r>
        <w:rPr>
          <w:rFonts w:hint="eastAsia" w:ascii="仿宋" w:hAnsi="仿宋" w:eastAsia="仿宋" w:cs="仿宋"/>
          <w:color w:val="000000"/>
          <w:sz w:val="32"/>
          <w:szCs w:val="32"/>
        </w:rPr>
        <w:t>严格执行法律、法规和有关规章制度;与行政单位履行职能需要相适应;科学合理,充分发挥资产使用效益;勤俭节约,从严控制。</w:t>
      </w:r>
    </w:p>
    <w:p w14:paraId="663001B3">
      <w:pPr>
        <w:pStyle w:val="20"/>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sz w:val="32"/>
          <w:szCs w:val="32"/>
        </w:rPr>
      </w:pPr>
      <w:r>
        <w:rPr>
          <w:rFonts w:hint="eastAsia" w:ascii="仿宋" w:hAnsi="仿宋" w:eastAsia="仿宋" w:cs="仿宋"/>
          <w:color w:val="000000"/>
          <w:sz w:val="32"/>
          <w:szCs w:val="32"/>
        </w:rPr>
        <w:t>建立单位内控制度，</w:t>
      </w:r>
      <w:r>
        <w:rPr>
          <w:rFonts w:hint="eastAsia" w:ascii="仿宋" w:hAnsi="仿宋" w:eastAsia="仿宋" w:cs="仿宋"/>
          <w:sz w:val="32"/>
          <w:szCs w:val="32"/>
        </w:rPr>
        <w:t>在单位内部控制不断完善的基础上，针对其行政事业单位内部控制的独特性开展内部控制自我评价工作，可以使单位全体人员及时发现内部控制存在的问题，并采取有效改进措施，加大内部控制执行力度，保证行政事业单位内部控制目标的实现。</w:t>
      </w:r>
    </w:p>
    <w:p w14:paraId="5FECBF4E">
      <w:pPr>
        <w:pStyle w:val="20"/>
        <w:keepNext w:val="0"/>
        <w:keepLines w:val="0"/>
        <w:pageBreakBefore w:val="0"/>
        <w:kinsoku/>
        <w:wordWrap/>
        <w:overflowPunct/>
        <w:topLinePunct w:val="0"/>
        <w:autoSpaceDE/>
        <w:autoSpaceDN/>
        <w:bidi w:val="0"/>
        <w:spacing w:before="0" w:beforeAutospacing="0" w:after="0" w:afterAutospacing="0" w:line="576" w:lineRule="exact"/>
        <w:ind w:right="0" w:rightChars="0" w:firstLine="640" w:firstLineChars="200"/>
        <w:textAlignment w:val="auto"/>
        <w:rPr>
          <w:rFonts w:hint="eastAsia" w:ascii="仿宋" w:hAnsi="仿宋" w:eastAsia="仿宋" w:cs="仿宋"/>
          <w:color w:val="000000"/>
          <w:sz w:val="32"/>
          <w:szCs w:val="32"/>
        </w:rPr>
      </w:pPr>
      <w:r>
        <w:rPr>
          <w:rFonts w:hint="eastAsia" w:ascii="仿宋" w:hAnsi="仿宋" w:eastAsia="仿宋" w:cs="仿宋"/>
          <w:sz w:val="32"/>
          <w:szCs w:val="32"/>
        </w:rPr>
        <w:t>我</w:t>
      </w:r>
      <w:r>
        <w:rPr>
          <w:rFonts w:hint="eastAsia" w:ascii="仿宋" w:hAnsi="仿宋" w:eastAsia="仿宋" w:cs="仿宋"/>
          <w:sz w:val="32"/>
          <w:szCs w:val="32"/>
          <w:lang w:eastAsia="zh-CN"/>
        </w:rPr>
        <w:t>局</w:t>
      </w:r>
      <w:r>
        <w:rPr>
          <w:rFonts w:hint="eastAsia" w:ascii="仿宋" w:hAnsi="仿宋" w:eastAsia="仿宋" w:cs="仿宋"/>
          <w:sz w:val="32"/>
          <w:szCs w:val="32"/>
        </w:rPr>
        <w:t>将同级财政部门批复的本部门预决算报表及相关说明全部在政府门户网站公开，</w:t>
      </w:r>
      <w:r>
        <w:rPr>
          <w:rFonts w:hint="eastAsia" w:ascii="仿宋" w:hAnsi="仿宋" w:eastAsia="仿宋" w:cs="仿宋"/>
          <w:color w:val="000000"/>
          <w:sz w:val="32"/>
          <w:szCs w:val="32"/>
        </w:rPr>
        <w:t>包括部门收支总体情况和财政拨款收支情况，公开公示了我部门“三公”经费财政拨款预决算总额和分项数额。本部门公开预决算的同时，一并公开了本部门的职责、机构设置情况、预决算收支增减变化、机关运行经费安排以及政府采购等情况的说明，并对专业性较强的名词进行解释</w:t>
      </w:r>
    </w:p>
    <w:p w14:paraId="66007DE3">
      <w:pPr>
        <w:widowControl/>
        <w:adjustRightInd w:val="0"/>
        <w:snapToGrid w:val="0"/>
        <w:spacing w:line="580" w:lineRule="exact"/>
        <w:ind w:firstLine="420" w:firstLineChars="200"/>
        <w:contextualSpacing/>
        <w:jc w:val="left"/>
        <w:rPr>
          <w:rFonts w:ascii="仿宋_GB2312" w:cs="宋体"/>
          <w:color w:val="000000"/>
          <w:kern w:val="0"/>
          <w:szCs w:val="32"/>
          <w:shd w:val="clear" w:color="auto" w:fill="FFFFFF"/>
          <w:lang w:val="zh-CN"/>
        </w:rPr>
      </w:pPr>
    </w:p>
    <w:p w14:paraId="52422A75">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62F7A736">
      <w:pPr>
        <w:widowControl/>
        <w:adjustRightInd w:val="0"/>
        <w:snapToGrid w:val="0"/>
        <w:spacing w:line="58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（一）评价结论。</w:t>
      </w:r>
    </w:p>
    <w:p w14:paraId="00618EA5">
      <w:pPr>
        <w:keepNext w:val="0"/>
        <w:keepLines w:val="0"/>
        <w:pageBreakBefore w:val="0"/>
        <w:widowControl/>
        <w:kinsoku/>
        <w:wordWrap/>
        <w:overflowPunct/>
        <w:topLinePunct w:val="0"/>
        <w:autoSpaceDE/>
        <w:autoSpaceDN/>
        <w:bidi w:val="0"/>
        <w:spacing w:beforeAutospacing="0" w:afterAutospacing="0" w:line="576" w:lineRule="exact"/>
        <w:ind w:right="0" w:rightChars="0"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2021</w:t>
      </w:r>
      <w:r>
        <w:rPr>
          <w:rFonts w:hint="eastAsia" w:ascii="仿宋" w:hAnsi="仿宋" w:eastAsia="仿宋" w:cs="仿宋"/>
          <w:color w:val="000000"/>
          <w:sz w:val="32"/>
          <w:szCs w:val="32"/>
        </w:rPr>
        <w:t>年我部门预算执行整体情况正常，按照各项工作有序开展的进度，财政资金收支情况同时也按进度执行。</w:t>
      </w:r>
    </w:p>
    <w:p w14:paraId="5B211B7B">
      <w:pPr>
        <w:widowControl/>
        <w:adjustRightInd w:val="0"/>
        <w:snapToGrid w:val="0"/>
        <w:spacing w:line="58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（二）存在问题。</w:t>
      </w:r>
    </w:p>
    <w:p w14:paraId="01A2561D">
      <w:pPr>
        <w:widowControl/>
        <w:adjustRightInd w:val="0"/>
        <w:snapToGrid w:val="0"/>
        <w:spacing w:line="580" w:lineRule="exact"/>
        <w:ind w:firstLine="640" w:firstLineChars="20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sz w:val="32"/>
          <w:szCs w:val="32"/>
        </w:rPr>
        <w:t>单位无专业财务人员</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财务工作越来越繁重复杂，影响了本单位财务收支工作。</w:t>
      </w:r>
    </w:p>
    <w:p w14:paraId="5E303C7C">
      <w:pPr>
        <w:widowControl/>
        <w:numPr>
          <w:ilvl w:val="0"/>
          <w:numId w:val="7"/>
        </w:numPr>
        <w:adjustRightInd w:val="0"/>
        <w:snapToGrid w:val="0"/>
        <w:spacing w:line="580" w:lineRule="exact"/>
        <w:ind w:left="0" w:leftChars="0" w:firstLine="720" w:firstLineChars="0"/>
        <w:contextualSpacing/>
        <w:jc w:val="left"/>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zh-CN"/>
        </w:rPr>
        <w:t>改进建议。</w:t>
      </w:r>
    </w:p>
    <w:p w14:paraId="153957D6">
      <w:pPr>
        <w:keepNext w:val="0"/>
        <w:keepLines w:val="0"/>
        <w:pageBreakBefore w:val="0"/>
        <w:widowControl/>
        <w:kinsoku/>
        <w:wordWrap/>
        <w:overflowPunct/>
        <w:topLinePunct w:val="0"/>
        <w:autoSpaceDE/>
        <w:autoSpaceDN/>
        <w:bidi w:val="0"/>
        <w:adjustRightInd w:val="0"/>
        <w:snapToGrid w:val="0"/>
        <w:spacing w:beforeAutospacing="0" w:afterAutospacing="0" w:line="576" w:lineRule="exact"/>
        <w:ind w:left="0" w:leftChars="0" w:right="0" w:rightChars="0" w:firstLine="720"/>
        <w:jc w:val="left"/>
        <w:textAlignment w:val="auto"/>
        <w:outlineLvl w:val="9"/>
        <w:rPr>
          <w:rFonts w:hint="eastAsia"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我局结合实际就如何继续抓好此项工作拟出如下几点意见：一是健全财务制度。二是提升人员素质，加强工作人员学习培训，提升工作人员业务水平、工作能力与责任心。三是继续加大公开力度，强化监督。</w:t>
      </w:r>
    </w:p>
    <w:p w14:paraId="615F86C7">
      <w:pPr>
        <w:spacing w:line="580" w:lineRule="exact"/>
        <w:ind w:firstLine="640" w:firstLineChars="200"/>
        <w:rPr>
          <w:rFonts w:hint="eastAsia" w:ascii="仿宋" w:hAnsi="仿宋" w:eastAsia="仿宋" w:cs="仿宋"/>
          <w:sz w:val="32"/>
          <w:szCs w:val="32"/>
        </w:rPr>
      </w:pPr>
    </w:p>
    <w:p w14:paraId="52B826E7">
      <w:pPr>
        <w:spacing w:line="580" w:lineRule="exact"/>
        <w:ind w:firstLine="640" w:firstLineChars="200"/>
        <w:rPr>
          <w:rFonts w:hint="eastAsia" w:ascii="仿宋" w:hAnsi="仿宋" w:eastAsia="仿宋" w:cs="仿宋"/>
          <w:sz w:val="32"/>
          <w:szCs w:val="32"/>
        </w:rPr>
      </w:pPr>
    </w:p>
    <w:p w14:paraId="0673F46D">
      <w:pPr>
        <w:pStyle w:val="20"/>
        <w:rPr>
          <w:rFonts w:hint="eastAsia" w:ascii="仿宋" w:hAnsi="仿宋" w:eastAsia="仿宋" w:cs="仿宋"/>
          <w:sz w:val="32"/>
          <w:szCs w:val="32"/>
        </w:rPr>
      </w:pPr>
    </w:p>
    <w:p w14:paraId="5C3121B1">
      <w:pPr>
        <w:rPr>
          <w:rFonts w:hint="eastAsia" w:ascii="仿宋" w:hAnsi="仿宋" w:eastAsia="仿宋" w:cs="仿宋"/>
          <w:sz w:val="32"/>
          <w:szCs w:val="32"/>
        </w:rPr>
      </w:pPr>
    </w:p>
    <w:p w14:paraId="71A889DD">
      <w:pPr>
        <w:pStyle w:val="20"/>
        <w:rPr>
          <w:rFonts w:hint="eastAsia" w:ascii="仿宋" w:hAnsi="仿宋" w:eastAsia="仿宋" w:cs="仿宋"/>
          <w:sz w:val="32"/>
          <w:szCs w:val="32"/>
        </w:rPr>
      </w:pPr>
    </w:p>
    <w:p w14:paraId="4AD2B35D">
      <w:pPr>
        <w:rPr>
          <w:rFonts w:hint="eastAsia" w:ascii="仿宋" w:hAnsi="仿宋" w:eastAsia="仿宋" w:cs="仿宋"/>
          <w:sz w:val="32"/>
          <w:szCs w:val="32"/>
        </w:rPr>
      </w:pPr>
    </w:p>
    <w:p w14:paraId="54E0FD9B">
      <w:pPr>
        <w:pStyle w:val="20"/>
        <w:rPr>
          <w:rFonts w:hint="eastAsia" w:ascii="仿宋" w:hAnsi="仿宋" w:eastAsia="仿宋" w:cs="仿宋"/>
          <w:sz w:val="32"/>
          <w:szCs w:val="32"/>
        </w:rPr>
      </w:pPr>
    </w:p>
    <w:p w14:paraId="4A41E46C">
      <w:pPr>
        <w:rPr>
          <w:rFonts w:hint="eastAsia" w:ascii="仿宋" w:hAnsi="仿宋" w:eastAsia="仿宋" w:cs="仿宋"/>
          <w:sz w:val="32"/>
          <w:szCs w:val="32"/>
        </w:rPr>
      </w:pPr>
    </w:p>
    <w:p w14:paraId="3FDA6901">
      <w:pPr>
        <w:pStyle w:val="20"/>
        <w:rPr>
          <w:rFonts w:hint="eastAsia" w:ascii="仿宋" w:hAnsi="仿宋" w:eastAsia="仿宋" w:cs="仿宋"/>
          <w:sz w:val="32"/>
          <w:szCs w:val="32"/>
        </w:rPr>
      </w:pPr>
    </w:p>
    <w:p w14:paraId="5ABA737D">
      <w:pPr>
        <w:rPr>
          <w:rFonts w:hint="eastAsia" w:ascii="仿宋" w:hAnsi="仿宋" w:eastAsia="仿宋" w:cs="仿宋"/>
          <w:sz w:val="32"/>
          <w:szCs w:val="32"/>
        </w:rPr>
      </w:pPr>
    </w:p>
    <w:p w14:paraId="44DC052F">
      <w:pPr>
        <w:pStyle w:val="20"/>
        <w:rPr>
          <w:rFonts w:hint="eastAsia" w:ascii="仿宋" w:hAnsi="仿宋" w:eastAsia="仿宋" w:cs="仿宋"/>
          <w:sz w:val="32"/>
          <w:szCs w:val="32"/>
        </w:rPr>
      </w:pPr>
    </w:p>
    <w:p w14:paraId="050B9A51">
      <w:pPr>
        <w:rPr>
          <w:rFonts w:hint="eastAsia"/>
        </w:rPr>
      </w:pPr>
    </w:p>
    <w:p w14:paraId="0905B76A">
      <w:pPr>
        <w:spacing w:line="600" w:lineRule="exact"/>
        <w:jc w:val="left"/>
        <w:outlineLvl w:val="0"/>
        <w:rPr>
          <w:rFonts w:ascii="黑体" w:hAnsi="黑体" w:eastAsia="黑体" w:cs="黑体"/>
          <w:sz w:val="32"/>
          <w:szCs w:val="32"/>
        </w:rPr>
      </w:pPr>
      <w:bookmarkStart w:id="114" w:name="_Toc79163633"/>
      <w:bookmarkStart w:id="115" w:name="_Toc79163883"/>
      <w:r>
        <w:rPr>
          <w:rFonts w:hint="eastAsia" w:ascii="黑体" w:hAnsi="黑体" w:eastAsia="黑体" w:cs="黑体"/>
          <w:sz w:val="32"/>
          <w:szCs w:val="32"/>
        </w:rPr>
        <w:t>附件</w:t>
      </w:r>
      <w:r>
        <w:rPr>
          <w:rFonts w:ascii="黑体" w:hAnsi="黑体" w:eastAsia="黑体" w:cs="黑体"/>
          <w:sz w:val="32"/>
          <w:szCs w:val="32"/>
        </w:rPr>
        <w:t>2</w:t>
      </w:r>
      <w:bookmarkEnd w:id="114"/>
      <w:bookmarkEnd w:id="115"/>
    </w:p>
    <w:p w14:paraId="6E5F7CDA">
      <w:pPr>
        <w:spacing w:line="580" w:lineRule="exact"/>
        <w:ind w:firstLine="640" w:firstLineChars="200"/>
        <w:rPr>
          <w:rFonts w:ascii="仿宋_GB2312" w:hAnsi="仿宋_GB2312" w:eastAsia="仿宋_GB2312" w:cs="仿宋_GB2312"/>
          <w:sz w:val="32"/>
          <w:szCs w:val="32"/>
        </w:rPr>
      </w:pPr>
    </w:p>
    <w:p w14:paraId="33B9B10A">
      <w:pPr>
        <w:spacing w:line="600" w:lineRule="exact"/>
        <w:jc w:val="center"/>
        <w:outlineLvl w:val="0"/>
        <w:rPr>
          <w:rFonts w:ascii="方正小标宋简体" w:hAnsi="黑体" w:eastAsia="方正小标宋简体" w:cs="黑体"/>
          <w:sz w:val="44"/>
          <w:szCs w:val="44"/>
        </w:rPr>
      </w:pPr>
      <w:bookmarkStart w:id="116" w:name="_Toc79163884"/>
      <w:bookmarkStart w:id="117" w:name="_Toc79163634"/>
      <w:r>
        <w:rPr>
          <w:rFonts w:hint="eastAsia" w:ascii="方正小标宋简体" w:hAnsi="黑体" w:eastAsia="方正小标宋简体" w:cs="黑体"/>
          <w:sz w:val="44"/>
          <w:szCs w:val="44"/>
          <w:lang w:eastAsia="zh-CN"/>
        </w:rPr>
        <w:t>“十四五”规划编制服务</w:t>
      </w:r>
      <w:r>
        <w:rPr>
          <w:rFonts w:hint="eastAsia" w:ascii="方正小标宋简体" w:hAnsi="黑体" w:eastAsia="方正小标宋简体" w:cs="黑体"/>
          <w:sz w:val="44"/>
          <w:szCs w:val="44"/>
        </w:rPr>
        <w:t>项目2021年绩效评价报告</w:t>
      </w:r>
      <w:bookmarkEnd w:id="116"/>
      <w:bookmarkEnd w:id="117"/>
    </w:p>
    <w:p w14:paraId="71515461">
      <w:pPr>
        <w:spacing w:line="600" w:lineRule="exact"/>
        <w:rPr>
          <w:rFonts w:ascii="宋体"/>
          <w:sz w:val="32"/>
          <w:szCs w:val="32"/>
          <w:lang w:val="zh-CN"/>
        </w:rPr>
      </w:pPr>
    </w:p>
    <w:p w14:paraId="1513B29A">
      <w:pPr>
        <w:adjustRightInd w:val="0"/>
        <w:snapToGrid w:val="0"/>
        <w:spacing w:line="60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380D0746">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1B9C3F9B">
      <w:pPr>
        <w:adjustRightInd w:val="0"/>
        <w:snapToGrid w:val="0"/>
        <w:spacing w:line="600" w:lineRule="exact"/>
        <w:ind w:firstLine="720"/>
        <w:rPr>
          <w:rFonts w:hint="eastAsia" w:ascii="仿宋_GB2312" w:hAnsi="宋体" w:eastAsia="仿宋_GB2312"/>
          <w:sz w:val="32"/>
          <w:szCs w:val="32"/>
          <w:lang w:val="zh-CN"/>
        </w:rPr>
      </w:pPr>
      <w:r>
        <w:rPr>
          <w:rFonts w:ascii="仿宋_GB2312" w:hAnsi="宋体" w:eastAsia="仿宋_GB2312"/>
          <w:sz w:val="32"/>
          <w:szCs w:val="32"/>
          <w:lang w:val="zh-CN"/>
        </w:rPr>
        <w:t>1</w:t>
      </w:r>
      <w:r>
        <w:rPr>
          <w:rFonts w:hint="eastAsia" w:ascii="仿宋_GB2312" w:hAnsi="宋体" w:eastAsia="仿宋_GB2312"/>
          <w:sz w:val="32"/>
          <w:szCs w:val="32"/>
          <w:lang w:val="zh-CN"/>
        </w:rPr>
        <w:t>．说明项目主管部门（单位）在该项目管理中的职能。</w:t>
      </w:r>
    </w:p>
    <w:p w14:paraId="7A6154A3">
      <w:pPr>
        <w:keepNext w:val="0"/>
        <w:keepLines w:val="0"/>
        <w:pageBreakBefore w:val="0"/>
        <w:widowControl w:val="0"/>
        <w:kinsoku/>
        <w:wordWrap/>
        <w:overflowPunct/>
        <w:topLinePunct w:val="0"/>
        <w:autoSpaceDE/>
        <w:autoSpaceDN/>
        <w:bidi w:val="0"/>
        <w:adjustRightInd/>
        <w:snapToGrid/>
        <w:spacing w:line="578" w:lineRule="exact"/>
        <w:ind w:left="0" w:leftChars="0" w:right="0" w:rightChars="0" w:firstLine="640" w:firstLineChars="0"/>
        <w:jc w:val="both"/>
        <w:textAlignment w:val="auto"/>
        <w:outlineLvl w:val="9"/>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规划纲要全面总结了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十</w:t>
      </w:r>
      <w:r>
        <w:rPr>
          <w:rFonts w:hint="eastAsia" w:ascii="仿宋_GB2312" w:hAnsi="仿宋_GB2312" w:eastAsia="仿宋_GB2312" w:cs="仿宋_GB2312"/>
          <w:color w:val="000000"/>
          <w:sz w:val="32"/>
          <w:szCs w:val="32"/>
          <w:lang w:val="en-US" w:eastAsia="zh-CN"/>
        </w:rPr>
        <w:t>三</w:t>
      </w:r>
      <w:r>
        <w:rPr>
          <w:rFonts w:hint="eastAsia" w:ascii="仿宋_GB2312" w:hAnsi="仿宋_GB2312" w:eastAsia="仿宋_GB2312" w:cs="仿宋_GB2312"/>
          <w:color w:val="000000"/>
          <w:sz w:val="32"/>
          <w:szCs w:val="32"/>
        </w:rPr>
        <w:t>五</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的发展成就和成功经验</w:t>
      </w:r>
      <w:r>
        <w:rPr>
          <w:rFonts w:hint="eastAsia" w:ascii="仿宋_GB2312" w:hAnsi="仿宋_GB2312" w:eastAsia="仿宋_GB2312" w:cs="仿宋_GB2312"/>
          <w:color w:val="000000"/>
          <w:sz w:val="32"/>
          <w:szCs w:val="32"/>
          <w:lang w:eastAsia="zh-CN"/>
        </w:rPr>
        <w:t>，深刻</w:t>
      </w:r>
      <w:r>
        <w:rPr>
          <w:rFonts w:hint="eastAsia" w:ascii="仿宋_GB2312" w:hAnsi="仿宋_GB2312" w:eastAsia="仿宋_GB2312" w:cs="仿宋_GB2312"/>
          <w:color w:val="000000"/>
          <w:sz w:val="32"/>
          <w:szCs w:val="32"/>
        </w:rPr>
        <w:t>分析了我</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rPr>
        <w:t>“十</w:t>
      </w:r>
      <w:r>
        <w:rPr>
          <w:rFonts w:hint="eastAsia" w:ascii="仿宋_GB2312" w:hAnsi="仿宋_GB2312" w:eastAsia="仿宋_GB2312" w:cs="仿宋_GB2312"/>
          <w:color w:val="000000"/>
          <w:sz w:val="32"/>
          <w:szCs w:val="32"/>
          <w:lang w:val="en-US" w:eastAsia="zh-CN"/>
        </w:rPr>
        <w:t>四</w:t>
      </w:r>
      <w:r>
        <w:rPr>
          <w:rFonts w:hint="eastAsia" w:ascii="仿宋_GB2312" w:hAnsi="仿宋_GB2312" w:eastAsia="仿宋_GB2312" w:cs="仿宋_GB2312"/>
          <w:color w:val="000000"/>
          <w:sz w:val="32"/>
          <w:szCs w:val="32"/>
        </w:rPr>
        <w:t>五”时期所面临的挑战和机遇，提出的今后五年经济社会发展奋斗目标和主要任务，</w:t>
      </w:r>
      <w:r>
        <w:rPr>
          <w:rFonts w:hint="eastAsia" w:ascii="仿宋_GB2312" w:hAnsi="仿宋_GB2312" w:eastAsia="仿宋_GB2312" w:cs="仿宋_GB2312"/>
          <w:color w:val="000000"/>
          <w:sz w:val="32"/>
          <w:szCs w:val="32"/>
          <w:lang w:eastAsia="zh-CN"/>
        </w:rPr>
        <w:t>契合中央、省</w:t>
      </w:r>
      <w:r>
        <w:rPr>
          <w:rFonts w:hint="eastAsia" w:ascii="仿宋_GB2312" w:hAnsi="仿宋_GB2312" w:eastAsia="仿宋_GB2312" w:cs="仿宋_GB2312"/>
          <w:color w:val="000000"/>
          <w:sz w:val="32"/>
          <w:szCs w:val="32"/>
          <w:lang w:val="en-US" w:eastAsia="zh-CN"/>
        </w:rPr>
        <w:t>委</w:t>
      </w:r>
      <w:r>
        <w:rPr>
          <w:rFonts w:hint="eastAsia" w:ascii="仿宋_GB2312" w:hAnsi="仿宋_GB2312" w:eastAsia="仿宋_GB2312" w:cs="仿宋_GB2312"/>
          <w:color w:val="000000"/>
          <w:sz w:val="32"/>
          <w:szCs w:val="32"/>
          <w:lang w:eastAsia="zh-CN"/>
        </w:rPr>
        <w:t>、州</w:t>
      </w:r>
      <w:r>
        <w:rPr>
          <w:rFonts w:hint="eastAsia" w:ascii="仿宋_GB2312" w:hAnsi="仿宋_GB2312" w:eastAsia="仿宋_GB2312" w:cs="仿宋_GB2312"/>
          <w:color w:val="000000"/>
          <w:sz w:val="32"/>
          <w:szCs w:val="32"/>
          <w:lang w:val="en-US" w:eastAsia="zh-CN"/>
        </w:rPr>
        <w:t>委和县委</w:t>
      </w:r>
      <w:r>
        <w:rPr>
          <w:rFonts w:hint="eastAsia" w:ascii="仿宋_GB2312" w:hAnsi="仿宋_GB2312" w:eastAsia="仿宋_GB2312" w:cs="仿宋_GB2312"/>
          <w:color w:val="000000"/>
          <w:sz w:val="32"/>
          <w:szCs w:val="32"/>
          <w:lang w:eastAsia="zh-CN"/>
        </w:rPr>
        <w:t>工作部署，</w:t>
      </w:r>
      <w:r>
        <w:rPr>
          <w:rFonts w:hint="eastAsia" w:ascii="仿宋_GB2312" w:hAnsi="仿宋_GB2312" w:eastAsia="仿宋_GB2312" w:cs="仿宋_GB2312"/>
          <w:color w:val="000000"/>
          <w:sz w:val="32"/>
          <w:szCs w:val="32"/>
          <w:shd w:val="clear" w:color="auto" w:fill="FFFFFF"/>
          <w:lang w:val="en-US" w:eastAsia="zh-CN"/>
        </w:rPr>
        <w:t>涵盖了政府工作的方方面面，</w:t>
      </w:r>
      <w:r>
        <w:rPr>
          <w:rFonts w:hint="eastAsia" w:ascii="仿宋_GB2312" w:hAnsi="仿宋_GB2312" w:eastAsia="仿宋_GB2312" w:cs="仿宋_GB2312"/>
          <w:color w:val="000000"/>
          <w:sz w:val="32"/>
          <w:szCs w:val="32"/>
        </w:rPr>
        <w:t>体现了全</w:t>
      </w:r>
      <w:r>
        <w:rPr>
          <w:rFonts w:hint="eastAsia" w:ascii="仿宋_GB2312" w:hAnsi="仿宋_GB2312" w:eastAsia="仿宋_GB2312" w:cs="仿宋_GB2312"/>
          <w:color w:val="000000"/>
          <w:sz w:val="32"/>
          <w:szCs w:val="32"/>
          <w:lang w:eastAsia="zh-CN"/>
        </w:rPr>
        <w:t>县</w:t>
      </w:r>
      <w:r>
        <w:rPr>
          <w:rFonts w:hint="eastAsia" w:ascii="仿宋_GB2312" w:hAnsi="仿宋_GB2312" w:eastAsia="仿宋_GB2312" w:cs="仿宋_GB2312"/>
          <w:color w:val="000000"/>
          <w:sz w:val="32"/>
          <w:szCs w:val="32"/>
        </w:rPr>
        <w:t>各族</w:t>
      </w:r>
      <w:r>
        <w:rPr>
          <w:rFonts w:hint="eastAsia" w:ascii="仿宋_GB2312" w:hAnsi="仿宋_GB2312" w:eastAsia="仿宋_GB2312" w:cs="仿宋_GB2312"/>
          <w:color w:val="000000"/>
          <w:sz w:val="32"/>
          <w:szCs w:val="32"/>
          <w:lang w:val="en-US" w:eastAsia="zh-CN"/>
        </w:rPr>
        <w:t>群众</w:t>
      </w:r>
      <w:r>
        <w:rPr>
          <w:rFonts w:hint="eastAsia" w:ascii="仿宋_GB2312" w:hAnsi="仿宋_GB2312" w:eastAsia="仿宋_GB2312" w:cs="仿宋_GB2312"/>
          <w:color w:val="000000"/>
          <w:sz w:val="32"/>
          <w:szCs w:val="32"/>
        </w:rPr>
        <w:t>的共同意愿，符合我县经济和社会发展的实际，</w:t>
      </w:r>
      <w:r>
        <w:rPr>
          <w:rFonts w:hint="eastAsia" w:ascii="仿宋_GB2312" w:hAnsi="仿宋_GB2312" w:eastAsia="仿宋_GB2312" w:cs="仿宋_GB2312"/>
          <w:color w:val="000000"/>
          <w:sz w:val="32"/>
          <w:szCs w:val="32"/>
          <w:lang w:val="en-US" w:eastAsia="zh-CN"/>
        </w:rPr>
        <w:t>是全县各族群众共同奋斗的行动纲领</w:t>
      </w:r>
      <w:r>
        <w:rPr>
          <w:rFonts w:hint="eastAsia" w:ascii="仿宋_GB2312" w:hAnsi="仿宋_GB2312" w:eastAsia="仿宋_GB2312" w:cs="仿宋_GB2312"/>
          <w:color w:val="000000"/>
          <w:sz w:val="32"/>
          <w:szCs w:val="32"/>
        </w:rPr>
        <w:t>。</w:t>
      </w:r>
    </w:p>
    <w:p w14:paraId="430A0782">
      <w:pPr>
        <w:numPr>
          <w:ilvl w:val="0"/>
          <w:numId w:val="4"/>
        </w:numPr>
        <w:adjustRightInd w:val="0"/>
        <w:snapToGrid w:val="0"/>
        <w:spacing w:line="600" w:lineRule="exact"/>
        <w:ind w:left="0" w:leftChars="0" w:firstLine="640" w:firstLineChars="200"/>
        <w:rPr>
          <w:rFonts w:hint="eastAsia" w:ascii="仿宋_GB2312" w:hAnsi="宋体" w:eastAsia="仿宋_GB2312"/>
          <w:sz w:val="32"/>
          <w:szCs w:val="32"/>
          <w:lang w:val="zh-CN"/>
        </w:rPr>
      </w:pPr>
      <w:r>
        <w:rPr>
          <w:rFonts w:hint="eastAsia" w:ascii="仿宋_GB2312" w:hAnsi="宋体" w:eastAsia="仿宋_GB2312"/>
          <w:sz w:val="32"/>
          <w:szCs w:val="32"/>
          <w:lang w:val="zh-CN"/>
        </w:rPr>
        <w:t>项目立项、资金申报的依据。</w:t>
      </w:r>
    </w:p>
    <w:p w14:paraId="488A147F">
      <w:pPr>
        <w:keepNext w:val="0"/>
        <w:keepLines w:val="0"/>
        <w:pageBreakBefore w:val="0"/>
        <w:widowControl w:val="0"/>
        <w:kinsoku/>
        <w:wordWrap/>
        <w:topLinePunct w:val="0"/>
        <w:autoSpaceDE/>
        <w:autoSpaceDN w:val="0"/>
        <w:bidi w:val="0"/>
        <w:spacing w:line="578" w:lineRule="exact"/>
        <w:ind w:firstLine="648"/>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松潘县</w:t>
      </w:r>
      <w:r>
        <w:rPr>
          <w:rFonts w:hint="eastAsia" w:ascii="仿宋_GB2312" w:hAnsi="仿宋_GB2312" w:eastAsia="仿宋_GB2312" w:cs="仿宋_GB2312"/>
          <w:color w:val="000000"/>
          <w:sz w:val="32"/>
          <w:szCs w:val="32"/>
        </w:rPr>
        <w:t>第十</w:t>
      </w:r>
      <w:r>
        <w:rPr>
          <w:rFonts w:hint="eastAsia" w:ascii="仿宋_GB2312" w:hAnsi="仿宋_GB2312" w:eastAsia="仿宋_GB2312" w:cs="仿宋_GB2312"/>
          <w:color w:val="000000"/>
          <w:sz w:val="32"/>
          <w:szCs w:val="32"/>
          <w:lang w:val="en-US" w:eastAsia="zh-CN"/>
        </w:rPr>
        <w:t>四</w:t>
      </w:r>
      <w:r>
        <w:rPr>
          <w:rFonts w:hint="eastAsia" w:ascii="仿宋_GB2312" w:hAnsi="仿宋_GB2312" w:eastAsia="仿宋_GB2312" w:cs="仿宋_GB2312"/>
          <w:color w:val="000000"/>
          <w:sz w:val="32"/>
          <w:szCs w:val="32"/>
        </w:rPr>
        <w:t>届人民代表大会第五次会议</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听取了</w:t>
      </w:r>
      <w:r>
        <w:rPr>
          <w:rFonts w:hint="eastAsia" w:ascii="仿宋_GB2312" w:hAnsi="仿宋_GB2312" w:eastAsia="仿宋_GB2312" w:cs="仿宋_GB2312"/>
          <w:color w:val="000000"/>
          <w:sz w:val="32"/>
          <w:szCs w:val="32"/>
          <w:lang w:val="en-US" w:eastAsia="zh-CN"/>
        </w:rPr>
        <w:t>松潘县人民政府副县长东周所作的</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松潘县</w:t>
      </w:r>
      <w:r>
        <w:rPr>
          <w:rFonts w:hint="eastAsia" w:ascii="仿宋_GB2312" w:hAnsi="仿宋_GB2312" w:eastAsia="仿宋_GB2312" w:cs="仿宋_GB2312"/>
          <w:color w:val="000000"/>
          <w:sz w:val="32"/>
          <w:szCs w:val="32"/>
        </w:rPr>
        <w:t>第十四个五年规划和二〇三五年远景目标纲要（草案）》（以下简称《纲要草案》）</w:t>
      </w:r>
      <w:r>
        <w:rPr>
          <w:rFonts w:hint="eastAsia" w:ascii="仿宋_GB2312" w:hAnsi="仿宋_GB2312" w:eastAsia="仿宋_GB2312" w:cs="仿宋_GB2312"/>
          <w:color w:val="000000"/>
          <w:sz w:val="32"/>
          <w:szCs w:val="32"/>
          <w:lang w:val="en-US" w:eastAsia="zh-CN"/>
        </w:rPr>
        <w:t>起草说明，审查了县人民政府提交的</w:t>
      </w:r>
      <w:r>
        <w:rPr>
          <w:rFonts w:hint="eastAsia" w:ascii="仿宋_GB2312" w:hAnsi="仿宋_GB2312" w:eastAsia="仿宋_GB2312" w:cs="仿宋_GB2312"/>
          <w:color w:val="000000"/>
          <w:sz w:val="32"/>
          <w:szCs w:val="32"/>
        </w:rPr>
        <w:t>《纲要草案》</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会议决定批准这个规划纲要。</w:t>
      </w:r>
    </w:p>
    <w:p w14:paraId="2DB287DD">
      <w:pPr>
        <w:numPr>
          <w:ilvl w:val="0"/>
          <w:numId w:val="4"/>
        </w:numPr>
        <w:adjustRightInd w:val="0"/>
        <w:snapToGrid w:val="0"/>
        <w:spacing w:line="600" w:lineRule="exact"/>
        <w:ind w:left="0" w:leftChars="0"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资金管理办法制定情况，资金支持具体项目的条件、范围与支持方式概况。</w:t>
      </w:r>
    </w:p>
    <w:p w14:paraId="2E848688">
      <w:pPr>
        <w:adjustRightInd w:val="0"/>
        <w:snapToGrid w:val="0"/>
        <w:spacing w:line="600" w:lineRule="exact"/>
        <w:ind w:firstLine="720"/>
        <w:jc w:val="left"/>
        <w:rPr>
          <w:rFonts w:hint="eastAsia" w:ascii="仿宋" w:hAnsi="仿宋" w:eastAsia="仿宋" w:cs="仿宋"/>
          <w:sz w:val="32"/>
          <w:szCs w:val="32"/>
          <w:lang w:val="zh-CN"/>
        </w:rPr>
      </w:pPr>
      <w:r>
        <w:rPr>
          <w:rFonts w:hint="eastAsia" w:ascii="仿宋" w:hAnsi="仿宋" w:eastAsia="仿宋" w:cs="仿宋"/>
          <w:sz w:val="32"/>
          <w:szCs w:val="32"/>
          <w:lang w:val="zh-CN"/>
        </w:rPr>
        <w:t>本项资金符合资金管理办法等相关规定。</w:t>
      </w:r>
      <w:r>
        <w:rPr>
          <w:rFonts w:hint="eastAsia" w:ascii="仿宋" w:hAnsi="仿宋" w:eastAsia="仿宋" w:cs="仿宋"/>
          <w:sz w:val="32"/>
          <w:szCs w:val="32"/>
          <w:lang w:val="en-US" w:eastAsia="zh-CN"/>
        </w:rPr>
        <w:t>严格按照本单位</w:t>
      </w:r>
      <w:r>
        <w:rPr>
          <w:rFonts w:hint="eastAsia" w:ascii="仿宋" w:hAnsi="仿宋" w:eastAsia="仿宋" w:cs="仿宋"/>
          <w:sz w:val="32"/>
          <w:szCs w:val="32"/>
          <w:lang w:val="zh-CN"/>
        </w:rPr>
        <w:t>财务管理制度及时支付项目款。</w:t>
      </w:r>
    </w:p>
    <w:p w14:paraId="49C552E1">
      <w:pPr>
        <w:numPr>
          <w:ilvl w:val="0"/>
          <w:numId w:val="4"/>
        </w:numPr>
        <w:adjustRightInd w:val="0"/>
        <w:snapToGrid w:val="0"/>
        <w:spacing w:line="600" w:lineRule="exact"/>
        <w:ind w:left="0" w:leftChars="0"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资金分配的原则及考虑因素。</w:t>
      </w:r>
    </w:p>
    <w:p w14:paraId="576FAE5C">
      <w:pPr>
        <w:pStyle w:val="20"/>
        <w:ind w:firstLine="640" w:firstLineChars="200"/>
        <w:rPr>
          <w:rFonts w:hint="eastAsia" w:ascii="仿宋" w:hAnsi="仿宋" w:eastAsia="仿宋" w:cs="仿宋"/>
          <w:sz w:val="32"/>
          <w:szCs w:val="32"/>
          <w:lang w:val="zh-CN"/>
        </w:rPr>
      </w:pPr>
      <w:r>
        <w:rPr>
          <w:rFonts w:hint="eastAsia" w:ascii="仿宋" w:hAnsi="仿宋" w:eastAsia="仿宋" w:cs="仿宋"/>
          <w:sz w:val="32"/>
          <w:szCs w:val="32"/>
          <w:lang w:val="zh-CN"/>
        </w:rPr>
        <w:t>该项目资金严格按照资金管理办法按流程拨付。</w:t>
      </w:r>
    </w:p>
    <w:p w14:paraId="0407B18B">
      <w:pPr>
        <w:adjustRightInd w:val="0"/>
        <w:snapToGrid w:val="0"/>
        <w:spacing w:line="600" w:lineRule="exact"/>
        <w:ind w:firstLine="720"/>
        <w:rPr>
          <w:rFonts w:ascii="楷体_GB2312" w:hAnsi="宋体" w:eastAsia="楷体_GB2312"/>
          <w:b/>
          <w:sz w:val="32"/>
          <w:szCs w:val="32"/>
          <w:lang w:val="zh-CN"/>
        </w:rPr>
      </w:pPr>
      <w:r>
        <w:rPr>
          <w:rFonts w:hint="eastAsia" w:ascii="仿宋" w:hAnsi="仿宋" w:eastAsia="仿宋" w:cs="仿宋"/>
          <w:b/>
          <w:sz w:val="32"/>
          <w:szCs w:val="32"/>
          <w:lang w:val="zh-CN"/>
        </w:rPr>
        <w:t>（二</w:t>
      </w:r>
      <w:r>
        <w:rPr>
          <w:rFonts w:hint="eastAsia" w:ascii="楷体_GB2312" w:hAnsi="宋体" w:eastAsia="楷体_GB2312"/>
          <w:b/>
          <w:sz w:val="32"/>
          <w:szCs w:val="32"/>
          <w:lang w:val="zh-CN"/>
        </w:rPr>
        <w:t>）项目绩效目标。</w:t>
      </w:r>
    </w:p>
    <w:p w14:paraId="19ACB5AA">
      <w:pPr>
        <w:adjustRightInd w:val="0"/>
        <w:snapToGrid w:val="0"/>
        <w:spacing w:line="600" w:lineRule="exact"/>
        <w:ind w:firstLine="720"/>
        <w:rPr>
          <w:rFonts w:hint="eastAsia" w:ascii="仿宋_GB2312" w:hAnsi="宋体" w:eastAsia="仿宋_GB2312"/>
          <w:sz w:val="32"/>
          <w:szCs w:val="32"/>
          <w:lang w:val="zh-CN"/>
        </w:rPr>
      </w:pPr>
      <w:r>
        <w:rPr>
          <w:rFonts w:ascii="仿宋_GB2312" w:hAnsi="宋体" w:eastAsia="仿宋_GB2312"/>
          <w:sz w:val="32"/>
          <w:szCs w:val="32"/>
          <w:lang w:val="zh-CN"/>
        </w:rPr>
        <w:t>1</w:t>
      </w:r>
      <w:r>
        <w:rPr>
          <w:rFonts w:hint="eastAsia" w:ascii="仿宋_GB2312" w:hAnsi="宋体" w:eastAsia="仿宋_GB2312"/>
          <w:sz w:val="32"/>
          <w:szCs w:val="32"/>
          <w:lang w:val="zh-CN"/>
        </w:rPr>
        <w:t>．项目主要内容。</w:t>
      </w:r>
    </w:p>
    <w:p w14:paraId="0E96C6D9">
      <w:pPr>
        <w:widowControl w:val="0"/>
        <w:overflowPunct w:val="0"/>
        <w:adjustRightInd w:val="0"/>
        <w:snapToGrid w:val="0"/>
        <w:spacing w:after="0" w:line="576" w:lineRule="exact"/>
        <w:ind w:firstLine="640" w:firstLineChars="200"/>
        <w:jc w:val="both"/>
        <w:rPr>
          <w:rFonts w:ascii="Times New Roman" w:hAnsi="Times New Roman" w:cs="Times New Roman"/>
          <w:lang w:eastAsia="zh-CN"/>
        </w:rPr>
      </w:pPr>
      <w:r>
        <w:rPr>
          <w:rFonts w:ascii="Times New Roman" w:hAnsi="Times New Roman" w:eastAsia="仿宋_GB2312" w:cs="Times New Roman"/>
          <w:bCs/>
          <w:sz w:val="32"/>
          <w:szCs w:val="32"/>
          <w:lang w:eastAsia="zh-CN" w:bidi="ar-SA"/>
        </w:rPr>
        <w:t>根据我县“十四五”时期面临的形势、发展</w:t>
      </w:r>
      <w:r>
        <w:rPr>
          <w:rFonts w:hint="eastAsia" w:ascii="Times New Roman" w:hAnsi="Times New Roman" w:eastAsia="仿宋_GB2312" w:cs="Times New Roman"/>
          <w:bCs/>
          <w:sz w:val="32"/>
          <w:szCs w:val="32"/>
          <w:lang w:eastAsia="zh-CN" w:bidi="ar-SA"/>
        </w:rPr>
        <w:t>的</w:t>
      </w:r>
      <w:r>
        <w:rPr>
          <w:rFonts w:ascii="Times New Roman" w:hAnsi="Times New Roman" w:eastAsia="仿宋_GB2312" w:cs="Times New Roman"/>
          <w:bCs/>
          <w:sz w:val="32"/>
          <w:szCs w:val="32"/>
          <w:lang w:eastAsia="zh-CN" w:bidi="ar-SA"/>
        </w:rPr>
        <w:t>态势和承担的使命，</w:t>
      </w:r>
      <w:r>
        <w:rPr>
          <w:rFonts w:hint="eastAsia" w:ascii="Times New Roman" w:hAnsi="Times New Roman" w:eastAsia="仿宋_GB2312" w:cs="Times New Roman"/>
          <w:bCs/>
          <w:sz w:val="32"/>
          <w:szCs w:val="32"/>
          <w:lang w:eastAsia="zh-CN" w:bidi="ar-SA"/>
        </w:rPr>
        <w:t>《纲要草案》</w:t>
      </w:r>
      <w:r>
        <w:rPr>
          <w:rFonts w:ascii="Times New Roman" w:hAnsi="Times New Roman" w:eastAsia="仿宋_GB2312" w:cs="Times New Roman"/>
          <w:bCs/>
          <w:sz w:val="32"/>
          <w:szCs w:val="32"/>
          <w:lang w:eastAsia="zh-CN" w:bidi="ar-SA"/>
        </w:rPr>
        <w:t>在谋篇布局上</w:t>
      </w:r>
      <w:r>
        <w:rPr>
          <w:rFonts w:hint="eastAsia" w:ascii="Times New Roman" w:hAnsi="Times New Roman" w:eastAsia="仿宋_GB2312" w:cs="Times New Roman"/>
          <w:bCs/>
          <w:sz w:val="32"/>
          <w:szCs w:val="32"/>
          <w:lang w:eastAsia="zh-CN" w:bidi="ar-SA"/>
        </w:rPr>
        <w:t>分</w:t>
      </w:r>
      <w:r>
        <w:rPr>
          <w:rFonts w:ascii="Times New Roman" w:hAnsi="Times New Roman" w:eastAsia="仿宋_GB2312" w:cs="Times New Roman"/>
          <w:bCs/>
          <w:sz w:val="32"/>
          <w:szCs w:val="32"/>
          <w:lang w:eastAsia="zh-CN" w:bidi="ar-SA"/>
        </w:rPr>
        <w:t>三大板块、九篇、</w:t>
      </w:r>
      <w:r>
        <w:rPr>
          <w:rFonts w:hint="eastAsia" w:ascii="Times New Roman" w:hAnsi="Times New Roman" w:eastAsia="仿宋_GB2312" w:cs="Times New Roman"/>
          <w:bCs/>
          <w:sz w:val="32"/>
          <w:szCs w:val="32"/>
          <w:lang w:eastAsia="zh-CN" w:bidi="ar-SA"/>
        </w:rPr>
        <w:t>三十</w:t>
      </w:r>
      <w:r>
        <w:rPr>
          <w:rFonts w:ascii="Times New Roman" w:hAnsi="Times New Roman" w:eastAsia="仿宋_GB2312" w:cs="Times New Roman"/>
          <w:bCs/>
          <w:sz w:val="32"/>
          <w:szCs w:val="32"/>
          <w:lang w:eastAsia="zh-CN" w:bidi="ar-SA"/>
        </w:rPr>
        <w:t>章。</w:t>
      </w:r>
    </w:p>
    <w:p w14:paraId="4CF31BDD">
      <w:pPr>
        <w:widowControl w:val="0"/>
        <w:overflowPunct w:val="0"/>
        <w:spacing w:after="0" w:line="576" w:lineRule="exact"/>
        <w:ind w:firstLine="643" w:firstLineChars="200"/>
        <w:jc w:val="both"/>
        <w:rPr>
          <w:rFonts w:ascii="Times New Roman" w:hAnsi="Times New Roman" w:eastAsia="仿宋_GB2312" w:cs="Times New Roman"/>
          <w:bCs/>
          <w:sz w:val="32"/>
          <w:szCs w:val="32"/>
          <w:lang w:eastAsia="zh-CN" w:bidi="ar-SA"/>
        </w:rPr>
      </w:pPr>
      <w:r>
        <w:rPr>
          <w:rFonts w:ascii="Times New Roman" w:hAnsi="Times New Roman" w:eastAsia="楷体_GB2312" w:cs="Times New Roman"/>
          <w:b/>
          <w:sz w:val="32"/>
          <w:szCs w:val="32"/>
          <w:lang w:eastAsia="zh-CN" w:bidi="ar-SA"/>
        </w:rPr>
        <w:t>第一板块是总体要求</w:t>
      </w:r>
      <w:r>
        <w:rPr>
          <w:rFonts w:ascii="Times New Roman" w:hAnsi="Times New Roman" w:eastAsia="仿宋_GB2312" w:cs="Times New Roman"/>
          <w:b/>
          <w:sz w:val="32"/>
          <w:szCs w:val="32"/>
          <w:lang w:eastAsia="zh-CN" w:bidi="ar-SA"/>
        </w:rPr>
        <w:t>。</w:t>
      </w:r>
      <w:r>
        <w:rPr>
          <w:rFonts w:ascii="Times New Roman" w:hAnsi="Times New Roman" w:eastAsia="仿宋_GB2312" w:cs="Times New Roman"/>
          <w:bCs/>
          <w:sz w:val="32"/>
          <w:szCs w:val="32"/>
          <w:lang w:eastAsia="zh-CN" w:bidi="ar-SA"/>
        </w:rPr>
        <w:t>包括第一篇，重点阐述了发展环境和总体思路两个方面的内容。认真、客观地评价了我县“十三五”时期经济社会发展情况，认为“十三五”时期，是松潘全面践行新发展理念，实现转型发展、创新发展、跨越发展的关键五年；是松潘全面建成小康社会、全面深化改革、</w:t>
      </w:r>
      <w:r>
        <w:rPr>
          <w:rFonts w:hint="eastAsia" w:eastAsia="仿宋_GB2312" w:cs="Times New Roman"/>
          <w:bCs/>
          <w:sz w:val="32"/>
          <w:szCs w:val="32"/>
          <w:lang w:eastAsia="zh-CN" w:bidi="ar-SA"/>
        </w:rPr>
        <w:t>落实全面从严治党</w:t>
      </w:r>
      <w:r>
        <w:rPr>
          <w:rFonts w:ascii="Times New Roman" w:hAnsi="Times New Roman" w:eastAsia="仿宋_GB2312" w:cs="Times New Roman"/>
          <w:bCs/>
          <w:sz w:val="32"/>
          <w:szCs w:val="32"/>
          <w:lang w:eastAsia="zh-CN" w:bidi="ar-SA"/>
        </w:rPr>
        <w:t>、全面推进依法治县</w:t>
      </w:r>
      <w:r>
        <w:rPr>
          <w:rFonts w:hint="eastAsia" w:ascii="Times New Roman" w:hAnsi="Times New Roman" w:eastAsia="仿宋_GB2312" w:cs="Times New Roman"/>
          <w:bCs/>
          <w:sz w:val="32"/>
          <w:szCs w:val="32"/>
          <w:lang w:eastAsia="zh-CN" w:bidi="ar-SA"/>
        </w:rPr>
        <w:t>，</w:t>
      </w:r>
      <w:r>
        <w:rPr>
          <w:rFonts w:ascii="Times New Roman" w:hAnsi="Times New Roman" w:eastAsia="仿宋_GB2312" w:cs="Times New Roman"/>
          <w:bCs/>
          <w:sz w:val="32"/>
          <w:szCs w:val="32"/>
          <w:lang w:eastAsia="zh-CN" w:bidi="ar-SA"/>
        </w:rPr>
        <w:t>具有里程碑和划时代意义的五年；是推动松潘各项事业取得全方位、开创性历史成就，发生深层次、根本性历史变革的五年。实事求是分析了“十四五”面临的</w:t>
      </w:r>
      <w:r>
        <w:rPr>
          <w:rFonts w:hint="eastAsia" w:ascii="Times New Roman" w:hAnsi="Times New Roman" w:eastAsia="仿宋_GB2312" w:cs="Times New Roman"/>
          <w:bCs/>
          <w:sz w:val="32"/>
          <w:szCs w:val="32"/>
          <w:lang w:eastAsia="zh-CN" w:bidi="ar-SA"/>
        </w:rPr>
        <w:t>形势</w:t>
      </w:r>
      <w:r>
        <w:rPr>
          <w:rFonts w:ascii="Times New Roman" w:hAnsi="Times New Roman" w:eastAsia="仿宋_GB2312" w:cs="Times New Roman"/>
          <w:bCs/>
          <w:sz w:val="32"/>
          <w:szCs w:val="32"/>
          <w:lang w:eastAsia="zh-CN" w:bidi="ar-SA"/>
        </w:rPr>
        <w:t>：</w:t>
      </w:r>
      <w:r>
        <w:rPr>
          <w:rFonts w:ascii="Times New Roman" w:hAnsi="Times New Roman" w:eastAsia="仿宋_GB2312" w:cs="Times New Roman"/>
          <w:b/>
          <w:sz w:val="32"/>
          <w:szCs w:val="32"/>
          <w:lang w:eastAsia="zh-CN" w:bidi="ar-SA"/>
        </w:rPr>
        <w:t>从国际来看</w:t>
      </w:r>
      <w:r>
        <w:rPr>
          <w:rFonts w:ascii="Times New Roman" w:hAnsi="Times New Roman" w:eastAsia="仿宋_GB2312" w:cs="Times New Roman"/>
          <w:bCs/>
          <w:sz w:val="32"/>
          <w:szCs w:val="32"/>
          <w:lang w:eastAsia="zh-CN" w:bidi="ar-SA"/>
        </w:rPr>
        <w:t>，当今世界正经历百年未有之大变局，发展的国际环境不稳定性、不确定性明显增强。但国家“加快构建以国内大循环为主体、国内国际双循环相互促进的新发展格局”战略部署，为我县带来了加快发展特色优势产业、释放内需动力的重大契机。</w:t>
      </w:r>
      <w:r>
        <w:rPr>
          <w:rFonts w:ascii="Times New Roman" w:hAnsi="Times New Roman" w:eastAsia="仿宋_GB2312" w:cs="Times New Roman"/>
          <w:b/>
          <w:sz w:val="32"/>
          <w:szCs w:val="32"/>
          <w:lang w:eastAsia="zh-CN" w:bidi="ar-SA"/>
        </w:rPr>
        <w:t>从国内来看，</w:t>
      </w:r>
      <w:r>
        <w:rPr>
          <w:rFonts w:ascii="Times New Roman" w:hAnsi="Times New Roman" w:eastAsia="仿宋_GB2312" w:cs="Times New Roman"/>
          <w:bCs/>
          <w:sz w:val="32"/>
          <w:szCs w:val="32"/>
          <w:lang w:eastAsia="zh-CN" w:bidi="ar-SA"/>
        </w:rPr>
        <w:t>长江经济带发展、黄河流域生态保护和高质量发展等众多国家战略的纵深推进，为我县国民经济社会发展创造了有利条件。</w:t>
      </w:r>
      <w:r>
        <w:rPr>
          <w:rFonts w:ascii="Times New Roman" w:hAnsi="Times New Roman" w:eastAsia="仿宋_GB2312" w:cs="Times New Roman"/>
          <w:b/>
          <w:sz w:val="32"/>
          <w:szCs w:val="32"/>
          <w:lang w:eastAsia="zh-CN" w:bidi="ar-SA"/>
        </w:rPr>
        <w:t>从全省来看</w:t>
      </w:r>
      <w:r>
        <w:rPr>
          <w:rFonts w:ascii="Times New Roman" w:hAnsi="Times New Roman" w:eastAsia="仿宋_GB2312" w:cs="Times New Roman"/>
          <w:bCs/>
          <w:sz w:val="32"/>
          <w:szCs w:val="32"/>
          <w:lang w:eastAsia="zh-CN" w:bidi="ar-SA"/>
        </w:rPr>
        <w:t>，省委 “一干多支、五区协同”等重大战略部署为我县推动经济社会高质量发展指明了前进方向、提供了重要支撑。</w:t>
      </w:r>
      <w:r>
        <w:rPr>
          <w:rFonts w:ascii="Times New Roman" w:hAnsi="Times New Roman" w:eastAsia="仿宋_GB2312" w:cs="Times New Roman"/>
          <w:b/>
          <w:sz w:val="32"/>
          <w:szCs w:val="32"/>
          <w:lang w:eastAsia="zh-CN" w:bidi="ar-SA"/>
        </w:rPr>
        <w:t>从全州来看</w:t>
      </w:r>
      <w:r>
        <w:rPr>
          <w:rFonts w:ascii="Times New Roman" w:hAnsi="Times New Roman" w:eastAsia="仿宋_GB2312" w:cs="Times New Roman"/>
          <w:bCs/>
          <w:sz w:val="32"/>
          <w:szCs w:val="32"/>
          <w:lang w:eastAsia="zh-CN" w:bidi="ar-SA"/>
        </w:rPr>
        <w:t>，全州“一屏四带、全域生态，三地共建、五业同优，四向通道、全域拓展”的战略部署有利于持续发挥松潘在阿坝中高端旅游中的引领作用。</w:t>
      </w:r>
      <w:r>
        <w:rPr>
          <w:rFonts w:ascii="Times New Roman" w:hAnsi="Times New Roman" w:eastAsia="仿宋_GB2312" w:cs="Times New Roman"/>
          <w:b/>
          <w:sz w:val="32"/>
          <w:szCs w:val="32"/>
          <w:lang w:eastAsia="zh-CN" w:bidi="ar-SA"/>
        </w:rPr>
        <w:t>从全县来看</w:t>
      </w:r>
      <w:r>
        <w:rPr>
          <w:rFonts w:ascii="Times New Roman" w:hAnsi="Times New Roman" w:eastAsia="仿宋_GB2312" w:cs="Times New Roman"/>
          <w:bCs/>
          <w:sz w:val="32"/>
          <w:szCs w:val="32"/>
          <w:lang w:eastAsia="zh-CN" w:bidi="ar-SA"/>
        </w:rPr>
        <w:t>，随着成兰（西）铁路等重大交通项目的加速推进，松潘地缘区位优势、交通优势将充分显现，各族群众思发展、促团结、保稳定的愿望越来越强烈，高质量发展的支撑要素和群众基础更加坚实。</w:t>
      </w:r>
    </w:p>
    <w:p w14:paraId="7CA52488">
      <w:pPr>
        <w:widowControl w:val="0"/>
        <w:overflowPunct w:val="0"/>
        <w:spacing w:after="0" w:line="576" w:lineRule="exact"/>
        <w:ind w:firstLine="640" w:firstLineChars="200"/>
        <w:jc w:val="both"/>
        <w:rPr>
          <w:rFonts w:ascii="Times New Roman" w:hAnsi="Times New Roman" w:eastAsia="仿宋_GB2312" w:cs="Times New Roman"/>
          <w:bCs/>
          <w:sz w:val="32"/>
          <w:szCs w:val="32"/>
          <w:lang w:eastAsia="zh-CN" w:bidi="ar-SA"/>
        </w:rPr>
      </w:pPr>
      <w:r>
        <w:rPr>
          <w:rFonts w:hint="eastAsia" w:ascii="Times New Roman" w:hAnsi="Times New Roman" w:eastAsia="仿宋_GB2312" w:cs="Times New Roman"/>
          <w:bCs/>
          <w:sz w:val="32"/>
          <w:szCs w:val="32"/>
          <w:lang w:eastAsia="zh-CN" w:bidi="ar-SA"/>
        </w:rPr>
        <w:t>《纲要草案》</w:t>
      </w:r>
      <w:r>
        <w:rPr>
          <w:rFonts w:ascii="Times New Roman" w:hAnsi="Times New Roman" w:eastAsia="仿宋_GB2312" w:cs="Times New Roman"/>
          <w:bCs/>
          <w:sz w:val="32"/>
          <w:szCs w:val="32"/>
          <w:lang w:eastAsia="zh-CN" w:bidi="ar-SA"/>
        </w:rPr>
        <w:t>指出，在面临重大发展机遇同时，也要清醒认识到，松潘仍是发展不平衡不充分</w:t>
      </w:r>
      <w:r>
        <w:rPr>
          <w:rFonts w:hint="eastAsia" w:ascii="Times New Roman" w:hAnsi="Times New Roman" w:eastAsia="仿宋_GB2312" w:cs="Times New Roman"/>
          <w:bCs/>
          <w:sz w:val="32"/>
          <w:szCs w:val="32"/>
          <w:lang w:eastAsia="zh-CN" w:bidi="ar-SA"/>
        </w:rPr>
        <w:t>的</w:t>
      </w:r>
      <w:r>
        <w:rPr>
          <w:rFonts w:ascii="Times New Roman" w:hAnsi="Times New Roman" w:eastAsia="仿宋_GB2312" w:cs="Times New Roman"/>
          <w:bCs/>
          <w:sz w:val="32"/>
          <w:szCs w:val="32"/>
          <w:lang w:eastAsia="zh-CN" w:bidi="ar-SA"/>
        </w:rPr>
        <w:t>典型区、生态环境脆弱区、基层社会治理复杂区、反分裂斗争重点区，产业</w:t>
      </w:r>
      <w:r>
        <w:rPr>
          <w:rFonts w:hint="eastAsia" w:ascii="Times New Roman" w:hAnsi="Times New Roman" w:eastAsia="仿宋_GB2312" w:cs="Times New Roman"/>
          <w:bCs/>
          <w:sz w:val="32"/>
          <w:szCs w:val="32"/>
          <w:lang w:eastAsia="zh-CN" w:bidi="ar-SA"/>
        </w:rPr>
        <w:t>脆弱</w:t>
      </w:r>
      <w:r>
        <w:rPr>
          <w:rFonts w:ascii="Times New Roman" w:hAnsi="Times New Roman" w:eastAsia="仿宋_GB2312" w:cs="Times New Roman"/>
          <w:bCs/>
          <w:sz w:val="32"/>
          <w:szCs w:val="32"/>
          <w:lang w:eastAsia="zh-CN" w:bidi="ar-SA"/>
        </w:rPr>
        <w:t>、交通</w:t>
      </w:r>
      <w:r>
        <w:rPr>
          <w:rFonts w:hint="eastAsia" w:ascii="Times New Roman" w:hAnsi="Times New Roman" w:eastAsia="仿宋_GB2312" w:cs="Times New Roman"/>
          <w:bCs/>
          <w:sz w:val="32"/>
          <w:szCs w:val="32"/>
          <w:lang w:eastAsia="zh-CN" w:bidi="ar-SA"/>
        </w:rPr>
        <w:t>脆弱等</w:t>
      </w:r>
      <w:r>
        <w:rPr>
          <w:rFonts w:ascii="Times New Roman" w:hAnsi="Times New Roman" w:eastAsia="仿宋_GB2312" w:cs="Times New Roman"/>
          <w:bCs/>
          <w:sz w:val="32"/>
          <w:szCs w:val="32"/>
          <w:lang w:eastAsia="zh-CN" w:bidi="ar-SA"/>
        </w:rPr>
        <w:t>问题</w:t>
      </w:r>
      <w:r>
        <w:rPr>
          <w:rFonts w:hint="eastAsia" w:ascii="Times New Roman" w:hAnsi="Times New Roman" w:eastAsia="仿宋_GB2312" w:cs="Times New Roman"/>
          <w:bCs/>
          <w:sz w:val="32"/>
          <w:szCs w:val="32"/>
          <w:lang w:eastAsia="zh-CN" w:bidi="ar-SA"/>
        </w:rPr>
        <w:t>仍</w:t>
      </w:r>
      <w:r>
        <w:rPr>
          <w:rFonts w:ascii="Times New Roman" w:hAnsi="Times New Roman" w:eastAsia="仿宋_GB2312" w:cs="Times New Roman"/>
          <w:bCs/>
          <w:sz w:val="32"/>
          <w:szCs w:val="32"/>
          <w:lang w:eastAsia="zh-CN" w:bidi="ar-SA"/>
        </w:rPr>
        <w:t>较为突出。我们务必要</w:t>
      </w:r>
      <w:r>
        <w:rPr>
          <w:rFonts w:hint="eastAsia" w:ascii="Times New Roman" w:hAnsi="Times New Roman" w:eastAsia="仿宋_GB2312" w:cs="Times New Roman"/>
          <w:bCs/>
          <w:sz w:val="32"/>
          <w:szCs w:val="32"/>
          <w:lang w:eastAsia="zh-CN" w:bidi="ar-SA"/>
        </w:rPr>
        <w:t>清晰认知</w:t>
      </w:r>
      <w:r>
        <w:rPr>
          <w:rFonts w:ascii="Times New Roman" w:hAnsi="Times New Roman" w:eastAsia="仿宋_GB2312" w:cs="Times New Roman"/>
          <w:bCs/>
          <w:sz w:val="32"/>
          <w:szCs w:val="32"/>
          <w:lang w:eastAsia="zh-CN" w:bidi="ar-SA"/>
        </w:rPr>
        <w:t>“十四五”时期松潘面临的阶段性特征，辩证看待新发展阶段面临的新机遇新挑战，聚焦目标任务、找准制约因素、细化应对措施，顺势奋进、乘势而上、蓄势突破。</w:t>
      </w:r>
    </w:p>
    <w:p w14:paraId="4160D2B3">
      <w:pPr>
        <w:widowControl w:val="0"/>
        <w:overflowPunct w:val="0"/>
        <w:adjustRightInd w:val="0"/>
        <w:snapToGrid w:val="0"/>
        <w:spacing w:after="0" w:line="576" w:lineRule="exact"/>
        <w:ind w:firstLine="643" w:firstLineChars="200"/>
        <w:jc w:val="both"/>
        <w:rPr>
          <w:lang w:val="zh-CN"/>
        </w:rPr>
      </w:pPr>
      <w:r>
        <w:rPr>
          <w:rFonts w:ascii="Times New Roman" w:hAnsi="Times New Roman" w:eastAsia="楷体_GB2312" w:cs="Times New Roman"/>
          <w:b/>
          <w:sz w:val="32"/>
          <w:szCs w:val="32"/>
          <w:lang w:eastAsia="zh-CN" w:bidi="ar-SA"/>
        </w:rPr>
        <w:t>第二板块是主要任务。</w:t>
      </w:r>
      <w:r>
        <w:rPr>
          <w:rFonts w:hint="eastAsia" w:ascii="Times New Roman" w:hAnsi="Times New Roman" w:eastAsia="仿宋_GB2312" w:cs="Times New Roman"/>
          <w:bCs/>
          <w:sz w:val="32"/>
          <w:szCs w:val="32"/>
          <w:lang w:eastAsia="zh-CN" w:bidi="ar-SA"/>
        </w:rPr>
        <w:t>包括</w:t>
      </w:r>
      <w:r>
        <w:rPr>
          <w:rFonts w:ascii="Times New Roman" w:hAnsi="Times New Roman" w:eastAsia="仿宋_GB2312" w:cs="Times New Roman"/>
          <w:bCs/>
          <w:sz w:val="32"/>
          <w:szCs w:val="32"/>
          <w:lang w:eastAsia="zh-CN" w:bidi="ar-SA"/>
        </w:rPr>
        <w:t>第二篇到第八篇，根据“十四五”规划总体思路，</w:t>
      </w:r>
      <w:r>
        <w:rPr>
          <w:rFonts w:hint="eastAsia" w:ascii="Times New Roman" w:hAnsi="Times New Roman" w:eastAsia="仿宋_GB2312" w:cs="Times New Roman"/>
          <w:bCs/>
          <w:sz w:val="32"/>
          <w:szCs w:val="32"/>
          <w:lang w:eastAsia="zh-CN" w:bidi="ar-SA"/>
        </w:rPr>
        <w:t>《纲要草案》</w:t>
      </w:r>
      <w:r>
        <w:rPr>
          <w:rFonts w:ascii="Times New Roman" w:hAnsi="Times New Roman" w:eastAsia="仿宋_GB2312" w:cs="Times New Roman"/>
          <w:bCs/>
          <w:sz w:val="32"/>
          <w:szCs w:val="32"/>
          <w:lang w:eastAsia="zh-CN" w:bidi="ar-SA"/>
        </w:rPr>
        <w:t>提出了今后五年我县经济社会发展的“七大任务”。这些任务充分反映了坚持新发展理念和要求，体现了“十四五”时期政府履行生态建设、经济调节、社会治理和公共服务等重要职责，涵盖了政府工作的方方面面。</w:t>
      </w:r>
    </w:p>
    <w:p w14:paraId="51407D6C">
      <w:pPr>
        <w:numPr>
          <w:ilvl w:val="0"/>
          <w:numId w:val="2"/>
        </w:numPr>
        <w:adjustRightInd w:val="0"/>
        <w:snapToGrid w:val="0"/>
        <w:spacing w:line="600" w:lineRule="exact"/>
        <w:ind w:left="0" w:leftChars="0" w:firstLine="640" w:firstLineChars="200"/>
        <w:rPr>
          <w:rFonts w:hint="eastAsia" w:ascii="仿宋_GB2312" w:hAnsi="宋体" w:eastAsia="仿宋_GB2312"/>
          <w:sz w:val="32"/>
          <w:szCs w:val="32"/>
          <w:lang w:val="zh-CN"/>
        </w:rPr>
      </w:pPr>
      <w:r>
        <w:rPr>
          <w:rFonts w:hint="eastAsia" w:ascii="仿宋_GB2312" w:hAnsi="宋体" w:eastAsia="仿宋_GB2312"/>
          <w:sz w:val="32"/>
          <w:szCs w:val="32"/>
          <w:lang w:val="zh-CN"/>
        </w:rPr>
        <w:t>项目应实现的具体绩效目标，包括目标的量化、细化情况以及项目实施进度计划等。</w:t>
      </w:r>
    </w:p>
    <w:p w14:paraId="268AA75C">
      <w:pPr>
        <w:pStyle w:val="20"/>
        <w:numPr>
          <w:ilvl w:val="0"/>
          <w:numId w:val="0"/>
        </w:numPr>
        <w:ind w:leftChars="200"/>
        <w:rPr>
          <w:rFonts w:ascii="Times New Roman" w:hAnsi="Times New Roman" w:eastAsia="仿宋_GB2312" w:cs="Times New Roman"/>
          <w:bCs/>
          <w:sz w:val="32"/>
          <w:szCs w:val="32"/>
          <w:lang w:eastAsia="zh-CN" w:bidi="ar-SA"/>
        </w:rPr>
      </w:pPr>
      <w:r>
        <w:rPr>
          <w:rFonts w:ascii="Times New Roman" w:hAnsi="Times New Roman" w:eastAsia="仿宋_GB2312" w:cs="Times New Roman"/>
          <w:bCs/>
          <w:sz w:val="32"/>
          <w:szCs w:val="32"/>
          <w:lang w:eastAsia="zh-CN" w:bidi="ar-SA"/>
        </w:rPr>
        <w:t>未来五年，依托松潘文旅资源、自然资源、交通资源和民生资源，着重打造</w:t>
      </w:r>
      <w:r>
        <w:rPr>
          <w:rFonts w:ascii="Times New Roman" w:hAnsi="Times New Roman" w:eastAsia="仿宋_GB2312" w:cs="Times New Roman"/>
          <w:b/>
          <w:sz w:val="32"/>
          <w:szCs w:val="32"/>
          <w:lang w:eastAsia="zh-CN" w:bidi="ar-SA"/>
        </w:rPr>
        <w:t>“四大新场景”</w:t>
      </w:r>
      <w:r>
        <w:rPr>
          <w:rFonts w:ascii="Times New Roman" w:hAnsi="Times New Roman" w:eastAsia="仿宋_GB2312" w:cs="Times New Roman"/>
          <w:bCs/>
          <w:sz w:val="32"/>
          <w:szCs w:val="32"/>
          <w:lang w:eastAsia="zh-CN" w:bidi="ar-SA"/>
        </w:rPr>
        <w:t>。</w:t>
      </w:r>
      <w:r>
        <w:rPr>
          <w:rFonts w:ascii="Times New Roman" w:hAnsi="Times New Roman" w:eastAsia="仿宋_GB2312" w:cs="Times New Roman"/>
          <w:b/>
          <w:sz w:val="32"/>
          <w:szCs w:val="32"/>
          <w:lang w:eastAsia="zh-CN" w:bidi="ar-SA"/>
        </w:rPr>
        <w:t>一是</w:t>
      </w:r>
      <w:r>
        <w:rPr>
          <w:rFonts w:ascii="Times New Roman" w:hAnsi="Times New Roman" w:eastAsia="仿宋_GB2312" w:cs="Times New Roman"/>
          <w:bCs/>
          <w:sz w:val="32"/>
          <w:szCs w:val="32"/>
          <w:lang w:eastAsia="zh-CN" w:bidi="ar-SA"/>
        </w:rPr>
        <w:t>全力打造“七藏沟野性自然公园，东坪塔山红色文化遗产公园，西山历史文化遗址公园，松赞天街、瓮城传奇，安登榜甲竹寺土司官寨，川西红谷精品风景线，毛儿盖剑科电站水利风景名胜区，雪宝顶4A级风景名胜区，百花娄国家森林公园，岷江源国家湿地公园”</w:t>
      </w:r>
      <w:r>
        <w:rPr>
          <w:rFonts w:ascii="Times New Roman" w:hAnsi="Times New Roman" w:eastAsia="仿宋_GB2312" w:cs="Times New Roman"/>
          <w:b/>
          <w:sz w:val="32"/>
          <w:szCs w:val="32"/>
          <w:lang w:eastAsia="zh-CN" w:bidi="ar-SA"/>
        </w:rPr>
        <w:t>十大松州文旅新场景</w:t>
      </w:r>
      <w:r>
        <w:rPr>
          <w:rFonts w:ascii="Times New Roman" w:hAnsi="Times New Roman" w:eastAsia="仿宋_GB2312" w:cs="Times New Roman"/>
          <w:bCs/>
          <w:sz w:val="32"/>
          <w:szCs w:val="32"/>
          <w:lang w:eastAsia="zh-CN" w:bidi="ar-SA"/>
        </w:rPr>
        <w:t>。</w:t>
      </w:r>
      <w:r>
        <w:rPr>
          <w:rFonts w:ascii="Times New Roman" w:hAnsi="Times New Roman" w:eastAsia="仿宋_GB2312" w:cs="Times New Roman"/>
          <w:b/>
          <w:sz w:val="32"/>
          <w:szCs w:val="32"/>
          <w:lang w:eastAsia="zh-CN" w:bidi="ar-SA"/>
        </w:rPr>
        <w:t>二是</w:t>
      </w:r>
      <w:r>
        <w:rPr>
          <w:rFonts w:ascii="Times New Roman" w:hAnsi="Times New Roman" w:eastAsia="仿宋_GB2312" w:cs="Times New Roman"/>
          <w:bCs/>
          <w:sz w:val="32"/>
          <w:szCs w:val="32"/>
          <w:lang w:eastAsia="zh-CN" w:bidi="ar-SA"/>
        </w:rPr>
        <w:t>全力打造“麦吉传说，小河古镇，林坡诗意，光和云朵，石河驿站，进川小路，牟尼时光，圣地花海，彩绘黄龙，红色毛儿盖”</w:t>
      </w:r>
      <w:r>
        <w:rPr>
          <w:rFonts w:ascii="Times New Roman" w:hAnsi="Times New Roman" w:eastAsia="仿宋_GB2312" w:cs="Times New Roman"/>
          <w:b/>
          <w:sz w:val="32"/>
          <w:szCs w:val="32"/>
          <w:lang w:eastAsia="zh-CN" w:bidi="ar-SA"/>
        </w:rPr>
        <w:t>十大松州乡创新场景</w:t>
      </w:r>
      <w:r>
        <w:rPr>
          <w:rFonts w:ascii="Times New Roman" w:hAnsi="Times New Roman" w:eastAsia="仿宋_GB2312" w:cs="Times New Roman"/>
          <w:bCs/>
          <w:sz w:val="32"/>
          <w:szCs w:val="32"/>
          <w:lang w:eastAsia="zh-CN" w:bidi="ar-SA"/>
        </w:rPr>
        <w:t>。</w:t>
      </w:r>
      <w:r>
        <w:rPr>
          <w:rFonts w:ascii="Times New Roman" w:hAnsi="Times New Roman" w:eastAsia="仿宋_GB2312" w:cs="Times New Roman"/>
          <w:b/>
          <w:sz w:val="32"/>
          <w:szCs w:val="32"/>
          <w:lang w:eastAsia="zh-CN" w:bidi="ar-SA"/>
        </w:rPr>
        <w:t>三是</w:t>
      </w:r>
      <w:r>
        <w:rPr>
          <w:rFonts w:ascii="Times New Roman" w:hAnsi="Times New Roman" w:eastAsia="仿宋_GB2312" w:cs="Times New Roman"/>
          <w:bCs/>
          <w:sz w:val="32"/>
          <w:szCs w:val="32"/>
          <w:lang w:eastAsia="zh-CN" w:bidi="ar-SA"/>
        </w:rPr>
        <w:t>全力打造“川汶高速，成西铁路，成兰铁路，县城过境路，平松路，松黑路，口岸通行，川九轨道，草原环线，立体集散”</w:t>
      </w:r>
      <w:r>
        <w:rPr>
          <w:rFonts w:ascii="Times New Roman" w:hAnsi="Times New Roman" w:eastAsia="仿宋_GB2312" w:cs="Times New Roman"/>
          <w:b/>
          <w:sz w:val="32"/>
          <w:szCs w:val="32"/>
          <w:lang w:eastAsia="zh-CN" w:bidi="ar-SA"/>
        </w:rPr>
        <w:t>十大松州交通新场景</w:t>
      </w:r>
      <w:r>
        <w:rPr>
          <w:rFonts w:ascii="Times New Roman" w:hAnsi="Times New Roman" w:eastAsia="仿宋_GB2312" w:cs="Times New Roman"/>
          <w:bCs/>
          <w:sz w:val="32"/>
          <w:szCs w:val="32"/>
          <w:lang w:eastAsia="zh-CN" w:bidi="ar-SA"/>
        </w:rPr>
        <w:t>。</w:t>
      </w:r>
      <w:r>
        <w:rPr>
          <w:rFonts w:ascii="Times New Roman" w:hAnsi="Times New Roman" w:eastAsia="仿宋_GB2312" w:cs="Times New Roman"/>
          <w:b/>
          <w:sz w:val="32"/>
          <w:szCs w:val="32"/>
          <w:lang w:eastAsia="zh-CN" w:bidi="ar-SA"/>
        </w:rPr>
        <w:t>四是</w:t>
      </w:r>
      <w:r>
        <w:rPr>
          <w:rFonts w:ascii="Times New Roman" w:hAnsi="Times New Roman" w:eastAsia="仿宋_GB2312" w:cs="Times New Roman"/>
          <w:bCs/>
          <w:sz w:val="32"/>
          <w:szCs w:val="32"/>
          <w:lang w:eastAsia="zh-CN" w:bidi="ar-SA"/>
        </w:rPr>
        <w:t>全力打造“全城同暖，步道相连，气电代柴，校点调整，医联一体，全民保险，家家就业，全域生态，优质养老，‘三城’双修”</w:t>
      </w:r>
      <w:r>
        <w:rPr>
          <w:rFonts w:ascii="Times New Roman" w:hAnsi="Times New Roman" w:eastAsia="仿宋_GB2312" w:cs="Times New Roman"/>
          <w:b/>
          <w:sz w:val="32"/>
          <w:szCs w:val="32"/>
          <w:lang w:eastAsia="zh-CN" w:bidi="ar-SA"/>
        </w:rPr>
        <w:t>十大松州民生新场景</w:t>
      </w:r>
      <w:r>
        <w:rPr>
          <w:rFonts w:ascii="Times New Roman" w:hAnsi="Times New Roman" w:eastAsia="仿宋_GB2312" w:cs="Times New Roman"/>
          <w:bCs/>
          <w:sz w:val="32"/>
          <w:szCs w:val="32"/>
          <w:lang w:eastAsia="zh-CN" w:bidi="ar-SA"/>
        </w:rPr>
        <w:t>。</w:t>
      </w:r>
    </w:p>
    <w:p w14:paraId="0605AF01">
      <w:pPr>
        <w:pStyle w:val="20"/>
        <w:keepNext w:val="0"/>
        <w:keepLines w:val="0"/>
        <w:pageBreakBefore w:val="0"/>
        <w:widowControl w:val="0"/>
        <w:numPr>
          <w:ilvl w:val="0"/>
          <w:numId w:val="2"/>
        </w:numPr>
        <w:kinsoku/>
        <w:wordWrap/>
        <w:overflowPunct w:val="0"/>
        <w:topLinePunct w:val="0"/>
        <w:autoSpaceDE/>
        <w:bidi w:val="0"/>
        <w:adjustRightInd w:val="0"/>
        <w:snapToGrid w:val="0"/>
        <w:spacing w:beforeAutospacing="0" w:afterAutospacing="0" w:line="578" w:lineRule="exact"/>
        <w:ind w:left="0" w:leftChars="0" w:firstLine="640" w:firstLineChars="200"/>
        <w:jc w:val="both"/>
        <w:textAlignment w:val="auto"/>
        <w:rPr>
          <w:rFonts w:hint="eastAsia" w:ascii="仿宋_GB2312" w:hAnsi="宋体" w:eastAsia="仿宋_GB2312"/>
          <w:sz w:val="32"/>
          <w:szCs w:val="32"/>
          <w:lang w:val="zh-CN"/>
        </w:rPr>
      </w:pPr>
      <w:r>
        <w:rPr>
          <w:rFonts w:hint="eastAsia" w:ascii="仿宋_GB2312" w:hAnsi="宋体" w:eastAsia="仿宋_GB2312"/>
          <w:sz w:val="32"/>
          <w:szCs w:val="32"/>
          <w:lang w:val="zh-CN"/>
        </w:rPr>
        <w:t>分析评价申报内容是否与实际相符，申报目标是否合理可行。</w:t>
      </w:r>
    </w:p>
    <w:p w14:paraId="2284081E">
      <w:pPr>
        <w:pStyle w:val="20"/>
        <w:keepNext w:val="0"/>
        <w:keepLines w:val="0"/>
        <w:pageBreakBefore w:val="0"/>
        <w:widowControl w:val="0"/>
        <w:numPr>
          <w:ilvl w:val="0"/>
          <w:numId w:val="0"/>
        </w:numPr>
        <w:kinsoku/>
        <w:wordWrap/>
        <w:overflowPunct w:val="0"/>
        <w:topLinePunct w:val="0"/>
        <w:autoSpaceDE/>
        <w:bidi w:val="0"/>
        <w:adjustRightInd w:val="0"/>
        <w:snapToGrid w:val="0"/>
        <w:spacing w:beforeAutospacing="0" w:afterAutospacing="0" w:line="578" w:lineRule="exact"/>
        <w:ind w:leftChars="200"/>
        <w:jc w:val="both"/>
        <w:textAlignment w:val="auto"/>
        <w:rPr>
          <w:rFonts w:ascii="仿宋_GB2312" w:hAnsi="宋体" w:eastAsia="仿宋_GB2312"/>
          <w:sz w:val="32"/>
          <w:szCs w:val="32"/>
          <w:lang w:val="zh-CN"/>
        </w:rPr>
      </w:pPr>
      <w:r>
        <w:rPr>
          <w:rFonts w:hint="eastAsia" w:ascii="仿宋_GB2312" w:hAnsi="仿宋_GB2312" w:eastAsia="仿宋_GB2312" w:cs="仿宋_GB2312"/>
          <w:color w:val="000000"/>
          <w:sz w:val="32"/>
          <w:szCs w:val="32"/>
          <w:lang w:val="en-US" w:eastAsia="zh-CN"/>
        </w:rPr>
        <w:t>实现“十四五”规划和</w:t>
      </w:r>
      <w:r>
        <w:rPr>
          <w:rFonts w:hint="eastAsia" w:ascii="仿宋_GB2312" w:hAnsi="仿宋_GB2312" w:eastAsia="仿宋_GB2312" w:cs="仿宋_GB2312"/>
          <w:color w:val="000000"/>
          <w:sz w:val="32"/>
          <w:szCs w:val="32"/>
        </w:rPr>
        <w:t>二〇三五年远景目标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意义重大、任务艰巨、前景光明。全县上下要紧密团结在以习近平同志为核心的党中央周围，</w:t>
      </w:r>
      <w:r>
        <w:rPr>
          <w:rFonts w:hint="eastAsia" w:ascii="仿宋_GB2312" w:hAnsi="仿宋_GB2312" w:eastAsia="仿宋_GB2312" w:cs="仿宋_GB2312"/>
          <w:color w:val="000000"/>
          <w:sz w:val="32"/>
          <w:szCs w:val="32"/>
          <w:lang w:eastAsia="zh-CN"/>
        </w:rPr>
        <w:t>深入</w:t>
      </w:r>
      <w:r>
        <w:rPr>
          <w:rFonts w:hint="eastAsia" w:ascii="仿宋_GB2312" w:hAnsi="仿宋_GB2312" w:eastAsia="仿宋_GB2312" w:cs="仿宋_GB2312"/>
          <w:color w:val="000000"/>
          <w:sz w:val="32"/>
          <w:szCs w:val="32"/>
        </w:rPr>
        <w:t>贯彻党的十九届五中全会、省委十一届八次全会、州委十一届十次</w:t>
      </w:r>
      <w:r>
        <w:rPr>
          <w:rFonts w:hint="eastAsia" w:ascii="仿宋_GB2312" w:hAnsi="仿宋_GB2312" w:eastAsia="仿宋_GB2312" w:cs="仿宋_GB2312"/>
          <w:color w:val="000000"/>
          <w:sz w:val="32"/>
          <w:szCs w:val="32"/>
          <w:lang w:val="en-US" w:eastAsia="zh-CN"/>
        </w:rPr>
        <w:t>全会和县委十三届十一次</w:t>
      </w:r>
      <w:r>
        <w:rPr>
          <w:rFonts w:hint="eastAsia" w:ascii="仿宋_GB2312" w:hAnsi="仿宋_GB2312" w:eastAsia="仿宋_GB2312" w:cs="仿宋_GB2312"/>
          <w:color w:val="000000"/>
          <w:sz w:val="32"/>
          <w:szCs w:val="32"/>
        </w:rPr>
        <w:t>全会精神</w:t>
      </w:r>
      <w:r>
        <w:rPr>
          <w:rFonts w:hint="eastAsia" w:ascii="仿宋_GB2312" w:hAnsi="仿宋_GB2312" w:eastAsia="仿宋_GB2312" w:cs="仿宋_GB2312"/>
          <w:color w:val="000000"/>
          <w:sz w:val="32"/>
          <w:szCs w:val="32"/>
          <w:lang w:eastAsia="zh-CN"/>
        </w:rPr>
        <w:t>，紧紧围绕</w:t>
      </w:r>
      <w:r>
        <w:rPr>
          <w:rFonts w:hint="eastAsia" w:ascii="仿宋_GB2312" w:hAnsi="仿宋_GB2312" w:eastAsia="仿宋_GB2312" w:cs="仿宋_GB2312"/>
          <w:b w:val="0"/>
          <w:bCs w:val="0"/>
          <w:color w:val="000000"/>
          <w:spacing w:val="0"/>
          <w:w w:val="100"/>
          <w:sz w:val="32"/>
          <w:szCs w:val="32"/>
          <w:u w:val="none" w:color="auto"/>
          <w:lang w:val="en-US" w:eastAsia="zh-CN"/>
        </w:rPr>
        <w:t>“一城两心三地”发展战略</w:t>
      </w:r>
      <w:r>
        <w:rPr>
          <w:rFonts w:hint="eastAsia" w:ascii="仿宋_GB2312" w:hAnsi="仿宋_GB2312" w:eastAsia="仿宋_GB2312" w:cs="仿宋_GB2312"/>
          <w:color w:val="000000"/>
          <w:sz w:val="32"/>
          <w:szCs w:val="32"/>
          <w:lang w:val="en-US" w:eastAsia="zh-CN"/>
        </w:rPr>
        <w:t>和“高原生态家园”建设目标，</w:t>
      </w:r>
      <w:r>
        <w:rPr>
          <w:rFonts w:hint="eastAsia" w:ascii="仿宋_GB2312" w:hAnsi="仿宋_GB2312" w:eastAsia="仿宋_GB2312" w:cs="仿宋_GB2312"/>
          <w:color w:val="000000"/>
          <w:sz w:val="32"/>
          <w:szCs w:val="32"/>
        </w:rPr>
        <w:t>开拓创新</w:t>
      </w:r>
      <w:r>
        <w:rPr>
          <w:rFonts w:hint="eastAsia" w:ascii="仿宋_GB2312" w:hAnsi="仿宋_GB2312" w:eastAsia="仿宋_GB2312" w:cs="仿宋_GB2312"/>
          <w:color w:val="000000"/>
          <w:sz w:val="32"/>
          <w:szCs w:val="32"/>
          <w:lang w:eastAsia="zh-CN"/>
        </w:rPr>
        <w:t>、锐意进取、</w:t>
      </w:r>
      <w:r>
        <w:rPr>
          <w:rFonts w:hint="eastAsia" w:ascii="仿宋_GB2312" w:hAnsi="仿宋_GB2312" w:eastAsia="仿宋_GB2312" w:cs="仿宋_GB2312"/>
          <w:color w:val="000000"/>
          <w:sz w:val="32"/>
          <w:szCs w:val="32"/>
        </w:rPr>
        <w:t>攻坚克难，为全面实现“十四五”规划和二〇三五年远景目标而努力奋斗!</w:t>
      </w:r>
    </w:p>
    <w:p w14:paraId="6D6F715E">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（三）项目自评步骤及方法。</w:t>
      </w:r>
    </w:p>
    <w:p w14:paraId="0464BB7C">
      <w:pPr>
        <w:pStyle w:val="20"/>
        <w:ind w:firstLine="640" w:firstLineChars="200"/>
        <w:rPr>
          <w:lang w:val="zh-CN"/>
        </w:rPr>
      </w:pPr>
      <w:r>
        <w:rPr>
          <w:rFonts w:hint="eastAsia" w:ascii="仿宋" w:hAnsi="仿宋" w:eastAsia="仿宋" w:cs="仿宋"/>
          <w:b w:val="0"/>
          <w:bCs w:val="0"/>
          <w:sz w:val="32"/>
          <w:szCs w:val="32"/>
          <w:lang w:val="en-US" w:eastAsia="zh-CN"/>
        </w:rPr>
        <w:t>项目启动前及时编制绩效目标，严格细化量化完成指标及经济效益指标。</w:t>
      </w:r>
    </w:p>
    <w:p w14:paraId="2FC7E5AB">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72CE8E41">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（一）项目资金申报及批复情况。</w:t>
      </w:r>
    </w:p>
    <w:p w14:paraId="1EAFAF4C">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项目资金申报、批复严格按照资金申报程序完成。</w:t>
      </w:r>
    </w:p>
    <w:p w14:paraId="1608B5BA">
      <w:pPr>
        <w:adjustRightInd w:val="0"/>
        <w:snapToGrid w:val="0"/>
        <w:spacing w:line="60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（二）资金计划、到位及使用情况（可用表格形式反映）。</w:t>
      </w:r>
    </w:p>
    <w:p w14:paraId="62A5E7E0">
      <w:pPr>
        <w:adjustRightInd w:val="0"/>
        <w:snapToGrid w:val="0"/>
        <w:spacing w:line="600" w:lineRule="exact"/>
        <w:ind w:firstLine="720"/>
        <w:rPr>
          <w:rFonts w:hint="eastAsia" w:ascii="楷体_GB2312" w:hAnsi="宋体" w:eastAsia="楷体_GB2312"/>
          <w:sz w:val="32"/>
          <w:szCs w:val="32"/>
          <w:lang w:val="zh-CN"/>
        </w:rPr>
      </w:pPr>
      <w:r>
        <w:rPr>
          <w:rFonts w:ascii="楷体_GB2312" w:hAnsi="宋体" w:eastAsia="楷体_GB2312"/>
          <w:sz w:val="32"/>
          <w:szCs w:val="32"/>
          <w:lang w:val="zh-CN"/>
        </w:rPr>
        <w:t>1</w:t>
      </w:r>
      <w:r>
        <w:rPr>
          <w:rFonts w:hint="eastAsia" w:ascii="楷体_GB2312" w:hAnsi="宋体" w:eastAsia="楷体_GB2312"/>
          <w:sz w:val="32"/>
          <w:szCs w:val="32"/>
          <w:lang w:val="zh-CN"/>
        </w:rPr>
        <w:t>．资金计划。</w:t>
      </w:r>
    </w:p>
    <w:p w14:paraId="26311B68">
      <w:pPr>
        <w:pStyle w:val="20"/>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2020年申请项目资金30万元整</w:t>
      </w:r>
    </w:p>
    <w:p w14:paraId="67C75B61">
      <w:pPr>
        <w:numPr>
          <w:ilvl w:val="0"/>
          <w:numId w:val="8"/>
        </w:numPr>
        <w:adjustRightInd w:val="0"/>
        <w:snapToGrid w:val="0"/>
        <w:spacing w:line="600" w:lineRule="exact"/>
        <w:ind w:firstLine="720"/>
        <w:rPr>
          <w:rFonts w:hint="eastAsia" w:ascii="仿宋" w:hAnsi="仿宋" w:eastAsia="仿宋" w:cs="仿宋"/>
          <w:sz w:val="28"/>
          <w:szCs w:val="28"/>
          <w:lang w:val="zh-CN"/>
        </w:rPr>
      </w:pPr>
      <w:r>
        <w:rPr>
          <w:rFonts w:hint="eastAsia" w:ascii="仿宋" w:hAnsi="仿宋" w:eastAsia="仿宋" w:cs="仿宋"/>
          <w:sz w:val="28"/>
          <w:szCs w:val="28"/>
          <w:lang w:val="zh-CN"/>
        </w:rPr>
        <w:t>资金到位。</w:t>
      </w:r>
    </w:p>
    <w:p w14:paraId="4F2DD41E">
      <w:pPr>
        <w:pStyle w:val="20"/>
        <w:numPr>
          <w:ilvl w:val="0"/>
          <w:numId w:val="0"/>
        </w:numPr>
        <w:ind w:firstLine="840" w:firstLineChars="3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2021年资金到位23.92万元。</w:t>
      </w:r>
    </w:p>
    <w:p w14:paraId="1D2185BB">
      <w:pPr>
        <w:numPr>
          <w:ilvl w:val="0"/>
          <w:numId w:val="8"/>
        </w:numPr>
        <w:adjustRightInd w:val="0"/>
        <w:snapToGrid w:val="0"/>
        <w:spacing w:line="600" w:lineRule="exact"/>
        <w:ind w:left="0" w:leftChars="0" w:firstLine="720" w:firstLineChars="0"/>
        <w:rPr>
          <w:rFonts w:hint="eastAsia" w:ascii="仿宋" w:hAnsi="仿宋" w:eastAsia="仿宋" w:cs="仿宋"/>
          <w:sz w:val="28"/>
          <w:szCs w:val="28"/>
          <w:lang w:val="zh-CN"/>
        </w:rPr>
      </w:pPr>
      <w:r>
        <w:rPr>
          <w:rFonts w:hint="eastAsia" w:ascii="仿宋" w:hAnsi="仿宋" w:eastAsia="仿宋" w:cs="仿宋"/>
          <w:sz w:val="28"/>
          <w:szCs w:val="28"/>
          <w:lang w:val="zh-CN"/>
        </w:rPr>
        <w:t>资金使用。</w:t>
      </w:r>
    </w:p>
    <w:p w14:paraId="4C9350EE">
      <w:pPr>
        <w:pStyle w:val="20"/>
        <w:numPr>
          <w:ilvl w:val="0"/>
          <w:numId w:val="0"/>
        </w:numPr>
        <w:ind w:left="720" w:leftChars="0"/>
        <w:rPr>
          <w:rFonts w:hint="default" w:eastAsia="宋体"/>
          <w:lang w:val="en-US" w:eastAsia="zh-CN"/>
        </w:rPr>
      </w:pPr>
      <w:r>
        <w:rPr>
          <w:rFonts w:hint="eastAsia"/>
          <w:lang w:val="en-US" w:eastAsia="zh-CN"/>
        </w:rPr>
        <w:t>2021年12月已全部支付到位。</w:t>
      </w:r>
    </w:p>
    <w:p w14:paraId="2C259357">
      <w:pPr>
        <w:adjustRightInd w:val="0"/>
        <w:snapToGrid w:val="0"/>
        <w:spacing w:line="600" w:lineRule="exact"/>
        <w:ind w:firstLine="321" w:firstLineChars="10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64B8F819">
      <w:pPr>
        <w:adjustRightInd w:val="0"/>
        <w:snapToGrid w:val="0"/>
        <w:spacing w:line="60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我局总体评价各项目实施单位财务管理制度健全，严格执行财务管理制度，账务处理及时，会计核算是规范。</w:t>
      </w:r>
    </w:p>
    <w:p w14:paraId="0E42F941">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三、项目实施及管理情况</w:t>
      </w:r>
    </w:p>
    <w:p w14:paraId="3CE74382">
      <w:pPr>
        <w:adjustRightInd w:val="0"/>
        <w:snapToGrid w:val="0"/>
        <w:spacing w:line="600" w:lineRule="exact"/>
        <w:ind w:firstLine="720"/>
        <w:rPr>
          <w:rFonts w:ascii="Times New Roman" w:hAnsi="Times New Roman" w:eastAsia="仿宋_GB2312" w:cs="Times New Roman"/>
          <w:bCs/>
          <w:sz w:val="32"/>
          <w:szCs w:val="32"/>
          <w:lang w:eastAsia="zh-CN" w:bidi="ar-SA"/>
        </w:rPr>
      </w:pPr>
      <w:r>
        <w:rPr>
          <w:rFonts w:ascii="Times New Roman" w:hAnsi="Times New Roman" w:eastAsia="仿宋_GB2312" w:cs="Times New Roman"/>
          <w:bCs/>
          <w:sz w:val="32"/>
          <w:szCs w:val="32"/>
          <w:lang w:eastAsia="zh-CN" w:bidi="ar-SA"/>
        </w:rPr>
        <w:t>在《基本思路》的基础上，同步开展</w:t>
      </w:r>
      <w:r>
        <w:rPr>
          <w:rFonts w:hint="eastAsia" w:ascii="Times New Roman" w:hAnsi="Times New Roman" w:eastAsia="仿宋_GB2312" w:cs="Times New Roman"/>
          <w:bCs/>
          <w:sz w:val="32"/>
          <w:szCs w:val="32"/>
          <w:lang w:eastAsia="zh-CN" w:bidi="ar-SA"/>
        </w:rPr>
        <w:t>《纲要草案》</w:t>
      </w:r>
      <w:r>
        <w:rPr>
          <w:rFonts w:ascii="Times New Roman" w:hAnsi="Times New Roman" w:eastAsia="仿宋_GB2312" w:cs="Times New Roman"/>
          <w:bCs/>
          <w:sz w:val="32"/>
          <w:szCs w:val="32"/>
          <w:lang w:eastAsia="zh-CN" w:bidi="ar-SA"/>
        </w:rPr>
        <w:t>编制。2020年10月中旬，形成</w:t>
      </w:r>
      <w:r>
        <w:rPr>
          <w:rFonts w:hint="eastAsia" w:ascii="Times New Roman" w:hAnsi="Times New Roman" w:eastAsia="仿宋_GB2312" w:cs="Times New Roman"/>
          <w:bCs/>
          <w:sz w:val="32"/>
          <w:szCs w:val="32"/>
          <w:lang w:eastAsia="zh-CN" w:bidi="ar-SA"/>
        </w:rPr>
        <w:t>《纲要草案（初稿）》</w:t>
      </w:r>
      <w:r>
        <w:rPr>
          <w:rFonts w:ascii="Times New Roman" w:hAnsi="Times New Roman" w:eastAsia="仿宋_GB2312" w:cs="Times New Roman"/>
          <w:bCs/>
          <w:sz w:val="32"/>
          <w:szCs w:val="32"/>
          <w:lang w:eastAsia="zh-CN" w:bidi="ar-SA"/>
        </w:rPr>
        <w:t>，分别与各部门进行专题研讨对接，先后经过18次修改，形成</w:t>
      </w:r>
      <w:r>
        <w:rPr>
          <w:rFonts w:hint="eastAsia" w:ascii="Times New Roman" w:hAnsi="Times New Roman" w:eastAsia="仿宋_GB2312" w:cs="Times New Roman"/>
          <w:bCs/>
          <w:sz w:val="32"/>
          <w:szCs w:val="32"/>
          <w:lang w:eastAsia="zh-CN" w:bidi="ar-SA"/>
        </w:rPr>
        <w:t>《纲要草案</w:t>
      </w:r>
      <w:r>
        <w:rPr>
          <w:rFonts w:ascii="Times New Roman" w:hAnsi="Times New Roman" w:eastAsia="仿宋_GB2312" w:cs="Times New Roman"/>
          <w:bCs/>
          <w:sz w:val="32"/>
          <w:szCs w:val="32"/>
          <w:lang w:eastAsia="zh-CN" w:bidi="ar-SA"/>
        </w:rPr>
        <w:t>（征求意见稿）</w:t>
      </w:r>
      <w:r>
        <w:rPr>
          <w:rFonts w:hint="eastAsia" w:ascii="Times New Roman" w:hAnsi="Times New Roman" w:eastAsia="仿宋_GB2312" w:cs="Times New Roman"/>
          <w:bCs/>
          <w:sz w:val="32"/>
          <w:szCs w:val="32"/>
          <w:lang w:eastAsia="zh-CN" w:bidi="ar-SA"/>
        </w:rPr>
        <w:t>》</w:t>
      </w:r>
      <w:r>
        <w:rPr>
          <w:rFonts w:ascii="Times New Roman" w:hAnsi="Times New Roman" w:eastAsia="仿宋_GB2312" w:cs="Times New Roman"/>
          <w:bCs/>
          <w:sz w:val="32"/>
          <w:szCs w:val="32"/>
          <w:lang w:eastAsia="zh-CN" w:bidi="ar-SA"/>
        </w:rPr>
        <w:t>。12月底，结合县委十三届十一次全会精神和《规划建议》</w:t>
      </w:r>
      <w:r>
        <w:rPr>
          <w:rFonts w:hint="eastAsia" w:ascii="Times New Roman" w:hAnsi="Times New Roman" w:eastAsia="仿宋_GB2312" w:cs="Times New Roman"/>
          <w:bCs/>
          <w:sz w:val="32"/>
          <w:szCs w:val="32"/>
          <w:lang w:eastAsia="zh-CN" w:bidi="ar-SA"/>
        </w:rPr>
        <w:t>要求</w:t>
      </w:r>
      <w:r>
        <w:rPr>
          <w:rFonts w:ascii="Times New Roman" w:hAnsi="Times New Roman" w:eastAsia="仿宋_GB2312" w:cs="Times New Roman"/>
          <w:bCs/>
          <w:sz w:val="32"/>
          <w:szCs w:val="32"/>
          <w:lang w:eastAsia="zh-CN" w:bidi="ar-SA"/>
        </w:rPr>
        <w:t>，再次修改完善。2021年1月13日，由省委省政府决策咨询委员会副主任王海林</w:t>
      </w:r>
      <w:r>
        <w:rPr>
          <w:rFonts w:hint="eastAsia" w:ascii="Times New Roman" w:hAnsi="Times New Roman" w:eastAsia="仿宋_GB2312" w:cs="Times New Roman"/>
          <w:bCs/>
          <w:sz w:val="32"/>
          <w:szCs w:val="32"/>
          <w:lang w:eastAsia="zh-CN" w:bidi="ar-SA"/>
        </w:rPr>
        <w:t>等同志</w:t>
      </w:r>
      <w:r>
        <w:rPr>
          <w:rFonts w:ascii="Times New Roman" w:hAnsi="Times New Roman" w:eastAsia="仿宋_GB2312" w:cs="Times New Roman"/>
          <w:bCs/>
          <w:sz w:val="32"/>
          <w:szCs w:val="32"/>
          <w:lang w:eastAsia="zh-CN" w:bidi="ar-SA"/>
        </w:rPr>
        <w:t>组成的专家组对</w:t>
      </w:r>
      <w:r>
        <w:rPr>
          <w:rFonts w:hint="eastAsia" w:ascii="Times New Roman" w:hAnsi="Times New Roman" w:eastAsia="仿宋_GB2312" w:cs="Times New Roman"/>
          <w:bCs/>
          <w:sz w:val="32"/>
          <w:szCs w:val="32"/>
          <w:lang w:eastAsia="zh-CN" w:bidi="ar-SA"/>
        </w:rPr>
        <w:t>《纲要草案》</w:t>
      </w:r>
      <w:r>
        <w:rPr>
          <w:rFonts w:ascii="Times New Roman" w:hAnsi="Times New Roman" w:eastAsia="仿宋_GB2312" w:cs="Times New Roman"/>
          <w:bCs/>
          <w:sz w:val="32"/>
          <w:szCs w:val="32"/>
          <w:lang w:eastAsia="zh-CN" w:bidi="ar-SA"/>
        </w:rPr>
        <w:t>进行审查。</w:t>
      </w:r>
    </w:p>
    <w:p w14:paraId="50D63157">
      <w:pPr>
        <w:numPr>
          <w:ilvl w:val="0"/>
          <w:numId w:val="9"/>
        </w:numPr>
        <w:adjustRightInd w:val="0"/>
        <w:snapToGrid w:val="0"/>
        <w:spacing w:line="600" w:lineRule="exact"/>
        <w:ind w:firstLine="720"/>
        <w:rPr>
          <w:lang w:val="zh-CN"/>
        </w:rPr>
      </w:pPr>
      <w:r>
        <w:rPr>
          <w:rFonts w:hint="eastAsia" w:ascii="楷体_GB2312" w:hAnsi="宋体" w:eastAsia="楷体_GB2312"/>
          <w:b/>
          <w:sz w:val="32"/>
          <w:szCs w:val="32"/>
          <w:lang w:val="zh-CN"/>
        </w:rPr>
        <w:t>项目组织架构及实施流程。</w:t>
      </w:r>
      <w:r>
        <w:rPr>
          <w:rFonts w:ascii="Times New Roman" w:hAnsi="Times New Roman" w:eastAsia="仿宋_GB2312" w:cs="Times New Roman"/>
          <w:bCs/>
          <w:sz w:val="32"/>
          <w:szCs w:val="32"/>
          <w:lang w:eastAsia="zh-CN" w:bidi="ar-SA"/>
        </w:rPr>
        <w:t>2020年10月中旬，形成</w:t>
      </w:r>
      <w:r>
        <w:rPr>
          <w:rFonts w:hint="eastAsia" w:ascii="Times New Roman" w:hAnsi="Times New Roman" w:eastAsia="仿宋_GB2312" w:cs="Times New Roman"/>
          <w:bCs/>
          <w:sz w:val="32"/>
          <w:szCs w:val="32"/>
          <w:lang w:eastAsia="zh-CN" w:bidi="ar-SA"/>
        </w:rPr>
        <w:t>《纲要草案（初稿）》</w:t>
      </w:r>
      <w:r>
        <w:rPr>
          <w:rFonts w:ascii="Times New Roman" w:hAnsi="Times New Roman" w:eastAsia="仿宋_GB2312" w:cs="Times New Roman"/>
          <w:bCs/>
          <w:sz w:val="32"/>
          <w:szCs w:val="32"/>
          <w:lang w:eastAsia="zh-CN" w:bidi="ar-SA"/>
        </w:rPr>
        <w:t>，分别与各部门进行专题研讨对接，先后经过18次修改，形成</w:t>
      </w:r>
      <w:r>
        <w:rPr>
          <w:rFonts w:hint="eastAsia" w:ascii="Times New Roman" w:hAnsi="Times New Roman" w:eastAsia="仿宋_GB2312" w:cs="Times New Roman"/>
          <w:bCs/>
          <w:sz w:val="32"/>
          <w:szCs w:val="32"/>
          <w:lang w:eastAsia="zh-CN" w:bidi="ar-SA"/>
        </w:rPr>
        <w:t>《纲要草案</w:t>
      </w:r>
      <w:r>
        <w:rPr>
          <w:rFonts w:ascii="Times New Roman" w:hAnsi="Times New Roman" w:eastAsia="仿宋_GB2312" w:cs="Times New Roman"/>
          <w:bCs/>
          <w:sz w:val="32"/>
          <w:szCs w:val="32"/>
          <w:lang w:eastAsia="zh-CN" w:bidi="ar-SA"/>
        </w:rPr>
        <w:t>（征求意见稿）</w:t>
      </w:r>
      <w:r>
        <w:rPr>
          <w:rFonts w:hint="eastAsia" w:ascii="Times New Roman" w:hAnsi="Times New Roman" w:eastAsia="仿宋_GB2312" w:cs="Times New Roman"/>
          <w:bCs/>
          <w:sz w:val="32"/>
          <w:szCs w:val="32"/>
          <w:lang w:eastAsia="zh-CN" w:bidi="ar-SA"/>
        </w:rPr>
        <w:t>》</w:t>
      </w:r>
      <w:r>
        <w:rPr>
          <w:rFonts w:ascii="Times New Roman" w:hAnsi="Times New Roman" w:eastAsia="仿宋_GB2312" w:cs="Times New Roman"/>
          <w:bCs/>
          <w:sz w:val="32"/>
          <w:szCs w:val="32"/>
          <w:lang w:eastAsia="zh-CN" w:bidi="ar-SA"/>
        </w:rPr>
        <w:t>。12月底，结合县委十三届十一次全会精神和《规划建议》</w:t>
      </w:r>
      <w:r>
        <w:rPr>
          <w:rFonts w:hint="eastAsia" w:ascii="Times New Roman" w:hAnsi="Times New Roman" w:eastAsia="仿宋_GB2312" w:cs="Times New Roman"/>
          <w:bCs/>
          <w:sz w:val="32"/>
          <w:szCs w:val="32"/>
          <w:lang w:eastAsia="zh-CN" w:bidi="ar-SA"/>
        </w:rPr>
        <w:t>要求</w:t>
      </w:r>
      <w:r>
        <w:rPr>
          <w:rFonts w:ascii="Times New Roman" w:hAnsi="Times New Roman" w:eastAsia="仿宋_GB2312" w:cs="Times New Roman"/>
          <w:bCs/>
          <w:sz w:val="32"/>
          <w:szCs w:val="32"/>
          <w:lang w:eastAsia="zh-CN" w:bidi="ar-SA"/>
        </w:rPr>
        <w:t>，再次修改完善。2021年1月13日，由省委省政府决策咨询委员会副主任王海林</w:t>
      </w:r>
      <w:r>
        <w:rPr>
          <w:rFonts w:hint="eastAsia" w:ascii="Times New Roman" w:hAnsi="Times New Roman" w:eastAsia="仿宋_GB2312" w:cs="Times New Roman"/>
          <w:bCs/>
          <w:sz w:val="32"/>
          <w:szCs w:val="32"/>
          <w:lang w:eastAsia="zh-CN" w:bidi="ar-SA"/>
        </w:rPr>
        <w:t>等同志</w:t>
      </w:r>
      <w:r>
        <w:rPr>
          <w:rFonts w:ascii="Times New Roman" w:hAnsi="Times New Roman" w:eastAsia="仿宋_GB2312" w:cs="Times New Roman"/>
          <w:bCs/>
          <w:sz w:val="32"/>
          <w:szCs w:val="32"/>
          <w:lang w:eastAsia="zh-CN" w:bidi="ar-SA"/>
        </w:rPr>
        <w:t>组成的专家组对</w:t>
      </w:r>
      <w:r>
        <w:rPr>
          <w:rFonts w:hint="eastAsia" w:ascii="Times New Roman" w:hAnsi="Times New Roman" w:eastAsia="仿宋_GB2312" w:cs="Times New Roman"/>
          <w:bCs/>
          <w:sz w:val="32"/>
          <w:szCs w:val="32"/>
          <w:lang w:eastAsia="zh-CN" w:bidi="ar-SA"/>
        </w:rPr>
        <w:t>《纲要草案》</w:t>
      </w:r>
      <w:r>
        <w:rPr>
          <w:rFonts w:ascii="Times New Roman" w:hAnsi="Times New Roman" w:eastAsia="仿宋_GB2312" w:cs="Times New Roman"/>
          <w:bCs/>
          <w:sz w:val="32"/>
          <w:szCs w:val="32"/>
          <w:lang w:eastAsia="zh-CN" w:bidi="ar-SA"/>
        </w:rPr>
        <w:t>进行审查。</w:t>
      </w:r>
    </w:p>
    <w:p w14:paraId="43F55134">
      <w:pPr>
        <w:numPr>
          <w:ilvl w:val="0"/>
          <w:numId w:val="9"/>
        </w:numPr>
        <w:adjustRightInd w:val="0"/>
        <w:snapToGrid w:val="0"/>
        <w:spacing w:line="600" w:lineRule="exact"/>
        <w:ind w:left="0" w:leftChars="0" w:firstLine="720" w:firstLineChars="0"/>
        <w:rPr>
          <w:rFonts w:hint="eastAsia"/>
          <w:lang w:val="zh-CN"/>
        </w:rPr>
      </w:pPr>
      <w:r>
        <w:rPr>
          <w:rFonts w:hint="eastAsia" w:ascii="楷体_GB2312" w:hAnsi="宋体" w:eastAsia="楷体_GB2312"/>
          <w:b/>
          <w:sz w:val="32"/>
          <w:szCs w:val="32"/>
          <w:lang w:val="zh-CN"/>
        </w:rPr>
        <w:t>项目管理情况。</w:t>
      </w:r>
      <w:r>
        <w:rPr>
          <w:rFonts w:hint="eastAsia" w:ascii="仿宋" w:hAnsi="仿宋" w:eastAsia="仿宋" w:cs="仿宋"/>
          <w:b w:val="0"/>
          <w:bCs w:val="0"/>
          <w:sz w:val="32"/>
          <w:szCs w:val="32"/>
          <w:lang w:val="en-US" w:eastAsia="zh-CN"/>
        </w:rPr>
        <w:t>该项目严格按照项目管理办法执行。</w:t>
      </w:r>
    </w:p>
    <w:p w14:paraId="508F7A20">
      <w:pPr>
        <w:numPr>
          <w:ilvl w:val="0"/>
          <w:numId w:val="0"/>
        </w:numPr>
        <w:adjustRightInd w:val="0"/>
        <w:snapToGrid w:val="0"/>
        <w:spacing w:line="600" w:lineRule="exact"/>
        <w:ind w:left="720" w:leftChars="0"/>
        <w:rPr>
          <w:rFonts w:ascii="仿宋_GB2312" w:hAnsi="宋体" w:eastAsia="仿宋_GB2312"/>
          <w:b w:val="0"/>
          <w:bCs/>
          <w:sz w:val="32"/>
          <w:szCs w:val="32"/>
          <w:lang w:val="zh-CN"/>
        </w:rPr>
      </w:pPr>
      <w:r>
        <w:rPr>
          <w:rFonts w:hint="eastAsia" w:ascii="楷体_GB2312" w:hAnsi="宋体" w:eastAsia="楷体_GB2312"/>
          <w:b/>
          <w:sz w:val="32"/>
          <w:szCs w:val="32"/>
          <w:lang w:val="zh-CN"/>
        </w:rPr>
        <w:t>（三）项目监管情况。</w:t>
      </w:r>
      <w:r>
        <w:rPr>
          <w:rFonts w:hint="eastAsia" w:ascii="楷体_GB2312" w:hAnsi="宋体" w:eastAsia="楷体_GB2312"/>
          <w:b w:val="0"/>
          <w:bCs/>
          <w:sz w:val="32"/>
          <w:szCs w:val="32"/>
          <w:lang w:val="zh-CN"/>
        </w:rPr>
        <w:t>“十四五”规划编制服务项目我局严格按照项目绩效管理办法实行监督管理。</w:t>
      </w:r>
    </w:p>
    <w:p w14:paraId="4316CE11">
      <w:pPr>
        <w:adjustRightInd w:val="0"/>
        <w:snapToGrid w:val="0"/>
        <w:spacing w:line="600" w:lineRule="exact"/>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ascii="仿宋_GB2312" w:hAnsi="宋体" w:eastAsia="仿宋_GB2312"/>
          <w:sz w:val="32"/>
          <w:szCs w:val="32"/>
          <w:lang w:val="zh-CN"/>
        </w:rPr>
        <w:tab/>
      </w:r>
    </w:p>
    <w:p w14:paraId="034AECD5">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r>
        <w:rPr>
          <w:rFonts w:hint="eastAsia" w:ascii="楷体_GB2312" w:hAnsi="宋体" w:eastAsia="楷体_GB2312"/>
          <w:b w:val="0"/>
          <w:bCs/>
          <w:sz w:val="32"/>
          <w:szCs w:val="32"/>
          <w:lang w:val="zh-CN"/>
        </w:rPr>
        <w:t>“十四五”规划编制服务项目按时按量完成“十四五”规划的编制服务。</w:t>
      </w:r>
    </w:p>
    <w:p w14:paraId="7E05F734">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04A542CD">
      <w:pPr>
        <w:widowControl w:val="0"/>
        <w:overflowPunct w:val="0"/>
        <w:adjustRightInd w:val="0"/>
        <w:snapToGrid w:val="0"/>
        <w:spacing w:after="0" w:line="576" w:lineRule="exact"/>
        <w:ind w:firstLine="640" w:firstLineChars="200"/>
        <w:jc w:val="both"/>
        <w:rPr>
          <w:rFonts w:ascii="Times New Roman" w:hAnsi="Times New Roman" w:eastAsia="仿宋_GB2312" w:cs="Times New Roman"/>
          <w:bCs/>
          <w:sz w:val="32"/>
          <w:szCs w:val="32"/>
          <w:lang w:eastAsia="zh-CN" w:bidi="ar-SA"/>
        </w:rPr>
      </w:pPr>
      <w:r>
        <w:rPr>
          <w:rFonts w:ascii="Times New Roman" w:hAnsi="Times New Roman" w:eastAsia="仿宋_GB2312" w:cs="Times New Roman"/>
          <w:b w:val="0"/>
          <w:bCs/>
          <w:sz w:val="32"/>
          <w:szCs w:val="32"/>
          <w:lang w:eastAsia="zh-CN" w:bidi="ar-SA"/>
        </w:rPr>
        <w:t>发展速度快于全州平均水平、发展标准高于全州平均水平、发展质量优于全州平均水平，</w:t>
      </w:r>
      <w:r>
        <w:rPr>
          <w:rFonts w:ascii="Times New Roman" w:hAnsi="Times New Roman" w:eastAsia="仿宋_GB2312" w:cs="Times New Roman"/>
          <w:bCs/>
          <w:sz w:val="32"/>
          <w:szCs w:val="32"/>
          <w:lang w:eastAsia="zh-CN" w:bidi="ar-SA"/>
        </w:rPr>
        <w:t>全面开启社会主义现代化建设新松潘征程、全面巩固拓展脱贫攻坚成果、全面推进乡村振兴战略、全面推进法治松潘建设、全面加强新时代党的建设，建成国家级历史文化名城，建成川甘青物流中心和文化旅游集散中心，建成绿色发展高地、民族团结进步福地、国际生态文化旅游胜地，建设松州文创、乡创、交通、民生“四大新场景”。</w:t>
      </w:r>
    </w:p>
    <w:p w14:paraId="3D2AA1E0">
      <w:pPr>
        <w:widowControl w:val="0"/>
        <w:overflowPunct w:val="0"/>
        <w:spacing w:after="0" w:line="576" w:lineRule="exact"/>
        <w:ind w:firstLine="640" w:firstLineChars="200"/>
        <w:jc w:val="both"/>
        <w:rPr>
          <w:rFonts w:ascii="Times New Roman" w:hAnsi="Times New Roman" w:eastAsia="仿宋_GB2312" w:cs="Times New Roman"/>
          <w:bCs/>
          <w:sz w:val="32"/>
          <w:szCs w:val="32"/>
          <w:lang w:eastAsia="zh-CN" w:bidi="ar-SA"/>
        </w:rPr>
      </w:pPr>
      <w:r>
        <w:rPr>
          <w:rFonts w:ascii="Times New Roman" w:hAnsi="Times New Roman" w:eastAsia="仿宋_GB2312" w:cs="Times New Roman"/>
          <w:bCs/>
          <w:sz w:val="32"/>
          <w:szCs w:val="32"/>
          <w:lang w:eastAsia="zh-CN" w:bidi="ar-SA"/>
        </w:rPr>
        <w:t>展望二〇三五年，松潘将与全国、全省、全州同步基本实现现代化，生态美丽、富裕小康、和谐幸福的社会主义现代化新松潘建设取得全方位、历史性、突破性进展。</w:t>
      </w:r>
      <w:r>
        <w:rPr>
          <w:rFonts w:ascii="Times New Roman" w:hAnsi="Times New Roman" w:eastAsia="仿宋_GB2312" w:cs="Times New Roman"/>
          <w:b w:val="0"/>
          <w:bCs/>
          <w:sz w:val="32"/>
          <w:szCs w:val="32"/>
          <w:lang w:eastAsia="zh-CN" w:bidi="ar-SA"/>
        </w:rPr>
        <w:t>生态环境更加优美，</w:t>
      </w:r>
      <w:r>
        <w:rPr>
          <w:rFonts w:ascii="Times New Roman" w:hAnsi="Times New Roman" w:eastAsia="仿宋_GB2312" w:cs="Times New Roman"/>
          <w:bCs/>
          <w:sz w:val="32"/>
          <w:szCs w:val="32"/>
          <w:lang w:eastAsia="zh-CN" w:bidi="ar-SA"/>
        </w:rPr>
        <w:t>美丽松潘建设目标基本实现。</w:t>
      </w:r>
      <w:r>
        <w:rPr>
          <w:rFonts w:ascii="Times New Roman" w:hAnsi="Times New Roman" w:eastAsia="仿宋_GB2312" w:cs="Times New Roman"/>
          <w:b w:val="0"/>
          <w:bCs/>
          <w:sz w:val="32"/>
          <w:szCs w:val="32"/>
          <w:lang w:eastAsia="zh-CN" w:bidi="ar-SA"/>
        </w:rPr>
        <w:t>经济实力更加强劲，</w:t>
      </w:r>
      <w:r>
        <w:rPr>
          <w:rFonts w:ascii="Times New Roman" w:hAnsi="Times New Roman" w:eastAsia="仿宋_GB2312" w:cs="Times New Roman"/>
          <w:bCs/>
          <w:sz w:val="32"/>
          <w:szCs w:val="32"/>
          <w:lang w:eastAsia="zh-CN" w:bidi="ar-SA"/>
        </w:rPr>
        <w:t>经济总量和城乡居民人均可支配收入迈上新高</w:t>
      </w:r>
      <w:r>
        <w:rPr>
          <w:rFonts w:ascii="Times New Roman" w:hAnsi="Times New Roman" w:eastAsia="仿宋_GB2312" w:cs="Times New Roman"/>
          <w:b w:val="0"/>
          <w:bCs/>
          <w:sz w:val="32"/>
          <w:szCs w:val="32"/>
          <w:lang w:eastAsia="zh-CN" w:bidi="ar-SA"/>
        </w:rPr>
        <w:t>。人民生活更加幸福</w:t>
      </w:r>
      <w:r>
        <w:rPr>
          <w:rFonts w:ascii="Times New Roman" w:hAnsi="Times New Roman" w:eastAsia="仿宋_GB2312" w:cs="Times New Roman"/>
          <w:bCs/>
          <w:sz w:val="32"/>
          <w:szCs w:val="32"/>
          <w:lang w:eastAsia="zh-CN" w:bidi="ar-SA"/>
        </w:rPr>
        <w:t>，人的全面发展、全体人民共同富裕取得更为明显的实质性进展。</w:t>
      </w:r>
      <w:r>
        <w:rPr>
          <w:rFonts w:ascii="Times New Roman" w:hAnsi="Times New Roman" w:eastAsia="仿宋_GB2312" w:cs="Times New Roman"/>
          <w:b w:val="0"/>
          <w:bCs/>
          <w:sz w:val="32"/>
          <w:szCs w:val="32"/>
          <w:lang w:eastAsia="zh-CN" w:bidi="ar-SA"/>
        </w:rPr>
        <w:t>社会文明更加进步</w:t>
      </w:r>
      <w:r>
        <w:rPr>
          <w:rFonts w:ascii="Times New Roman" w:hAnsi="Times New Roman" w:eastAsia="仿宋_GB2312" w:cs="Times New Roman"/>
          <w:bCs/>
          <w:sz w:val="32"/>
          <w:szCs w:val="32"/>
          <w:lang w:eastAsia="zh-CN" w:bidi="ar-SA"/>
        </w:rPr>
        <w:t>，共同团结进步、繁荣发展达到更高水平。</w:t>
      </w:r>
      <w:r>
        <w:rPr>
          <w:rFonts w:ascii="Times New Roman" w:hAnsi="Times New Roman" w:eastAsia="仿宋_GB2312" w:cs="Times New Roman"/>
          <w:b w:val="0"/>
          <w:bCs/>
          <w:sz w:val="32"/>
          <w:szCs w:val="32"/>
          <w:lang w:eastAsia="zh-CN" w:bidi="ar-SA"/>
        </w:rPr>
        <w:t>基层治理更加高效</w:t>
      </w:r>
      <w:r>
        <w:rPr>
          <w:rFonts w:ascii="Times New Roman" w:hAnsi="Times New Roman" w:eastAsia="仿宋_GB2312" w:cs="Times New Roman"/>
          <w:bCs/>
          <w:sz w:val="32"/>
          <w:szCs w:val="32"/>
          <w:lang w:eastAsia="zh-CN" w:bidi="ar-SA"/>
        </w:rPr>
        <w:t>，法治松潘、法治政府、法治社会基本建成，平安松潘建设达到更高水平。</w:t>
      </w:r>
    </w:p>
    <w:p w14:paraId="21810DE0">
      <w:pPr>
        <w:adjustRightInd w:val="0"/>
        <w:snapToGrid w:val="0"/>
        <w:spacing w:line="600" w:lineRule="exact"/>
        <w:ind w:firstLine="720"/>
        <w:rPr>
          <w:rFonts w:ascii="黑体" w:hAnsi="宋体" w:eastAsia="黑体"/>
          <w:sz w:val="32"/>
          <w:szCs w:val="32"/>
        </w:rPr>
      </w:pPr>
      <w:r>
        <w:rPr>
          <w:rFonts w:hint="eastAsia" w:ascii="黑体" w:hAnsi="宋体" w:eastAsia="黑体"/>
          <w:sz w:val="32"/>
          <w:szCs w:val="32"/>
        </w:rPr>
        <w:t>五、评价结论及建议</w:t>
      </w:r>
    </w:p>
    <w:p w14:paraId="1C4DC7A7">
      <w:pPr>
        <w:adjustRightInd w:val="0"/>
        <w:snapToGrid w:val="0"/>
        <w:spacing w:line="60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3FB7E4B3">
      <w:pPr>
        <w:keepNext w:val="0"/>
        <w:keepLines w:val="0"/>
        <w:pageBreakBefore w:val="0"/>
        <w:widowControl/>
        <w:kinsoku/>
        <w:wordWrap/>
        <w:overflowPunct/>
        <w:topLinePunct w:val="0"/>
        <w:autoSpaceDE/>
        <w:autoSpaceDN/>
        <w:bidi w:val="0"/>
        <w:spacing w:beforeAutospacing="0" w:afterAutospacing="0" w:line="576" w:lineRule="exact"/>
        <w:ind w:right="0" w:rightChars="0"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2021</w:t>
      </w:r>
      <w:r>
        <w:rPr>
          <w:rFonts w:hint="eastAsia" w:ascii="仿宋" w:hAnsi="仿宋" w:eastAsia="仿宋" w:cs="仿宋"/>
          <w:color w:val="000000"/>
          <w:sz w:val="32"/>
          <w:szCs w:val="32"/>
        </w:rPr>
        <w:t>年我</w:t>
      </w:r>
      <w:r>
        <w:rPr>
          <w:rFonts w:hint="eastAsia" w:ascii="仿宋" w:hAnsi="仿宋" w:eastAsia="仿宋" w:cs="仿宋"/>
          <w:color w:val="000000"/>
          <w:sz w:val="32"/>
          <w:szCs w:val="32"/>
          <w:lang w:eastAsia="zh-CN"/>
        </w:rPr>
        <w:t>局“十四五”规划编制</w:t>
      </w:r>
      <w:r>
        <w:rPr>
          <w:rFonts w:hint="eastAsia" w:ascii="仿宋" w:hAnsi="仿宋" w:eastAsia="仿宋" w:cs="仿宋"/>
          <w:color w:val="000000"/>
          <w:sz w:val="32"/>
          <w:szCs w:val="32"/>
        </w:rPr>
        <w:t>预算执行整体情况正常，按照各项工作有序开展的进度，资金收支情况同时也按进度执行。</w:t>
      </w:r>
    </w:p>
    <w:p w14:paraId="6027EBAB">
      <w:pPr>
        <w:adjustRightInd w:val="0"/>
        <w:snapToGrid w:val="0"/>
        <w:spacing w:line="600" w:lineRule="exact"/>
        <w:ind w:firstLine="321" w:firstLineChars="10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36A6ADB3">
      <w:pPr>
        <w:adjustRightInd w:val="0"/>
        <w:snapToGrid w:val="0"/>
        <w:spacing w:line="600" w:lineRule="exact"/>
        <w:ind w:firstLine="720"/>
        <w:rPr>
          <w:rFonts w:hint="eastAsia" w:ascii="仿宋_GB2312" w:hAnsi="宋体" w:eastAsia="仿宋_GB2312"/>
          <w:sz w:val="32"/>
          <w:szCs w:val="32"/>
          <w:lang w:val="zh-CN"/>
        </w:rPr>
      </w:pPr>
      <w:r>
        <w:rPr>
          <w:rFonts w:hint="eastAsia" w:ascii="仿宋_GB2312" w:hAnsi="宋体" w:eastAsia="仿宋_GB2312"/>
          <w:sz w:val="32"/>
          <w:szCs w:val="32"/>
          <w:lang w:val="zh-CN"/>
        </w:rPr>
        <w:t>无</w:t>
      </w:r>
    </w:p>
    <w:p w14:paraId="60C095F5">
      <w:pPr>
        <w:adjustRightInd w:val="0"/>
        <w:snapToGrid w:val="0"/>
        <w:spacing w:line="600" w:lineRule="exact"/>
        <w:ind w:firstLine="720"/>
        <w:rPr>
          <w:rStyle w:val="25"/>
          <w:rFonts w:ascii="黑体" w:hAnsi="黑体" w:eastAsia="黑体"/>
          <w:b w:val="0"/>
        </w:rPr>
      </w:pPr>
      <w:r>
        <w:rPr>
          <w:rFonts w:hint="eastAsia" w:ascii="楷体_GB2312" w:hAnsi="宋体" w:eastAsia="楷体_GB2312"/>
          <w:b/>
          <w:sz w:val="32"/>
          <w:szCs w:val="32"/>
          <w:lang w:val="zh-CN"/>
        </w:rPr>
        <w:t>（三）相关建议。无</w:t>
      </w:r>
    </w:p>
    <w:p w14:paraId="3122E1CA">
      <w:pPr>
        <w:widowControl/>
        <w:jc w:val="left"/>
        <w:rPr>
          <w:rStyle w:val="25"/>
          <w:rFonts w:ascii="黑体" w:hAnsi="黑体" w:eastAsia="黑体"/>
          <w:b w:val="0"/>
        </w:rPr>
      </w:pPr>
      <w:r>
        <w:rPr>
          <w:rStyle w:val="25"/>
          <w:rFonts w:ascii="黑体" w:hAnsi="黑体" w:eastAsia="黑体"/>
          <w:b w:val="0"/>
        </w:rPr>
        <w:br w:type="page"/>
      </w:r>
    </w:p>
    <w:p w14:paraId="6C946F04">
      <w:pPr>
        <w:spacing w:line="600" w:lineRule="exact"/>
        <w:jc w:val="center"/>
        <w:outlineLvl w:val="0"/>
        <w:rPr>
          <w:rStyle w:val="25"/>
          <w:rFonts w:ascii="黑体" w:hAnsi="黑体" w:eastAsia="黑体"/>
          <w:b w:val="0"/>
        </w:rPr>
      </w:pPr>
      <w:bookmarkStart w:id="118" w:name="_Toc79163885"/>
      <w:bookmarkStart w:id="119" w:name="_Toc15396618"/>
      <w:bookmarkStart w:id="120" w:name="_Toc79163635"/>
      <w:r>
        <w:rPr>
          <w:rFonts w:hint="eastAsia" w:ascii="黑体" w:hAnsi="黑体" w:eastAsia="黑体"/>
          <w:color w:val="000000"/>
          <w:sz w:val="44"/>
          <w:szCs w:val="44"/>
        </w:rPr>
        <w:t>第</w:t>
      </w:r>
      <w:r>
        <w:rPr>
          <w:rStyle w:val="25"/>
          <w:rFonts w:hint="eastAsia" w:ascii="黑体" w:hAnsi="黑体" w:eastAsia="黑体"/>
          <w:b w:val="0"/>
        </w:rPr>
        <w:t>五部分</w:t>
      </w:r>
      <w:r>
        <w:rPr>
          <w:rStyle w:val="25"/>
          <w:rFonts w:ascii="黑体" w:hAnsi="黑体" w:eastAsia="黑体"/>
          <w:b w:val="0"/>
        </w:rPr>
        <w:t xml:space="preserve"> </w:t>
      </w:r>
      <w:r>
        <w:rPr>
          <w:rStyle w:val="25"/>
          <w:rFonts w:hint="eastAsia" w:ascii="黑体" w:hAnsi="黑体" w:eastAsia="黑体"/>
          <w:b w:val="0"/>
        </w:rPr>
        <w:t>附表</w:t>
      </w:r>
      <w:bookmarkEnd w:id="106"/>
      <w:bookmarkEnd w:id="118"/>
      <w:bookmarkEnd w:id="119"/>
      <w:bookmarkEnd w:id="120"/>
    </w:p>
    <w:p w14:paraId="483D28E3">
      <w:pPr>
        <w:pStyle w:val="5"/>
        <w:rPr>
          <w:rFonts w:ascii="仿宋" w:hAnsi="仿宋" w:eastAsia="仿宋"/>
          <w:color w:val="000000"/>
        </w:rPr>
      </w:pPr>
      <w:bookmarkStart w:id="121" w:name="_Toc79163886"/>
      <w:bookmarkStart w:id="122" w:name="_Toc15396619"/>
      <w:bookmarkStart w:id="123" w:name="_Toc79163636"/>
      <w:r>
        <w:rPr>
          <w:rFonts w:hint="eastAsia" w:ascii="仿宋" w:hAnsi="仿宋" w:eastAsia="仿宋"/>
          <w:b w:val="0"/>
          <w:color w:val="000000"/>
        </w:rPr>
        <w:t>一、收</w:t>
      </w:r>
      <w:r>
        <w:rPr>
          <w:rStyle w:val="26"/>
          <w:rFonts w:hint="eastAsia" w:ascii="仿宋" w:hAnsi="仿宋" w:eastAsia="仿宋"/>
          <w:b w:val="0"/>
          <w:bCs w:val="0"/>
        </w:rPr>
        <w:t>入支出决算总表</w:t>
      </w:r>
      <w:bookmarkEnd w:id="121"/>
      <w:bookmarkEnd w:id="122"/>
      <w:bookmarkEnd w:id="123"/>
    </w:p>
    <w:p w14:paraId="6D37F86E">
      <w:pPr>
        <w:pStyle w:val="5"/>
        <w:rPr>
          <w:rFonts w:ascii="仿宋" w:hAnsi="仿宋" w:eastAsia="仿宋"/>
          <w:color w:val="000000"/>
        </w:rPr>
      </w:pPr>
      <w:bookmarkStart w:id="124" w:name="_Toc15396620"/>
      <w:bookmarkStart w:id="125" w:name="_Toc79163637"/>
      <w:bookmarkStart w:id="126" w:name="_Toc79163887"/>
      <w:r>
        <w:rPr>
          <w:rFonts w:hint="eastAsia" w:ascii="仿宋" w:hAnsi="仿宋" w:eastAsia="仿宋"/>
          <w:b w:val="0"/>
          <w:color w:val="000000"/>
        </w:rPr>
        <w:t>二、收</w:t>
      </w:r>
      <w:r>
        <w:rPr>
          <w:rStyle w:val="26"/>
          <w:rFonts w:hint="eastAsia" w:ascii="仿宋" w:hAnsi="仿宋" w:eastAsia="仿宋"/>
          <w:b w:val="0"/>
          <w:bCs w:val="0"/>
        </w:rPr>
        <w:t>入决算表</w:t>
      </w:r>
      <w:bookmarkEnd w:id="124"/>
      <w:bookmarkEnd w:id="125"/>
      <w:bookmarkEnd w:id="126"/>
    </w:p>
    <w:p w14:paraId="6007BCE6">
      <w:pPr>
        <w:pStyle w:val="5"/>
        <w:rPr>
          <w:rFonts w:ascii="仿宋" w:hAnsi="仿宋" w:eastAsia="仿宋"/>
          <w:color w:val="000000"/>
        </w:rPr>
      </w:pPr>
      <w:bookmarkStart w:id="127" w:name="_Toc15396621"/>
      <w:bookmarkStart w:id="128" w:name="_Toc79163638"/>
      <w:bookmarkStart w:id="129" w:name="_Toc79163888"/>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127"/>
      <w:bookmarkEnd w:id="128"/>
      <w:bookmarkEnd w:id="129"/>
    </w:p>
    <w:p w14:paraId="2081D126">
      <w:pPr>
        <w:pStyle w:val="5"/>
        <w:rPr>
          <w:rFonts w:ascii="仿宋" w:hAnsi="仿宋" w:eastAsia="仿宋"/>
          <w:b w:val="0"/>
          <w:color w:val="000000"/>
        </w:rPr>
      </w:pPr>
      <w:bookmarkStart w:id="130" w:name="_Toc15396622"/>
      <w:bookmarkStart w:id="131" w:name="_Toc79163889"/>
      <w:bookmarkStart w:id="132" w:name="_Toc79163639"/>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130"/>
      <w:bookmarkEnd w:id="131"/>
      <w:bookmarkEnd w:id="132"/>
    </w:p>
    <w:p w14:paraId="3808A7DC">
      <w:pPr>
        <w:pStyle w:val="5"/>
        <w:rPr>
          <w:rStyle w:val="26"/>
          <w:rFonts w:ascii="仿宋" w:hAnsi="仿宋" w:eastAsia="仿宋"/>
          <w:b w:val="0"/>
          <w:bCs w:val="0"/>
        </w:rPr>
      </w:pPr>
      <w:bookmarkStart w:id="133" w:name="_Toc15396623"/>
      <w:bookmarkStart w:id="134" w:name="_Toc79163640"/>
      <w:bookmarkStart w:id="135" w:name="_Toc79163890"/>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133"/>
      <w:bookmarkEnd w:id="134"/>
      <w:bookmarkEnd w:id="135"/>
      <w:bookmarkStart w:id="136" w:name="_Toc15396624"/>
    </w:p>
    <w:p w14:paraId="6ABB60EB">
      <w:pPr>
        <w:pStyle w:val="5"/>
        <w:rPr>
          <w:rFonts w:ascii="仿宋" w:hAnsi="仿宋" w:eastAsia="仿宋"/>
          <w:color w:val="000000"/>
        </w:rPr>
      </w:pPr>
      <w:bookmarkStart w:id="137" w:name="_Toc79163641"/>
      <w:bookmarkStart w:id="138" w:name="_Toc79163891"/>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136"/>
      <w:bookmarkEnd w:id="137"/>
      <w:bookmarkEnd w:id="138"/>
    </w:p>
    <w:p w14:paraId="04DDBAB4">
      <w:pPr>
        <w:pStyle w:val="5"/>
        <w:rPr>
          <w:rFonts w:ascii="仿宋" w:hAnsi="仿宋" w:eastAsia="仿宋"/>
          <w:color w:val="000000"/>
        </w:rPr>
      </w:pPr>
      <w:bookmarkStart w:id="139" w:name="_Toc79163642"/>
      <w:bookmarkStart w:id="140" w:name="_Toc15396625"/>
      <w:bookmarkStart w:id="141" w:name="_Toc79163892"/>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139"/>
      <w:bookmarkEnd w:id="140"/>
      <w:bookmarkEnd w:id="141"/>
    </w:p>
    <w:p w14:paraId="4B2DD2B5">
      <w:pPr>
        <w:pStyle w:val="5"/>
        <w:rPr>
          <w:rFonts w:ascii="仿宋" w:hAnsi="仿宋" w:eastAsia="仿宋"/>
          <w:color w:val="000000"/>
        </w:rPr>
      </w:pPr>
      <w:bookmarkStart w:id="142" w:name="_Toc15396626"/>
      <w:bookmarkStart w:id="143" w:name="_Toc79163893"/>
      <w:bookmarkStart w:id="144" w:name="_Toc79163643"/>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142"/>
      <w:bookmarkEnd w:id="143"/>
      <w:bookmarkEnd w:id="144"/>
    </w:p>
    <w:p w14:paraId="2B9C37B3">
      <w:pPr>
        <w:pStyle w:val="5"/>
        <w:rPr>
          <w:rFonts w:ascii="仿宋" w:hAnsi="仿宋" w:eastAsia="仿宋"/>
          <w:color w:val="000000"/>
        </w:rPr>
      </w:pPr>
      <w:bookmarkStart w:id="145" w:name="_Toc15396627"/>
      <w:bookmarkStart w:id="146" w:name="_Toc79163644"/>
      <w:bookmarkStart w:id="147" w:name="_Toc79163894"/>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145"/>
      <w:bookmarkEnd w:id="146"/>
      <w:bookmarkEnd w:id="147"/>
    </w:p>
    <w:p w14:paraId="6D0BB3E7">
      <w:pPr>
        <w:pStyle w:val="5"/>
        <w:rPr>
          <w:rFonts w:ascii="仿宋" w:hAnsi="仿宋" w:eastAsia="仿宋"/>
          <w:color w:val="000000"/>
        </w:rPr>
      </w:pPr>
      <w:bookmarkStart w:id="148" w:name="_Toc15396628"/>
      <w:bookmarkStart w:id="149" w:name="_Toc79163895"/>
      <w:bookmarkStart w:id="150" w:name="_Toc79163645"/>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148"/>
      <w:bookmarkEnd w:id="149"/>
      <w:bookmarkEnd w:id="150"/>
    </w:p>
    <w:p w14:paraId="6E1ED233">
      <w:pPr>
        <w:pStyle w:val="5"/>
        <w:rPr>
          <w:rFonts w:ascii="仿宋" w:hAnsi="仿宋" w:eastAsia="仿宋"/>
          <w:color w:val="000000"/>
        </w:rPr>
      </w:pPr>
      <w:bookmarkStart w:id="151" w:name="_Toc79163646"/>
      <w:bookmarkStart w:id="152" w:name="_Toc79163896"/>
      <w:bookmarkStart w:id="153" w:name="_Toc15396629"/>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151"/>
      <w:bookmarkEnd w:id="152"/>
      <w:bookmarkEnd w:id="153"/>
    </w:p>
    <w:p w14:paraId="022EEA0A">
      <w:pPr>
        <w:pStyle w:val="5"/>
        <w:rPr>
          <w:rFonts w:ascii="仿宋" w:hAnsi="仿宋" w:eastAsia="仿宋"/>
          <w:color w:val="000000"/>
        </w:rPr>
      </w:pPr>
      <w:bookmarkStart w:id="154" w:name="_Toc15396630"/>
      <w:bookmarkStart w:id="155" w:name="_Toc79163647"/>
      <w:bookmarkStart w:id="156" w:name="_Toc79163897"/>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154"/>
      <w:bookmarkEnd w:id="155"/>
      <w:bookmarkEnd w:id="156"/>
    </w:p>
    <w:p w14:paraId="300D0B8C">
      <w:pPr>
        <w:pStyle w:val="5"/>
        <w:rPr>
          <w:rStyle w:val="26"/>
          <w:rFonts w:ascii="仿宋" w:hAnsi="仿宋" w:eastAsia="仿宋"/>
          <w:b w:val="0"/>
          <w:bCs w:val="0"/>
        </w:rPr>
      </w:pPr>
      <w:bookmarkStart w:id="157" w:name="_Toc15396631"/>
      <w:bookmarkStart w:id="158" w:name="_Toc79163898"/>
      <w:bookmarkStart w:id="159" w:name="_Toc79163648"/>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有资本经营预算财政拨款</w:t>
      </w:r>
      <w:r>
        <w:rPr>
          <w:rStyle w:val="26"/>
          <w:rFonts w:hint="eastAsia" w:ascii="仿宋" w:hAnsi="仿宋" w:eastAsia="仿宋"/>
          <w:b w:val="0"/>
          <w:bCs w:val="0"/>
          <w:lang w:eastAsia="zh-CN"/>
        </w:rPr>
        <w:t>收入</w:t>
      </w:r>
      <w:r>
        <w:rPr>
          <w:rStyle w:val="26"/>
          <w:rFonts w:hint="eastAsia" w:ascii="仿宋" w:hAnsi="仿宋" w:eastAsia="仿宋"/>
          <w:b w:val="0"/>
          <w:bCs w:val="0"/>
        </w:rPr>
        <w:t>支出决算表</w:t>
      </w:r>
      <w:bookmarkEnd w:id="157"/>
      <w:bookmarkEnd w:id="158"/>
      <w:bookmarkEnd w:id="159"/>
    </w:p>
    <w:p w14:paraId="5F5062A3">
      <w:pPr>
        <w:pStyle w:val="5"/>
        <w:rPr>
          <w:rStyle w:val="26"/>
          <w:rFonts w:ascii="仿宋" w:hAnsi="仿宋" w:eastAsia="仿宋"/>
          <w:b w:val="0"/>
          <w:bCs w:val="0"/>
        </w:rPr>
      </w:pPr>
      <w:bookmarkStart w:id="160" w:name="_Toc79163649"/>
      <w:bookmarkStart w:id="161" w:name="_Toc79163899"/>
      <w:r>
        <w:rPr>
          <w:rStyle w:val="26"/>
          <w:rFonts w:hint="eastAsia" w:ascii="仿宋" w:hAnsi="仿宋" w:eastAsia="仿宋"/>
          <w:b w:val="0"/>
          <w:bCs w:val="0"/>
        </w:rPr>
        <w:t>十四、国有资本经营预算财政拨款支出决算表</w:t>
      </w:r>
      <w:bookmarkEnd w:id="160"/>
      <w:bookmarkEnd w:id="161"/>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5D911">
    <w:pPr>
      <w:pStyle w:val="13"/>
      <w:jc w:val="center"/>
    </w:pPr>
    <w:r>
      <w:fldChar w:fldCharType="begin"/>
    </w:r>
    <w:r>
      <w:instrText xml:space="preserve">PAGE   \* MERGEFORMAT</w:instrText>
    </w:r>
    <w:r>
      <w:fldChar w:fldCharType="separate"/>
    </w:r>
    <w:r>
      <w:rPr>
        <w:lang w:val="zh-CN"/>
      </w:rPr>
      <w:t>24</w:t>
    </w:r>
    <w:r>
      <w:fldChar w:fldCharType="end"/>
    </w:r>
  </w:p>
  <w:p w14:paraId="3484E18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58005">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636DA"/>
    <w:multiLevelType w:val="singleLevel"/>
    <w:tmpl w:val="9E4636DA"/>
    <w:lvl w:ilvl="0" w:tentative="0">
      <w:start w:val="1"/>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D491E7E0"/>
    <w:multiLevelType w:val="singleLevel"/>
    <w:tmpl w:val="D491E7E0"/>
    <w:lvl w:ilvl="0" w:tentative="0">
      <w:start w:val="2"/>
      <w:numFmt w:val="chineseCounting"/>
      <w:suff w:val="nothing"/>
      <w:lvlText w:val="（%1）"/>
      <w:lvlJc w:val="left"/>
      <w:rPr>
        <w:rFonts w:hint="eastAsia"/>
      </w:rPr>
    </w:lvl>
  </w:abstractNum>
  <w:abstractNum w:abstractNumId="3">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4">
    <w:nsid w:val="E5C0A2A2"/>
    <w:multiLevelType w:val="singleLevel"/>
    <w:tmpl w:val="E5C0A2A2"/>
    <w:lvl w:ilvl="0" w:tentative="0">
      <w:start w:val="2"/>
      <w:numFmt w:val="decimal"/>
      <w:suff w:val="nothing"/>
      <w:lvlText w:val="%1．"/>
      <w:lvlJc w:val="left"/>
    </w:lvl>
  </w:abstractNum>
  <w:abstractNum w:abstractNumId="5">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6">
    <w:nsid w:val="2DC2CC75"/>
    <w:multiLevelType w:val="singleLevel"/>
    <w:tmpl w:val="2DC2CC75"/>
    <w:lvl w:ilvl="0" w:tentative="0">
      <w:start w:val="1"/>
      <w:numFmt w:val="chineseCounting"/>
      <w:suff w:val="nothing"/>
      <w:lvlText w:val="（%1）"/>
      <w:lvlJc w:val="left"/>
      <w:rPr>
        <w:rFonts w:hint="eastAsia"/>
      </w:rPr>
    </w:lvl>
  </w:abstractNum>
  <w:abstractNum w:abstractNumId="7">
    <w:nsid w:val="3821CAFE"/>
    <w:multiLevelType w:val="singleLevel"/>
    <w:tmpl w:val="3821CAFE"/>
    <w:lvl w:ilvl="0" w:tentative="0">
      <w:start w:val="1"/>
      <w:numFmt w:val="decimal"/>
      <w:lvlText w:val="%1."/>
      <w:lvlJc w:val="left"/>
      <w:pPr>
        <w:tabs>
          <w:tab w:val="left" w:pos="312"/>
        </w:tabs>
      </w:pPr>
    </w:lvl>
  </w:abstractNum>
  <w:abstractNum w:abstractNumId="8">
    <w:nsid w:val="5B727FEC"/>
    <w:multiLevelType w:val="singleLevel"/>
    <w:tmpl w:val="5B727FEC"/>
    <w:lvl w:ilvl="0" w:tentative="0">
      <w:start w:val="2"/>
      <w:numFmt w:val="chineseCounting"/>
      <w:suff w:val="nothing"/>
      <w:lvlText w:val="（%1）"/>
      <w:lvlJc w:val="left"/>
    </w:lvl>
  </w:abstractNum>
  <w:num w:numId="1">
    <w:abstractNumId w:val="5"/>
  </w:num>
  <w:num w:numId="2">
    <w:abstractNumId w:val="7"/>
  </w:num>
  <w:num w:numId="3">
    <w:abstractNumId w:val="1"/>
  </w:num>
  <w:num w:numId="4">
    <w:abstractNumId w:val="0"/>
  </w:num>
  <w:num w:numId="5">
    <w:abstractNumId w:val="3"/>
  </w:num>
  <w:num w:numId="6">
    <w:abstractNumId w:val="2"/>
  </w:num>
  <w:num w:numId="7">
    <w:abstractNumId w:val="8"/>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16757"/>
    <w:rsid w:val="00220536"/>
    <w:rsid w:val="002216A5"/>
    <w:rsid w:val="00235629"/>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05F0E"/>
    <w:rsid w:val="003216A9"/>
    <w:rsid w:val="00335A74"/>
    <w:rsid w:val="0036561B"/>
    <w:rsid w:val="0037013F"/>
    <w:rsid w:val="00380C92"/>
    <w:rsid w:val="003A1493"/>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91B00"/>
    <w:rsid w:val="004A711F"/>
    <w:rsid w:val="004B199D"/>
    <w:rsid w:val="004B4690"/>
    <w:rsid w:val="004C2E32"/>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3E74"/>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A572A"/>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47EA1"/>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B7363"/>
    <w:rsid w:val="00FD3CC1"/>
    <w:rsid w:val="00FE03FA"/>
    <w:rsid w:val="00FF1E02"/>
    <w:rsid w:val="00FF30B4"/>
    <w:rsid w:val="04987CA9"/>
    <w:rsid w:val="066B3FFB"/>
    <w:rsid w:val="0A2032A3"/>
    <w:rsid w:val="10AE4CAA"/>
    <w:rsid w:val="10C055FF"/>
    <w:rsid w:val="118107EC"/>
    <w:rsid w:val="16460505"/>
    <w:rsid w:val="16BB723D"/>
    <w:rsid w:val="1D155CEE"/>
    <w:rsid w:val="1DF95330"/>
    <w:rsid w:val="1F6528D5"/>
    <w:rsid w:val="240371BF"/>
    <w:rsid w:val="29FD04D3"/>
    <w:rsid w:val="319F7F4E"/>
    <w:rsid w:val="3AC47E7A"/>
    <w:rsid w:val="4BB1064C"/>
    <w:rsid w:val="4ECE2238"/>
    <w:rsid w:val="5820256E"/>
    <w:rsid w:val="591E548B"/>
    <w:rsid w:val="5F782B4D"/>
    <w:rsid w:val="607B0F27"/>
    <w:rsid w:val="60E85F5E"/>
    <w:rsid w:val="64405F80"/>
    <w:rsid w:val="6B1F08C8"/>
    <w:rsid w:val="6C4A05C8"/>
    <w:rsid w:val="72734D90"/>
    <w:rsid w:val="7B977F98"/>
    <w:rsid w:val="7F995C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7"/>
    <w:qFormat/>
    <w:uiPriority w:val="9"/>
    <w:pPr>
      <w:keepNext/>
      <w:keepLines/>
      <w:spacing w:before="260" w:after="260" w:line="416" w:lineRule="auto"/>
      <w:outlineLvl w:val="2"/>
    </w:pPr>
    <w:rPr>
      <w:b/>
      <w:bCs/>
      <w:sz w:val="32"/>
      <w:szCs w:val="32"/>
    </w:rPr>
  </w:style>
  <w:style w:type="character" w:default="1" w:styleId="22">
    <w:name w:val="Default Paragraph Font"/>
    <w:unhideWhenUsed/>
    <w:uiPriority w:val="1"/>
  </w:style>
  <w:style w:type="table" w:default="1" w:styleId="21">
    <w:name w:val="Normal Table"/>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2"/>
    <w:unhideWhenUsed/>
    <w:qFormat/>
    <w:uiPriority w:val="99"/>
    <w:pPr>
      <w:spacing w:line="540" w:lineRule="exact"/>
      <w:ind w:firstLine="640" w:firstLineChars="200"/>
    </w:pPr>
    <w:rPr>
      <w:rFonts w:eastAsia="仿宋_GB2312"/>
      <w:sz w:val="32"/>
      <w:szCs w:val="24"/>
    </w:rPr>
  </w:style>
  <w:style w:type="paragraph" w:styleId="7">
    <w:name w:val="toc 7"/>
    <w:basedOn w:val="1"/>
    <w:next w:val="1"/>
    <w:unhideWhenUsed/>
    <w:qFormat/>
    <w:uiPriority w:val="39"/>
    <w:pPr>
      <w:ind w:left="1260"/>
      <w:jc w:val="left"/>
    </w:pPr>
    <w:rPr>
      <w:rFonts w:asciiTheme="minorHAnsi" w:eastAsiaTheme="minorHAnsi"/>
      <w:sz w:val="18"/>
      <w:szCs w:val="18"/>
    </w:rPr>
  </w:style>
  <w:style w:type="paragraph" w:styleId="8">
    <w:name w:val="Body Text"/>
    <w:basedOn w:val="1"/>
    <w:link w:val="34"/>
    <w:qFormat/>
    <w:uiPriority w:val="99"/>
    <w:pPr>
      <w:spacing w:beforeLines="30"/>
    </w:pPr>
    <w:rPr>
      <w:rFonts w:ascii="仿宋_GB2312" w:eastAsia="仿宋_GB2312"/>
      <w:kern w:val="0"/>
      <w:sz w:val="24"/>
      <w:szCs w:val="20"/>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alloon Text"/>
    <w:basedOn w:val="1"/>
    <w:link w:val="29"/>
    <w:unhideWhenUsed/>
    <w:qFormat/>
    <w:uiPriority w:val="99"/>
    <w:rPr>
      <w:sz w:val="18"/>
      <w:szCs w:val="18"/>
    </w:rPr>
  </w:style>
  <w:style w:type="paragraph" w:styleId="13">
    <w:name w:val="footer"/>
    <w:basedOn w:val="1"/>
    <w:link w:val="33"/>
    <w:qFormat/>
    <w:uiPriority w:val="99"/>
    <w:pPr>
      <w:tabs>
        <w:tab w:val="center" w:pos="4153"/>
        <w:tab w:val="right" w:pos="8306"/>
      </w:tabs>
      <w:snapToGrid w:val="0"/>
      <w:jc w:val="left"/>
    </w:pPr>
    <w:rPr>
      <w:rFonts w:ascii="Calibri" w:hAnsi="Calibri"/>
      <w:kern w:val="0"/>
      <w:sz w:val="18"/>
      <w:szCs w:val="20"/>
    </w:rPr>
  </w:style>
  <w:style w:type="paragraph" w:styleId="14">
    <w:name w:val="header"/>
    <w:basedOn w:val="1"/>
    <w:link w:val="32"/>
    <w:semiHidden/>
    <w:qFormat/>
    <w:uiPriority w:val="99"/>
    <w:pPr>
      <w:pBdr>
        <w:bottom w:val="single" w:color="auto" w:sz="6" w:space="1"/>
      </w:pBdr>
      <w:tabs>
        <w:tab w:val="center" w:pos="4153"/>
        <w:tab w:val="right" w:pos="8306"/>
      </w:tabs>
      <w:snapToGrid w:val="0"/>
      <w:jc w:val="center"/>
    </w:pPr>
    <w:rPr>
      <w:rFonts w:ascii="Calibri" w:hAnsi="Calibri"/>
      <w:kern w:val="0"/>
      <w:sz w:val="18"/>
      <w:szCs w:val="20"/>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toc 6"/>
    <w:basedOn w:val="1"/>
    <w:next w:val="1"/>
    <w:unhideWhenUsed/>
    <w:qFormat/>
    <w:uiPriority w:val="39"/>
    <w:pPr>
      <w:ind w:left="1050"/>
      <w:jc w:val="left"/>
    </w:pPr>
    <w:rPr>
      <w:rFonts w:asciiTheme="minorHAnsi" w:eastAsiaTheme="minorHAnsi"/>
      <w:sz w:val="18"/>
      <w:szCs w:val="18"/>
    </w:r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next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character" w:customStyle="1" w:styleId="25">
    <w:name w:val="标题 1 Char"/>
    <w:basedOn w:val="22"/>
    <w:link w:val="4"/>
    <w:qFormat/>
    <w:locked/>
    <w:uiPriority w:val="9"/>
    <w:rPr>
      <w:rFonts w:ascii="Times New Roman" w:hAnsi="Times New Roman" w:cs="Times New Roman"/>
      <w:b/>
      <w:bCs/>
      <w:kern w:val="44"/>
      <w:sz w:val="44"/>
      <w:szCs w:val="44"/>
    </w:rPr>
  </w:style>
  <w:style w:type="character" w:customStyle="1" w:styleId="26">
    <w:name w:val="标题 2 Char"/>
    <w:basedOn w:val="22"/>
    <w:link w:val="5"/>
    <w:qFormat/>
    <w:locked/>
    <w:uiPriority w:val="9"/>
    <w:rPr>
      <w:rFonts w:ascii="Cambria" w:hAnsi="Cambria" w:eastAsia="宋体" w:cs="Times New Roman"/>
      <w:b/>
      <w:bCs/>
      <w:kern w:val="2"/>
      <w:sz w:val="32"/>
      <w:szCs w:val="32"/>
    </w:rPr>
  </w:style>
  <w:style w:type="character" w:customStyle="1" w:styleId="27">
    <w:name w:val="标题 3 Char"/>
    <w:basedOn w:val="22"/>
    <w:link w:val="6"/>
    <w:qFormat/>
    <w:locked/>
    <w:uiPriority w:val="9"/>
    <w:rPr>
      <w:rFonts w:ascii="Times New Roman" w:hAnsi="Times New Roman" w:cs="Times New Roman"/>
      <w:b/>
      <w:bCs/>
      <w:kern w:val="2"/>
      <w:sz w:val="32"/>
      <w:szCs w:val="32"/>
    </w:rPr>
  </w:style>
  <w:style w:type="character" w:customStyle="1" w:styleId="28">
    <w:name w:val="Body Text Char"/>
    <w:basedOn w:val="22"/>
    <w:semiHidden/>
    <w:qFormat/>
    <w:uiPriority w:val="99"/>
    <w:rPr>
      <w:rFonts w:ascii="Times New Roman" w:hAnsi="Times New Roman" w:cs="Times New Roman"/>
      <w:sz w:val="24"/>
      <w:szCs w:val="24"/>
    </w:rPr>
  </w:style>
  <w:style w:type="character" w:customStyle="1" w:styleId="29">
    <w:name w:val="批注框文本 Char"/>
    <w:basedOn w:val="22"/>
    <w:link w:val="12"/>
    <w:semiHidden/>
    <w:qFormat/>
    <w:locked/>
    <w:uiPriority w:val="99"/>
    <w:rPr>
      <w:rFonts w:ascii="Times New Roman" w:hAnsi="Times New Roman" w:cs="Times New Roman"/>
      <w:kern w:val="2"/>
      <w:sz w:val="18"/>
      <w:szCs w:val="18"/>
    </w:rPr>
  </w:style>
  <w:style w:type="character" w:customStyle="1" w:styleId="30">
    <w:name w:val="Footer Char"/>
    <w:basedOn w:val="22"/>
    <w:semiHidden/>
    <w:qFormat/>
    <w:uiPriority w:val="99"/>
    <w:rPr>
      <w:rFonts w:ascii="Times New Roman" w:hAnsi="Times New Roman" w:cs="Times New Roman"/>
      <w:sz w:val="18"/>
      <w:szCs w:val="18"/>
    </w:rPr>
  </w:style>
  <w:style w:type="character" w:customStyle="1" w:styleId="31">
    <w:name w:val="Header Char"/>
    <w:basedOn w:val="22"/>
    <w:semiHidden/>
    <w:qFormat/>
    <w:uiPriority w:val="99"/>
    <w:rPr>
      <w:rFonts w:ascii="Times New Roman" w:hAnsi="Times New Roman" w:cs="Times New Roman"/>
      <w:sz w:val="18"/>
      <w:szCs w:val="18"/>
    </w:rPr>
  </w:style>
  <w:style w:type="character" w:customStyle="1" w:styleId="32">
    <w:name w:val="页眉 Char"/>
    <w:link w:val="14"/>
    <w:semiHidden/>
    <w:qFormat/>
    <w:locked/>
    <w:uiPriority w:val="99"/>
    <w:rPr>
      <w:sz w:val="18"/>
    </w:rPr>
  </w:style>
  <w:style w:type="character" w:customStyle="1" w:styleId="33">
    <w:name w:val="页脚 Char"/>
    <w:link w:val="13"/>
    <w:qFormat/>
    <w:locked/>
    <w:uiPriority w:val="99"/>
    <w:rPr>
      <w:sz w:val="18"/>
    </w:rPr>
  </w:style>
  <w:style w:type="character" w:customStyle="1" w:styleId="34">
    <w:name w:val="正文文本 Char"/>
    <w:link w:val="8"/>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6">
    <w:name w:val="列表段落1"/>
    <w:basedOn w:val="1"/>
    <w:qFormat/>
    <w:uiPriority w:val="34"/>
    <w:pPr>
      <w:ind w:firstLine="420" w:firstLineChars="200"/>
    </w:pPr>
  </w:style>
  <w:style w:type="paragraph" w:customStyle="1" w:styleId="37">
    <w:name w:val="TOC 标题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Heading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CEF6E-F4E3-4922-8334-C2244ACD61C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50</Pages>
  <Words>13585</Words>
  <Characters>14552</Characters>
  <Lines>74</Lines>
  <Paragraphs>21</Paragraphs>
  <TotalTime>1</TotalTime>
  <ScaleCrop>false</ScaleCrop>
  <LinksUpToDate>false</LinksUpToDate>
  <CharactersWithSpaces>14705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对影成三人</cp:lastModifiedBy>
  <cp:lastPrinted>2021-07-29T03:56:00Z</cp:lastPrinted>
  <dcterms:modified xsi:type="dcterms:W3CDTF">2026-09-15T01:39:05Z</dcterms:modified>
  <dc:title>阿坝州部门决算说明</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eyJoZGlkIjoiYjA1ZDg3Y2Y1MzJlNDVjZjA5NTk4YjViYTliYmM3NTYiLCJ1c2VySWQiOiIyNDIyNDYwNDUifQ==</vt:lpwstr>
  </property>
  <property fmtid="{D5CDD505-2E9C-101B-9397-08002B2CF9AE}" pid="4" name="ICV">
    <vt:lpwstr>7158128ED19A438BBB02449E7EBCE230_12</vt:lpwstr>
  </property>
</Properties>
</file>