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BB4B1B">
      <w:pPr>
        <w:pStyle w:val="4"/>
        <w:bidi w:val="0"/>
        <w:jc w:val="center"/>
      </w:pPr>
      <w:bookmarkStart w:id="0" w:name="_GoBack"/>
      <w:bookmarkEnd w:id="0"/>
      <w:r>
        <w:t>2022年度</w:t>
      </w:r>
    </w:p>
    <w:p w14:paraId="0A93E926">
      <w:pPr>
        <w:pStyle w:val="4"/>
        <w:bidi w:val="0"/>
        <w:jc w:val="center"/>
        <w:rPr>
          <w:rFonts w:hint="default" w:eastAsia="宋体"/>
          <w:lang w:val="en-US" w:eastAsia="zh-CN"/>
        </w:rPr>
      </w:pPr>
      <w:r>
        <w:t>阿坝州松潘县发展和改革局单位决算</w:t>
      </w:r>
      <w:r>
        <w:rPr>
          <w:rFonts w:hint="eastAsia"/>
          <w:lang w:val="en-US" w:eastAsia="zh-CN"/>
        </w:rPr>
        <w:t>公开报告</w:t>
      </w:r>
    </w:p>
    <w:p w14:paraId="5E707711">
      <w:pPr>
        <w:pStyle w:val="11"/>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sz w:val="32"/>
          <w:szCs w:val="32"/>
          <w:shd w:val="clear" w:fill="FFFFFF"/>
        </w:rPr>
        <w:t> 已经保密审查、内容审定，同意对外公开</w:t>
      </w:r>
    </w:p>
    <w:p w14:paraId="31697C69">
      <w:pPr>
        <w:pStyle w:val="11"/>
        <w:keepNext w:val="0"/>
        <w:keepLines w:val="0"/>
        <w:widowControl/>
        <w:suppressLineNumbers w:val="0"/>
        <w:spacing w:before="0" w:beforeAutospacing="0"/>
        <w:ind w:lef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目录</w:t>
      </w:r>
    </w:p>
    <w:p w14:paraId="6AB5A5C1">
      <w:pPr>
        <w:pStyle w:val="11"/>
        <w:keepNext w:val="0"/>
        <w:keepLines w:val="0"/>
        <w:widowControl/>
        <w:suppressLineNumbers w:val="0"/>
        <w:spacing w:before="0" w:beforeAutospacing="0"/>
        <w:ind w:lef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公开时间：2023年 </w:t>
      </w:r>
      <w:r>
        <w:rPr>
          <w:rFonts w:hint="eastAsia" w:ascii="仿宋_GB2312" w:hAnsi="仿宋_GB2312" w:eastAsia="仿宋_GB2312" w:cs="仿宋_GB2312"/>
          <w:sz w:val="32"/>
          <w:szCs w:val="32"/>
          <w:shd w:val="clear" w:fill="FFFFFF"/>
          <w:lang w:val="en-US" w:eastAsia="zh-CN"/>
        </w:rPr>
        <w:t>9</w:t>
      </w:r>
      <w:r>
        <w:rPr>
          <w:rFonts w:hint="eastAsia" w:ascii="仿宋_GB2312" w:hAnsi="仿宋_GB2312" w:eastAsia="仿宋_GB2312" w:cs="仿宋_GB2312"/>
          <w:sz w:val="32"/>
          <w:szCs w:val="32"/>
          <w:shd w:val="clear" w:fill="FFFFFF"/>
        </w:rPr>
        <w:t>月 </w:t>
      </w:r>
      <w:r>
        <w:rPr>
          <w:rFonts w:hint="eastAsia" w:ascii="仿宋_GB2312" w:hAnsi="仿宋_GB2312" w:eastAsia="仿宋_GB2312" w:cs="仿宋_GB2312"/>
          <w:sz w:val="32"/>
          <w:szCs w:val="32"/>
          <w:shd w:val="clear" w:fill="FFFFFF"/>
          <w:lang w:val="en-US" w:eastAsia="zh-CN"/>
        </w:rPr>
        <w:t>10</w:t>
      </w:r>
      <w:r>
        <w:rPr>
          <w:rFonts w:hint="eastAsia" w:ascii="仿宋_GB2312" w:hAnsi="仿宋_GB2312" w:eastAsia="仿宋_GB2312" w:cs="仿宋_GB2312"/>
          <w:sz w:val="32"/>
          <w:szCs w:val="32"/>
          <w:shd w:val="clear" w:fill="FFFFFF"/>
        </w:rPr>
        <w:t>日</w:t>
      </w:r>
    </w:p>
    <w:p w14:paraId="24037EB1">
      <w:pPr>
        <w:pStyle w:val="11"/>
        <w:keepNext w:val="0"/>
        <w:keepLines w:val="0"/>
        <w:widowControl/>
        <w:suppressLineNumbers w:val="0"/>
        <w:spacing w:before="0" w:beforeAutospacing="0"/>
        <w:ind w:left="0"/>
        <w:jc w:val="left"/>
      </w:pPr>
      <w:r>
        <w:rPr>
          <w:shd w:val="clear" w:fill="FFFFFF"/>
        </w:rPr>
        <w:t> </w:t>
      </w:r>
    </w:p>
    <w:p w14:paraId="78A1DA18">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第一部分 单位概况</w:t>
      </w:r>
    </w:p>
    <w:p w14:paraId="43DD969D">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一、主要职责</w:t>
      </w:r>
    </w:p>
    <w:p w14:paraId="6A1A2CD2">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二、机构设置</w:t>
      </w:r>
    </w:p>
    <w:p w14:paraId="64AA6D7A">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第二部分 2022年度单位决算情况说明</w:t>
      </w:r>
    </w:p>
    <w:p w14:paraId="21C7B3DA">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一、收入支出决算总体情况说明</w:t>
      </w:r>
    </w:p>
    <w:p w14:paraId="44C35246">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二、收入决算情况说明</w:t>
      </w:r>
    </w:p>
    <w:p w14:paraId="2619159E">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三、支出决算情况说明</w:t>
      </w:r>
    </w:p>
    <w:p w14:paraId="0B83E3FA">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四、财政拨款收入支出决算总体情况说明</w:t>
      </w:r>
    </w:p>
    <w:p w14:paraId="3B8D536D">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五、一般公共预算财政拨款支出决算情况说明</w:t>
      </w:r>
    </w:p>
    <w:p w14:paraId="7202EE72">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六、一般公共预算财政拨款基本支出决算情况说明</w:t>
      </w:r>
    </w:p>
    <w:p w14:paraId="25976B1C">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七、财政拨款“三公”经费支出决算情况说明</w:t>
      </w:r>
    </w:p>
    <w:p w14:paraId="00B14308">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八、政府性基金预算支出决算情况说明</w:t>
      </w:r>
    </w:p>
    <w:p w14:paraId="097D00C2">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九、国有资本经营预算支出决算情况说明</w:t>
      </w:r>
    </w:p>
    <w:p w14:paraId="73FC7AB2">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十、其他重要事项的情况说明 </w:t>
      </w:r>
    </w:p>
    <w:p w14:paraId="1596F78B">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第三部分 名词解释</w:t>
      </w:r>
    </w:p>
    <w:p w14:paraId="74F0D0B4">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第四部分 附件</w:t>
      </w:r>
    </w:p>
    <w:p w14:paraId="2735377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第五部分 附表</w:t>
      </w:r>
    </w:p>
    <w:p w14:paraId="767E894F">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一、收入支出决算总表</w:t>
      </w:r>
    </w:p>
    <w:p w14:paraId="4041A266">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二、收入决算表</w:t>
      </w:r>
    </w:p>
    <w:p w14:paraId="5C204B1B">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三、支出决算表</w:t>
      </w:r>
    </w:p>
    <w:p w14:paraId="2B08A158">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四、财政拨款收入支出决算总表</w:t>
      </w:r>
    </w:p>
    <w:p w14:paraId="59A9BDA7">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五、财政拨款支出决算明细表</w:t>
      </w:r>
    </w:p>
    <w:p w14:paraId="4BB2807B">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六、一般公共预算财政拨款支出决算表</w:t>
      </w:r>
    </w:p>
    <w:p w14:paraId="01DBA75C">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七、一般公共预算财政拨款支出决算明细表</w:t>
      </w:r>
    </w:p>
    <w:p w14:paraId="6D2E642A">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八、一般公共预算财政拨款基本支出决算表</w:t>
      </w:r>
    </w:p>
    <w:p w14:paraId="4E31E469">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九、一般公共预算财政拨款项目支出决算表</w:t>
      </w:r>
    </w:p>
    <w:p w14:paraId="04E83134">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十、政府性基金预算财政拨款收入支出决算表</w:t>
      </w:r>
    </w:p>
    <w:p w14:paraId="3F313789">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十一、国有资本经营预算财政拨款收入支出决算表</w:t>
      </w:r>
    </w:p>
    <w:p w14:paraId="753CD2CC">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十二、国有资本经营预算财政拨款支出决算表</w:t>
      </w:r>
    </w:p>
    <w:p w14:paraId="740EFB67">
      <w:pPr>
        <w:pStyle w:val="11"/>
        <w:keepNext w:val="0"/>
        <w:keepLines w:val="0"/>
        <w:widowControl/>
        <w:suppressLineNumbers w:val="0"/>
        <w:spacing w:before="0" w:beforeAutospacing="0"/>
        <w:ind w:left="42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十三、财政拨款“三公”</w:t>
      </w:r>
    </w:p>
    <w:p w14:paraId="3CBE42F2">
      <w:pPr>
        <w:pStyle w:val="11"/>
        <w:keepNext w:val="0"/>
        <w:keepLines w:val="0"/>
        <w:widowControl/>
        <w:suppressLineNumbers w:val="0"/>
        <w:spacing w:before="0" w:beforeAutospacing="0"/>
        <w:ind w:left="0"/>
        <w:jc w:val="left"/>
      </w:pPr>
      <w:r>
        <w:rPr>
          <w:shd w:val="clear" w:fill="FFFFFF"/>
        </w:rPr>
        <w:t> </w:t>
      </w:r>
    </w:p>
    <w:p w14:paraId="35E7673C">
      <w:pPr>
        <w:pStyle w:val="4"/>
        <w:keepNext w:val="0"/>
        <w:keepLines w:val="0"/>
        <w:widowControl/>
        <w:suppressLineNumbers w:val="0"/>
        <w:spacing w:before="0" w:beforeAutospacing="0"/>
        <w:ind w:left="0"/>
        <w:jc w:val="center"/>
        <w:rPr>
          <w:rFonts w:hint="eastAsia" w:ascii="仿宋_GB2312" w:hAnsi="仿宋_GB2312" w:eastAsia="仿宋_GB2312" w:cs="仿宋_GB2312"/>
        </w:rPr>
      </w:pPr>
      <w:r>
        <w:rPr>
          <w:rFonts w:hint="eastAsia" w:ascii="仿宋_GB2312" w:hAnsi="仿宋_GB2312" w:eastAsia="仿宋_GB2312" w:cs="仿宋_GB2312"/>
          <w:shd w:val="clear" w:fill="FFFFFF"/>
        </w:rPr>
        <w:t>第一部分 单位概况</w:t>
      </w:r>
    </w:p>
    <w:p w14:paraId="5F54F440">
      <w:pPr>
        <w:pStyle w:val="11"/>
        <w:keepNext w:val="0"/>
        <w:keepLines w:val="0"/>
        <w:widowControl/>
        <w:suppressLineNumbers w:val="0"/>
        <w:spacing w:before="0" w:beforeAutospacing="0"/>
        <w:ind w:left="0"/>
        <w:jc w:val="left"/>
      </w:pPr>
      <w:r>
        <w:rPr>
          <w:shd w:val="clear" w:fill="FFFFFF"/>
        </w:rPr>
        <w:t> </w:t>
      </w:r>
    </w:p>
    <w:p w14:paraId="75FA6132">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一、主要职责</w:t>
      </w:r>
    </w:p>
    <w:p w14:paraId="2E62E6F1">
      <w:pPr>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sz w:val="32"/>
          <w:szCs w:val="32"/>
          <w:shd w:val="clear" w:fill="FFFFFF"/>
        </w:rPr>
        <w:t>（一）主要职能。</w:t>
      </w:r>
    </w:p>
    <w:p w14:paraId="2858BB8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贯彻实施国家有关国民经济和社会发展、经济体制改革的方针、政策和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。拟订全县有关国民经济和社会发展、经济体制改革的地方性规章草案，负责本系统、本部门依法行政工作，落实行政执法责任制。</w:t>
      </w:r>
    </w:p>
    <w:p w14:paraId="4555EC8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拟订并组织实施全县国民经济和社会发展战略、中长期规划和年度计划，统筹协调全县经济社会发展，研究分析宏观经济形势，提出全县经济社会发展、经济结构优化、价格总水平调控目标和政策建议。受县政府委托向县人大提交国民经济和社会发展计划报告。</w:t>
      </w:r>
    </w:p>
    <w:p w14:paraId="7E0DA18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监测宏观经济和社会发展态势，承担预测预警和信息引导的责任，研究宏观调控重大问题并提出政策建议，搞好总量平衡，综合协调经济社会发展中的重大问题。负责县级以上开发区的指导、协调和宏观管理。</w:t>
      </w:r>
    </w:p>
    <w:p w14:paraId="13E7459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汇总分析全县财政、金融等方面情况；提出多渠道融资的政策建议；综合协调财政、金融、价格和产业政策等经济杠杆以及县上直接掌握的经济手段的使用并通过法规和政策协调、信息指导，保证全县国民经济计划和发展规划的实施。</w:t>
      </w:r>
    </w:p>
    <w:p w14:paraId="033A158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指导推进和综合协调全县经济体制改革的责任，研究经济体制改革和对外开放的重大问题，组织拟订综合性经济体制改革方案，协调有关专项经济体制改革方案，指导和推进总体经济体制改革以及综合配套改革与体制创新，组织、指导和协调综合配套改革试点和重大专项经济体制改革试点。</w:t>
      </w:r>
    </w:p>
    <w:p w14:paraId="577838A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贯彻执行国家价格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、规章和政策规定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草拟相关的地方性规章、政策并组织实施；负责全县价格总水平的宏观调控和综合平衡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研究提出控制物价总水平的相关措施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参与制定调控价格总水平相关的决策方案，为县委和县政府决策服务；负责监测、分析、预报全县市场价格动态和变化趋势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并提出政策建议；按照价格管理权限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研究制定县管价格、收费目录和管理办注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制定并公布政府定价和政府指导价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审定、调整列入管理的商品价格和服务价格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贯彻执行国家行政事业性收费项目和标准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会同财政部门审定、调整列管的收费项目和收费标准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组织实施行政事业性收费、经营性收费年度审验工作；对放开的商品价格和服务价格实施指导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合理安排各种差价和比价关系。引导和规范经营者自主定价行为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指导行业价格自律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当市场商品价格和服务价格出现异常波动时提出干预措施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待批准后组织</w:t>
      </w:r>
      <w:r>
        <w:rPr>
          <w:rFonts w:hint="eastAsia" w:ascii="仿宋_GB2312" w:hAnsi="仿宋_GB2312" w:eastAsia="仿宋_GB2312" w:cs="仿宋_GB2312"/>
          <w:sz w:val="32"/>
          <w:szCs w:val="32"/>
          <w:lang w:eastAsia="zh-CN"/>
        </w:rPr>
        <w:t>实施</w:t>
      </w:r>
      <w:r>
        <w:rPr>
          <w:rFonts w:hint="eastAsia" w:ascii="仿宋_GB2312" w:hAnsi="仿宋_GB2312" w:eastAsia="仿宋_GB2312" w:cs="仿宋_GB2312"/>
          <w:sz w:val="32"/>
          <w:szCs w:val="32"/>
        </w:rPr>
        <w:t>；负责全县境内的景区门票价格调整方案；指导涉旅购物市场价格行为；指导宾馆（酒店）以及各类娱乐场所的价格行为；负责价格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和价格（收费）标准的公示；负责价格法制的宣传教育工作；承办或实施列入听证目录商品价格和服务价格的听证工作；负责仲裁相关价格和收费的纠纷或争议；负责全县工业品、农副产品、公用事业成本监审和流通费用的调查分析。</w:t>
      </w:r>
    </w:p>
    <w:p w14:paraId="78F045C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负责重要商品总量平衡和宏观调控。研究分析县内外市场和对外贸易运行情况，编制重要农产品、工业品和原材料进出口总量计划并监督执行。贯彻执行国家粮食流通和储备粮管理的方针、政策和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定全县粮食流通和县级储备粮管理的有关法规草案、规章制度和有关政策，并组织执行；承担组织实施重要物资和应急储备物资收储、轮换和日常管理等职责，负责粮食行政管理和粮食执法工作。承担粮食预警监测和应急责任，负责全县粮食宏观调控具体工作，组织指导全县粮食系统统计工作；负责州、县级储备粮管理，指导全县粮食储备体系建设。监督检查县级储备粮库存数量、质量和安全，研究提出县级储备粮的收购、轮换、抛售计划，并组织实施。负责全县粮食收购、储存环节和政策性用粮质量安全，负责库存原粮卫生监督管理，指导粮食行业安全生产和抢险救灾，指导全县农村科学储粮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安全生产工作；承担行业统计工作。</w:t>
      </w:r>
    </w:p>
    <w:p w14:paraId="1690DF3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县投资宏观管理和协调推进重大项目建设。拟订全社会固定资产投资总规模和投资结构，编制年度投资计划；研究提出有关重大投资政策，规划重大项目和生产力布局；安排财政性建设资金，指导和监督政策性贷款的使用方向；申报限额以上和审批权限以内的基本建设项目；按照基本建设程序，负责全县基本建设项目立项、可行性研究报告和国家出资的工业（含内贸）、农业、水利、交通、信息产业等行业和产业项目的初步设计审查、开工报告审批工作；引导民间资金用于固定资产投资的方向；研究提出全县利用外资的发展战略、总量平衡和结构优化的目标和政策措施；提出拟订全县工商领域外的外商投资产业指导目录的意见；审批权限以内国外贷款、外商提资和境外投资项目；申报和审核利用外资、境外投资的重大项目；负责编制全县重点建设项目和年度投资计划。</w:t>
      </w:r>
    </w:p>
    <w:p w14:paraId="78A983D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进经济结构战略性调整。组织拟订全县综合性产业政策，负责协调第一、二、三产业发展的重大问题，衔接平衡相关发展规划和重大政策，协调农业和农村经济社会发展的重大问题，衔接农村专项规划和政策。拟订重大产业发展规划，引导全县重大生产力合理布局，协调推进全县重大技术装备推广应用和重大产业基地建设，会同有关部门拟订服务业、现代物流业发展战略、规划和重大政策。组织拟订高技术产业发展、产业技术进步的战略、规划和重大政策，指导全县自主创新体系建设发展。</w:t>
      </w:r>
    </w:p>
    <w:p w14:paraId="1B1541E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促进</w:t>
      </w:r>
      <w:r>
        <w:rPr>
          <w:rFonts w:hint="eastAsia" w:ascii="仿宋_GB2312" w:hAnsi="仿宋_GB2312" w:eastAsia="仿宋_GB2312" w:cs="仿宋_GB2312"/>
          <w:sz w:val="32"/>
          <w:szCs w:val="32"/>
          <w:lang w:eastAsia="zh-CN"/>
        </w:rPr>
        <w:t>区域协调发展</w:t>
      </w:r>
      <w:r>
        <w:rPr>
          <w:rFonts w:hint="eastAsia" w:ascii="仿宋_GB2312" w:hAnsi="仿宋_GB2312" w:eastAsia="仿宋_GB2312" w:cs="仿宋_GB2312"/>
          <w:sz w:val="32"/>
          <w:szCs w:val="32"/>
        </w:rPr>
        <w:t>。组织编制全县主体功能区规划并协调规划实施和进行监测评估，组织拟订区域协调发展战略、规划和重大政策，研究提出城镇化发展战略和统筹城乡发展的重大政策，负责地区经济协作的统筹协调。</w:t>
      </w:r>
    </w:p>
    <w:p w14:paraId="2587173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县社会发展与国民经济发展的政策衔接，组织拟订社会发展战略、总体规划和年度计划，参与拟订人口和计划生育、科学技术、教育、文化、卫生、民政等发展政策，推进社会事业建设。研究提出促进就业、调整收入分配、完善社会保障与经济协调发展的政策建议，协调社会事业发展和政策中的重大问题及政策。</w:t>
      </w:r>
    </w:p>
    <w:p w14:paraId="4503373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进可持续发展，负责全县节能减排的综合协调工作，组织拟订并协调实施全州发展循环经济、能源资源节约和综合利用规划及政策措施，参与编制生态建设、环境保护规划，协调生态建设、能源资源节约和综合利用的重大问题。</w:t>
      </w:r>
    </w:p>
    <w:p w14:paraId="6178446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指导、协调并综合管理全县招标投标工作，对国家和县重大建设项目建设过程中的工程招标投标活动实施监督检查。</w:t>
      </w:r>
    </w:p>
    <w:p w14:paraId="0C24D33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铁路、机场等综合交通的规划和发展协调；参与协调高速公路项目建设中涉及的重大问题，组织协调和处理全县铁路建设项目前期工作、征地拆迁、建设过程中涉及的重大问题，协同做好全县铁路建设规划及年度计划编制的相关工作。</w:t>
      </w:r>
    </w:p>
    <w:p w14:paraId="6AD40DD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负责组织编制全县国民经济动员与装备动员规划、计划，研究国民经济动员与装备动员和国民经济、国防建设的关系，协调相关重大问题，组织实施国民经济动员与装备动员有关工作。</w:t>
      </w:r>
    </w:p>
    <w:p w14:paraId="026BC95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承担县实施西部大开发领导小组、县重点项目领导小组的具体工作。</w:t>
      </w:r>
    </w:p>
    <w:p w14:paraId="7B264D0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承担县政府公布的有关行政审批事项。</w:t>
      </w:r>
    </w:p>
    <w:p w14:paraId="5ADC1AC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完成县委、县政府交办的其他任务。</w:t>
      </w:r>
    </w:p>
    <w:p w14:paraId="34D1CD7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有关职责分工。</w:t>
      </w:r>
    </w:p>
    <w:p w14:paraId="1934FB2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1.与县住房和城乡建设局在基本建设项目调概、初步设计审查和开工审批方面的职责分工。根据《中华人民共和国建筑法》等</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及有关规定，由国家出资的工业（含内贸）、水利、交通、铁道、民航、信息产业等行业和产业项目的初步设计、开工报告分别由经信、水务、交通运输等相关部门初审后报发改局审查、审批。各类房屋建筑及其附属设施的建造，与各类房屋建筑及其附属设施的建造配套的线路、管道、设备的安装项目，以及市政工程项目的初步设计审查、项目开工及开工后的质量监督、进度，项目建设施工中的有关组织协调工作由县住建局负责。其中，政府性投资项目的调概以县发改局为主，县住建局参加。</w:t>
      </w:r>
    </w:p>
    <w:p w14:paraId="5065727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与县经济商务和信息化局有关职责分工。重要商品进出口管理：县发改局负责编制重要工业品、原材料和重要农产品的进出口总量计划；县经信局负责在县发改局确定的总量计划内组织实施。粮食、棉花、煤炭由县发改局会同县经信局在进出口总量计划内进行分配并协调相关政策。外商投资管理：县发改局按规定权限负责对外商投资项目进行核准，县经信局按规定权限负责对外商投资企业设立及合同、章程等进行核准。境外投资管理：县发改局按照规定权限负责对境外投资项目进行核准，县经信局按照规定权限负责对国内企业在境外设立非金融企业进行核准。并购安全审查：县发改局和县经信局按照各自职责，分别配合上级职能部门做好外国投资者并购县内企业安全审查的相关工作。</w:t>
      </w:r>
    </w:p>
    <w:p w14:paraId="7B05DA94">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sz w:val="32"/>
          <w:szCs w:val="32"/>
          <w:shd w:val="clear" w:fill="FFFFFF"/>
        </w:rPr>
        <w:t>（二）2022年重点工作完成情况。</w:t>
      </w:r>
    </w:p>
    <w:p w14:paraId="696C2C2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（一）聚焦政治引领，全面加强党的建设。一是强化理论武装。依托党史学习教育主题实践活动，持续深入学习贯彻习近平新时代中国特色社会主义思想和党的十九届六中全会及</w:t>
      </w:r>
      <w:r>
        <w:rPr>
          <w:rFonts w:hint="eastAsia" w:ascii="仿宋_GB2312" w:hAnsi="仿宋_GB2312" w:eastAsia="仿宋_GB2312" w:cs="仿宋_GB2312"/>
          <w:sz w:val="32"/>
          <w:szCs w:val="32"/>
          <w:lang w:eastAsia="zh-CN"/>
        </w:rPr>
        <w:t>党的二十大精神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增强“四个意识”、坚定“四个自信”、做到“两个维护”</w:t>
      </w:r>
      <w:r>
        <w:rPr>
          <w:rFonts w:hint="eastAsia" w:ascii="仿宋_GB2312" w:hAnsi="仿宋_GB2312" w:eastAsia="仿宋_GB2312" w:cs="仿宋_GB2312"/>
          <w:sz w:val="32"/>
          <w:szCs w:val="32"/>
        </w:rPr>
        <w:t>。截至目前，开展党组理论学习中心组学习10次，集中研讨15次。二是落实管党治党责任。自觉增强管党治党主体、主责、主业意识，通过党组会、专题会，研究部署全面从严治党、党史学习教育、意识形态、发展改革等工作，推动党建和中心工作“两结合、两促进”。严格执行民主集中制，落实“三重一大”事项集体决策机制，按规定召开民主生活会和专题组织生活会，认真落实“三会一课”，主题党日等组织生活制度，构建风清气正政治生态。三是深化作风纪律建设。严格落实中央八项规定及其实施细则精神，持之以恒纠“四风”、树新风，常态化开展谈心谈话，积极开展反腐倡廉活动，通过观看警示教育片、廉政知识测试等形式，强化廉政教育。</w:t>
      </w:r>
    </w:p>
    <w:p w14:paraId="3B5F9A9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聚焦职能发挥，稳步推进经济增长。一是科学制定经济发展任务。年初拟定了完成《松潘县2021年国民经济和社会发展计划执行情况及2022年工作计划的报告》，印发了《松潘县2022年各项经济指标目标任务分解表》，紧紧围绕县委、县政府确定的经济指标和重点任务，坚守“稳”的底线、把准“快”的基调、抓实“准”的关键、树立“合”的意识，积极统筹协调，采取有力措施，全面确保各项经济指标运行在合理区间。二是切实做好经济运行形势研判。今年以来，由我局牵头先后筹备召开财经委员会4次、各类经济运行研判会13次。定期对经济指标当前完成情况，下步重点工作进行会商，研究讨论解决问题短板。定期向县政府分管领导或县委、县政府主要领导汇报经济指标预测完成情况，对问题指标及早进行预警，并提出意见建议，点球式推送给相关责任部门。三是及时采取有效措施。我县共制定各类稳经济促发展政策6项，出台助企纾困政策9方面31条、金融助企纾困措施16条，全面稳经济、促增长。并每月定期向州发改委书面汇报稳经济一揽子政策落实情况。四是各项经济指标平稳增长。预计全年实现地区生产总值297900万元，同比增长1.8%；规上工业增加值下降10.3%，全社会固定资产投资增长7.0%；实现社会消费品零售总额69870万元，下降3.5%；实现公共财政一般预算收入9588万元，下降6.4%；城镇居民人均可支配收入42390元，增长5.5%；实现农村居民人均可支配收入18450元，增长7.5%；累计接待旅游人次600万人，增长3.4%，实现旅游总收入54亿元，增长1.3%。经济走势基本与全省、全州保持一致。</w:t>
      </w:r>
    </w:p>
    <w:p w14:paraId="7A693F1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聚焦项目建设，努力增强发展后劲。牢固树立“发展为要、项目为王、实干为先”鲜明导向，认真落实“五级责任主体”等项目推进机制，重点项目建设推进有力有序。一是重点项目建设高效推进。今年，我县成功争列省州重点项目5个，总投资427.61亿元，年度计划24.81亿元；争取中央预算内投资项目8个，总投资1.43亿元；争取的以工代赈项目2个，总投资949万元；共安排县级政府性投资项目两批共161个，总投资17.84亿元，年度计划投资10.03亿元；第三批县级政府性投资项目90个，总投资5.05亿元，已提交</w:t>
      </w:r>
      <w:r>
        <w:rPr>
          <w:rFonts w:hint="eastAsia" w:ascii="仿宋_GB2312" w:hAnsi="仿宋_GB2312" w:eastAsia="仿宋_GB2312" w:cs="仿宋_GB2312"/>
          <w:sz w:val="32"/>
          <w:szCs w:val="32"/>
          <w:lang w:eastAsia="zh-CN"/>
        </w:rPr>
        <w:t>县委常委会</w:t>
      </w:r>
      <w:r>
        <w:rPr>
          <w:rFonts w:hint="eastAsia" w:ascii="仿宋_GB2312" w:hAnsi="仿宋_GB2312" w:eastAsia="仿宋_GB2312" w:cs="仿宋_GB2312"/>
          <w:sz w:val="32"/>
          <w:szCs w:val="32"/>
        </w:rPr>
        <w:t>审议。截至目前，161个政府性投资项目，开工154个，开工率达95.7%，完工90个，完工率为56%。5个省州重点项目开工4个，开工率为80%。二是加强投资项目招投标监管。坚持依法招标制度，阳光行政，透明操作，对必须招标项目全部实行了招标。在招标事项核准上，凡达到招标规模标准的一律实行公开招标；在招标程序上，坚持程序到位，合法推进。坚持动态管理，总结经验，完善制度。坚持监督关口前移，认真把好工程建设招标投标核准关、程序关、监督关，规范推进招投标活动。2022年以来共监督公开招标活动27宗，概算总投资51874.98万元。三是切实做好明年项目储备。已申报2023年州重点项目2个，总投资4.9亿元，年度计划投资2.6亿。其中：新建项目1个，即：梦回松州·遇见松潘建设项目，总投资4亿元，年度计划投资1.8亿元；续建项目1个，即：松潘县高标准农田建设项目，总投资0.9亿，年度计划投资0.8亿。截至目前，已收集2023年政府性投资项目71个，总投资13.5亿元，其中：新建项目14个，总投资2.2亿元，续建项目57个，总投资11.29亿元。</w:t>
      </w:r>
    </w:p>
    <w:p w14:paraId="715FB97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聚焦改革开放，全力服务县域发展。一是经济体制改革纵深推进。不断规范粮油收储公司运行机制，充实公司工作力量。切实发挥好经济体制改革专项小组办公室职能职责，拟定并提交松潘县2022年度经济体制改革工作要点21条，出台《松潘县政府性投资项目操作指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松潘县政府性投资项目前期工作实施细则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松潘县在农村基础设施建设领域积极推广以工代赈方式的实施意见》。二是对口支援不断深化。桐松两地双方高层互访对接对口支援工作2次，召开专题会议2次，召开对口支援工作领导小组会议2次。开展松潘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桐乡招商引资和旅游推介专题活动2次。共安排资金4500万元，安排援建项目12个，截至目前，已开工项目12个，完工11个，完成投资4159.4万元，投资完成率为92.43%，资金支付3918.83万元，资金支付率87.08%。三是省内对口帮扶成效明显。2022年，大邑县共安排财政专项帮扶资金602万元，已全额划转到松潘县财政专户。根据对口支援五年规划和省、市年度重点工作任务，安排2022年度具体实施对口支援项目29个、投入帮扶资金469万元；预留133万元用于支持规划以外产业发展、教育文化事业、招商引资、民生保障等临时性项目建设发展资金。截至目前，469万元财政专项帮扶资金已全部划拨至29个项目业主单位，资金划拨率100%。</w:t>
      </w:r>
    </w:p>
    <w:p w14:paraId="070D005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（五）聚焦绿色发展，持续升级生态管理。一是强力推进</w:t>
      </w:r>
      <w:r>
        <w:rPr>
          <w:rFonts w:hint="eastAsia" w:ascii="仿宋_GB2312" w:hAnsi="仿宋_GB2312" w:eastAsia="仿宋_GB2312" w:cs="仿宋_GB2312"/>
          <w:sz w:val="32"/>
          <w:szCs w:val="32"/>
          <w:lang w:eastAsia="zh-CN"/>
        </w:rPr>
        <w:t>黄河流域生态保护和高质量发展</w:t>
      </w:r>
      <w:r>
        <w:rPr>
          <w:rFonts w:hint="eastAsia" w:ascii="仿宋_GB2312" w:hAnsi="仿宋_GB2312" w:eastAsia="仿宋_GB2312" w:cs="仿宋_GB2312"/>
          <w:sz w:val="32"/>
          <w:szCs w:val="32"/>
        </w:rPr>
        <w:t>。紧扣“生态保护”和“高质量发展”两个关键，加强黄河流域生态保护和高质量发展项目储备工作，加强黄河流域生态保护和高质量发展项目储备工作，共储备项目93</w:t>
      </w:r>
      <w:r>
        <w:rPr>
          <w:rFonts w:hint="eastAsia" w:ascii="仿宋_GB2312" w:hAnsi="仿宋_GB2312" w:eastAsia="仿宋_GB2312" w:cs="仿宋_GB2312"/>
          <w:sz w:val="32"/>
          <w:szCs w:val="32"/>
          <w:lang w:eastAsia="zh-CN"/>
        </w:rPr>
        <w:t>个</w:t>
      </w:r>
      <w:r>
        <w:rPr>
          <w:rFonts w:hint="eastAsia" w:ascii="仿宋_GB2312" w:hAnsi="仿宋_GB2312" w:eastAsia="仿宋_GB2312" w:cs="仿宋_GB2312"/>
          <w:sz w:val="32"/>
          <w:szCs w:val="32"/>
        </w:rPr>
        <w:t>，概算投资394.4亿元。编制完成《松潘县推动</w:t>
      </w:r>
      <w:r>
        <w:rPr>
          <w:rFonts w:hint="eastAsia" w:ascii="仿宋_GB2312" w:hAnsi="仿宋_GB2312" w:eastAsia="仿宋_GB2312" w:cs="仿宋_GB2312"/>
          <w:sz w:val="32"/>
          <w:szCs w:val="32"/>
          <w:lang w:eastAsia="zh-CN"/>
        </w:rPr>
        <w:t>黄河流域生态保护和高质量发展</w:t>
      </w:r>
      <w:r>
        <w:rPr>
          <w:rFonts w:hint="eastAsia" w:ascii="仿宋_GB2312" w:hAnsi="仿宋_GB2312" w:eastAsia="仿宋_GB2312" w:cs="仿宋_GB2312"/>
          <w:sz w:val="32"/>
          <w:szCs w:val="32"/>
        </w:rPr>
        <w:t>实施方案（2021—2030）》，并通过中共十四届松潘县委第35次常委会议审议，目前正向社会印发。二是扎实推进节能降耗工作。紧盯州下达单位GDP能耗目标，推动工业绿色低碳发展，坚决实行污染项目否决制，对不符合国家产业发展政策的项目坚决不予核准备案；对于能耗高、严重污染环境的项目不予备案。全面加强节约型机关建设，推进公共机构节能降碳，分解下达重点用能单位耗能控制和节能目标，扎实开展全县节能降碳工作，圆满完成我县GDP能耗增速目标任务。三是加快推进清洁能源建设。积极配合州发改委做好光伏发展规划、风能发展规划及充电基础设施规划。编制完成《松潘县剑科水电站水光互补光伏电站实施方案》。松潘县智慧能源有限公司完成了松潘县政府1号楼及会议中心370kWp屋顶分布式光伏示范项目。</w:t>
      </w:r>
    </w:p>
    <w:p w14:paraId="630437A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（六）聚焦重点领域，着力提升治理水平。一是做好基层治理日常工作。全面做好松潘县基层治理委员会下设的“经济高质量发展体系建设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民生保障制度体系建设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基础设施支撑体系建设”三个专项小组办公室日常工作，每月、每季度向县基层治理委员会报告三个小组基层治理工作开展情况，不折不扣</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完成了县委县政府领导交办的工作任务。二是加快构建社会信用体系。充分发挥“松潘县社会信用体系建设联席会议”办公室职能职责，积极构建联合惩戒机制。分别在松城片区、川主寺片区、镇江片区向社会集中曝光失信被执行人名单。建设“诚信红名单公示制度”和“失信黑名单通报制度”，加大信用信息的推广运用，逐步建立守信激励机制和失信惩戒机制。严肃查处招投标违法违规行为，进一步优化招投标市场环境，更好服务项目建设，积极推动“双随机、一公开”工作，将行政许可和行政处罚等信息全面、完整、规范、清晰、准确</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向社会公开，自觉接受社会监督，提高行政管理透明力。三是持续抓好安全生产监管。始终严格落实安全生产十五条措施，坚持“外防输入、内防反弹”的疫情防控要求，全面落实常态化疫情防控措施；常态化开展粮油安全检查，全面掌握县内粮油情况，确保粮油供给充足；全力做好全县应急物资储备工作，确保、帐篷、棉被、军大衣、棉衣裤、棉大衣、雨衣雨鞋、手电筒、应急反光背心等应急抢险物资储备充足。严格落实落细县内8座水电站的安全监管责任，常态开展安全生产隐患排查整治工作，坚决守住不发生安全事故的底线；按照周督查、月通报工作机制，每周组织人员联合相关单位深入到项目建设现场，对项目建设进度、项目质量、安全生产等工作进行常规检查，并每半月通报一次检查情况。</w:t>
      </w:r>
    </w:p>
    <w:p w14:paraId="17F4ED7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聚焦潜在风险，致力维护大局稳定。一是确保粮食安全、供应充足。全面落实地方粮油储备政策，逐步完善轮换管理和库存监管机制。制定出台《松潘县县级储备粮食管理办法（修订）》等办法制度。按时下达储备粮油轮换计划，确保质量安全、无陈化粮。严格实行粮食质量安全监管和责任追究制度，建立超标粮食处置长效机制。健全粮油质量安全风险监测相关制度，确保储备粮油安全。</w:t>
      </w:r>
      <w:r>
        <w:rPr>
          <w:rFonts w:hint="eastAsia" w:ascii="仿宋_GB2312" w:hAnsi="仿宋_GB2312" w:eastAsia="仿宋_GB2312" w:cs="仿宋_GB2312"/>
          <w:sz w:val="32"/>
          <w:szCs w:val="32"/>
          <w:lang w:eastAsia="zh-CN"/>
        </w:rPr>
        <w:t>截至目前</w:t>
      </w:r>
      <w:r>
        <w:rPr>
          <w:rFonts w:hint="eastAsia" w:ascii="仿宋_GB2312" w:hAnsi="仿宋_GB2312" w:eastAsia="仿宋_GB2312" w:cs="仿宋_GB2312"/>
          <w:sz w:val="32"/>
          <w:szCs w:val="32"/>
        </w:rPr>
        <w:t>我县政策储备粮油库存1533吨，市场粮油258吨，能确保1个月左右粮油供应。二是确保物价可控，市场稳定。成立专项行动领导小组，全面梳理各行业内出台的涉企违规收费政策，并建立涉企违规收费问题台账。深入排查了涉企收费是否存在乱收费、乱罚款、乱 摊派等行为。共采集完成涉疫重点城市重要民生商品价格应急监测日报27期、阿坝州主副食品价格监测54期，阿坝州重要商品和服务价格月报表10期，QQ报送重要商品价格监测信息168期。办理涉案财物认定案件19起，涉及金额222.19万元，共涉及标的物48个，为我县公、检、法等办案机关办理各类涉财案件提供了法律依据。三是确保群众权益，纾解纠纷。针对成兰铁路（松潘段）征地拆迁涉及的4乡4镇1300余户出现的矛盾纠纷，协同相关部门及时协调、化解，上半年接访、化解上访事项120件。炮损赔偿全县共3000余户，2022年总共签订协议417户，共兑付资金76.8万元。</w:t>
      </w:r>
    </w:p>
    <w:p w14:paraId="0B9E462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聚焦民生福祉，稳步促进富民增收。一是强化农牧民就业保障。结合对口支援，开展现场招聘会1场，线上招聘会5场，劳务协作培训班3期272人次；开行“点对点、一站式”免费赴浙务工专车、包机服务，共计输送249名劳动力赴浙江就业，其中：脱贫劳动力61人；省内就近就业789人，其中：脱贫劳动力346人；其他地区就业220人，其中：脱贫劳动力184人；召开2022年桐乡—松潘东西部劳务协作及对口支援座谈会1场。二是切实促进群众就地创收。出台《松潘县在农村基础设施建设领域积极推广以工代赈方式的实施意见》，采取推广以工代赈项目共计39个，概算总投资13829万元，现已开工38个，吸纳当地群众1112人参与项目建设务工，向群众发放劳务报酬1079.5万元。三是深入开展“两联一进”。积极组织开展了“联乡包村”工作，对安宏乡安宏村、纳坡村、烟囱村开展入户走访、政策宣传、矛盾纠纷排查、家庭收入调查等工作，共走访农户965户次。其中，安宏村536户次，纳坡村92户次，烟囱村337户次。解决安宏乡安宏村集体经济资金1万元。四是结对帮扶范围不断扩大。共与桐乡签订各类帮扶协议48份，组织桐乡市11所学校结对帮扶松潘县11所学校、桐乡市7所医院结对帮扶松潘县3所医院、桐乡市2个经济强镇结对帮扶松潘县2个乡镇、桐乡市2个经济强村结对帮扶松潘县4个村、桐乡市19家企业结对帮扶松潘县16个村、桐乡市5个社会组织结对帮扶松潘县5个村。</w:t>
      </w:r>
    </w:p>
    <w:p w14:paraId="0F256920">
      <w:pPr>
        <w:pStyle w:val="5"/>
        <w:keepNext w:val="0"/>
        <w:keepLines w:val="0"/>
        <w:widowControl/>
        <w:suppressLineNumbers w:val="0"/>
        <w:spacing w:before="0" w:beforeAutospacing="0"/>
        <w:ind w:left="0"/>
        <w:jc w:val="left"/>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sz w:val="32"/>
          <w:szCs w:val="32"/>
          <w:shd w:val="clear" w:fill="FFFFFF"/>
        </w:rPr>
        <w:t>二、机构设置</w:t>
      </w:r>
    </w:p>
    <w:p w14:paraId="1DD88FC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县发改局设下列内设机构：</w:t>
      </w:r>
    </w:p>
    <w:p w14:paraId="7F28E30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公室。组织协调机关日常政务，负责机关目标管理、电子政务、公文运转、会议组织、政务信息、财务、资产管理、后勤服务、机要、保密、信访、安全保卫、社会治安综合治理、精神文明建设等工作；负责机关规章制度的</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rPr>
        <w:t>和组织实施；组织办理议案、提案和建议；负责会议组织及会议决定事项的督办。负责本局机关的机构编制和干部、劳动、人事管理；负责本局档案管理和离退休人员的管理、服务工作。</w:t>
      </w:r>
    </w:p>
    <w:p w14:paraId="647A6A7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策法规股（挂稽察办公室、行政审批股牌子）。起草有关国民经济和社会发展、经济体制改革的重大政策和规章草案；组织研究经济社会发展、改革开放的重大问题；承担本系统、本部门推进依法行政工作的组织协调和督促指导；承担行政执法监督、行政复议、行政应诉、行政调解和规范性文件审核和备案工作；负责本部门普法工作的宣传、指导和监督。</w:t>
      </w:r>
    </w:p>
    <w:p w14:paraId="52CFBFF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指导和协调招标投标工作，组织拟订招标投标配套规定和实施意见；按规定核准项目招标事项；协助省、州发展改革委负责中央投资项目招标代理机构的转报及管理；负责省、州发改委审批项目招标投标核准意见的转报工作。</w:t>
      </w:r>
    </w:p>
    <w:p w14:paraId="11FA110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管理招标投标活动。负责重大建设项目招标文件的审查和备案，监督招标投标活动，受理相关投诉，调查违规行为；统筹监督国家投资建设项目招标投标合同的执行情况并组织后评估工作；负责协调招标投标平台的建设和管理，管理综合性评标专家库；组织协调招标投标信用体系建设，建立公共资源交易中心招标投标活动和其他招标投标领域相关中介咨询机构的协调管理机制。</w:t>
      </w:r>
    </w:p>
    <w:p w14:paraId="67851A0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负责对国家、省、州安排资金项目的审批程序、建设资金使用、工程招标投标、开工建设条件、建设进度、工程质量、投资概算控制以及工程竣工验收等建设活动进行全过程</w:t>
      </w:r>
      <w:r>
        <w:rPr>
          <w:rFonts w:hint="eastAsia" w:ascii="仿宋_GB2312" w:hAnsi="仿宋_GB2312" w:eastAsia="仿宋_GB2312" w:cs="仿宋_GB2312"/>
          <w:sz w:val="32"/>
          <w:szCs w:val="32"/>
          <w:lang w:eastAsia="zh-CN"/>
        </w:rPr>
        <w:t>的稽查</w:t>
      </w:r>
      <w:r>
        <w:rPr>
          <w:rFonts w:hint="eastAsia" w:ascii="仿宋_GB2312" w:hAnsi="仿宋_GB2312" w:eastAsia="仿宋_GB2312" w:cs="仿宋_GB2312"/>
          <w:sz w:val="32"/>
          <w:szCs w:val="32"/>
        </w:rPr>
        <w:t>和监督检查，及时提出</w:t>
      </w:r>
      <w:r>
        <w:rPr>
          <w:rFonts w:hint="eastAsia" w:ascii="仿宋_GB2312" w:hAnsi="仿宋_GB2312" w:eastAsia="仿宋_GB2312" w:cs="仿宋_GB2312"/>
          <w:sz w:val="32"/>
          <w:szCs w:val="32"/>
          <w:lang w:eastAsia="zh-CN"/>
        </w:rPr>
        <w:t>稽查报告</w:t>
      </w:r>
      <w:r>
        <w:rPr>
          <w:rFonts w:hint="eastAsia" w:ascii="仿宋_GB2312" w:hAnsi="仿宋_GB2312" w:eastAsia="仿宋_GB2312" w:cs="仿宋_GB2312"/>
          <w:sz w:val="32"/>
          <w:szCs w:val="32"/>
        </w:rPr>
        <w:t>；协调、督促有关项目建设单位进行整改。监督检查以工代赈项目的实施情况；承担全县所有固定资产投资</w:t>
      </w:r>
      <w:r>
        <w:rPr>
          <w:rFonts w:hint="eastAsia" w:ascii="仿宋_GB2312" w:hAnsi="仿宋_GB2312" w:eastAsia="仿宋_GB2312" w:cs="仿宋_GB2312"/>
          <w:sz w:val="32"/>
          <w:szCs w:val="32"/>
          <w:lang w:eastAsia="zh-CN"/>
        </w:rPr>
        <w:t>项目进行稽查</w:t>
      </w:r>
      <w:r>
        <w:rPr>
          <w:rFonts w:hint="eastAsia" w:ascii="仿宋_GB2312" w:hAnsi="仿宋_GB2312" w:eastAsia="仿宋_GB2312" w:cs="仿宋_GB2312"/>
          <w:sz w:val="32"/>
          <w:szCs w:val="32"/>
        </w:rPr>
        <w:t>，纠正建设项目中存在的问题，确保建设工程顺利实施。</w:t>
      </w:r>
    </w:p>
    <w:p w14:paraId="4ADC03F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贯彻和组织实施上级有关纪检监察工作方面的决议、决定和指示；负责处理纪检监察工作的日常事务；负责处理控告和举报；处理与部门工作相关的重大疑难问题及突发性事件；负责处理系统内的违法违纪案件。</w:t>
      </w:r>
    </w:p>
    <w:p w14:paraId="40C41C9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拟订行政许可事项审查（审核）的政策、规定、标准、规程细则；负责县发展和改革局（县粮食和物资储备中心、县价格认证和监测中心）机关行政许可职责，依法审批保留权限以内的行政许可事项；负责审批权限以内的非国家投资项目立项（核准、备案）。</w:t>
      </w:r>
    </w:p>
    <w:p w14:paraId="33E5331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负责全县社会信用体系建设指导、协调和综合管理；负责信用信息平台的业务管理。</w:t>
      </w:r>
    </w:p>
    <w:p w14:paraId="1BCBA75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（三）国民经济综合协调股（挂经济动员办公室牌子）</w:t>
      </w:r>
    </w:p>
    <w:p w14:paraId="238FF8C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起草有关国民经济和社会发展、经济体制改革的重大政策和地方性法规、规章草案；组织研究经济社会发展、改革开放的重大问题；研究提出全县经济和社会发展战略、规划及生产力布局的建议；提出全县经济和社会中长期发展、总量平衡和结构调整的目标和政策；提出推进新型城镇化的发展战略和重大政策，提出城乡融合发展政策建议；编制经济和社会发展中长期规划；组织编制和协调经济社会发展专项规划、区域经济发展规划，提出区域经济发展政策。</w:t>
      </w:r>
    </w:p>
    <w:p w14:paraId="740DF3D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县级开发区（含保税区）进行指导、协调和宏观管理。</w:t>
      </w:r>
    </w:p>
    <w:p w14:paraId="7892E73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负责半年和年度国民经济和社会发展计划执行情况报告的起草工作；参与有关股室研究制定发展计划和规划。</w:t>
      </w:r>
    </w:p>
    <w:p w14:paraId="036118D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经济体制改革重大问题，指导推进和综合协调经济体制改革；组织拟订综合性经济体制改革方案，参与研究和衔接有关方面拟订的专项经济体制改革方案，协调推进专项经济体制改革；指导经济体制改革试点和改革试验区工作；协调解决经济体制改革进程中的重大问题。</w:t>
      </w:r>
    </w:p>
    <w:p w14:paraId="1C46421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研究提出全县国民经济动员工作方针、政策，编制全县国民经济动员方案、总体规划和年度计划；转报、安排全县国民经济动员重大项目；协调国民经济动员工作中的重大问题。</w:t>
      </w:r>
    </w:p>
    <w:p w14:paraId="7EE4A50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固定资产投资和项目管理股（挂援藏办公室、西部大开发办公室牌子）。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审查等工作；汇总并发布县重大项目进展情况；指导重大项目储备、建设、管理工作；承办县重大建设项目推进领导小组的具体工作。</w:t>
      </w:r>
    </w:p>
    <w:p w14:paraId="7DC510D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研究提出全县实施西部大开发战略、发展规划和有关政策建议；编制我县实施西部大开发战略的规划，组织协调全县实施西部大开发战略的有关重大问题；承办县实施西部大开发领导小组及其办公室的日常工作。</w:t>
      </w:r>
    </w:p>
    <w:p w14:paraId="6C0C825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做好对国家、省、州安排资金项目以及固定资产投资项目的审批程序、建设资金使用、工程招标投标、开工建设条件、建设进度、工程质量、投资概算控制以及工程竣工验收等建设活动进行全过程的监督检查，协调、督促有关项目建设单位进行整改，纠正建设项目中存在的问题，确保建设工程顺利实施。</w:t>
      </w:r>
    </w:p>
    <w:p w14:paraId="322DB19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监测分析全社会固定资产投资状况，研究提出固定资产投资的总规模、结构和资金来源，提出全社会固定资产投资调控政策、中长期规划和年度计划；研究</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rPr>
        <w:t>加强政府投资项目管理的政策措施；提出投融资体制改革的建议；审核、转报和安排国家和县财政性资金的建设项目。</w:t>
      </w:r>
    </w:p>
    <w:p w14:paraId="127F790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研究提出全县民族地区（藏区）经济社会发展战略和政策，协调发展中的重大问题；汇总编制藏区经济和社会发展中长期规划和年度规划；汇总申报藏区国家政策性投资项目。</w:t>
      </w:r>
    </w:p>
    <w:p w14:paraId="2A9F462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协助参与对全县所有固定资产投资</w:t>
      </w:r>
      <w:r>
        <w:rPr>
          <w:rFonts w:hint="eastAsia" w:ascii="仿宋_GB2312" w:hAnsi="仿宋_GB2312" w:eastAsia="仿宋_GB2312" w:cs="仿宋_GB2312"/>
          <w:sz w:val="32"/>
          <w:szCs w:val="32"/>
          <w:lang w:eastAsia="zh-CN"/>
        </w:rPr>
        <w:t>项目进行稽查</w:t>
      </w:r>
      <w:r>
        <w:rPr>
          <w:rFonts w:hint="eastAsia" w:ascii="仿宋_GB2312" w:hAnsi="仿宋_GB2312" w:eastAsia="仿宋_GB2312" w:cs="仿宋_GB2312"/>
          <w:sz w:val="32"/>
          <w:szCs w:val="32"/>
        </w:rPr>
        <w:t>，纠正建设项目中存在的问题，确保建设工程顺利实施。</w:t>
      </w:r>
    </w:p>
    <w:p w14:paraId="57257B0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农村经济发展和社会事业股。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财政性资金重大项目，监督检查投资计划执行和项目实施情况；组织编制全县生态建设中长期规划和年度计划，协调组织相关部门实施生态建设重大项目；协助做好藏区政策研究及项目的申报。</w:t>
      </w:r>
    </w:p>
    <w:p w14:paraId="5A2233E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w:t>
      </w:r>
    </w:p>
    <w:p w14:paraId="060FF44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研究提出全县社会事业投资的发展战略、总规模和中长期规划、年度计划；提出和申报涉及社会事业的国外贷款备选项目，负责权限以内投资项目的审核工作，审核和转报利用外资和境外投资项目。</w:t>
      </w:r>
    </w:p>
    <w:p w14:paraId="2BE78F5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研究全县就业与人力资源、居民收入分配和社会保障情况，提出就业规划和促进就业、调整收入分配、完善社会保障体系的相关政策；组织拟订和论证相关体制改革方案，协调解决相关的重大问题。</w:t>
      </w:r>
    </w:p>
    <w:p w14:paraId="2353106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产业发展和能源股（挂以工代赈综合办公室）。统筹工业、服务业、交通运输业发展规划、计划与国民经济和社会发展规划、计划的衔接平衡；研究分析全县产业发展的情况，组织拟订综合性产业政策，组织协调专项产业政策的制定，监督产业政策的落实；研究提出全县服务业发展战略和重大政策，协调服务业发展。</w:t>
      </w:r>
    </w:p>
    <w:p w14:paraId="7EE0681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调重大技术装备推广应用和重大产业基地建设；统筹协调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做好相关高新技术产业化工作，组织高技术产业化示范工程；申报、安排工业、交通、邮政和高技术产业财政性资金建设项目。</w:t>
      </w:r>
    </w:p>
    <w:p w14:paraId="4036805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转报、安排国家、省、州的高技术产业化财政性资金建设项目；指导协调自主创新体系发展，组织推动技术创新和产学研联合；推动国民经济和社会发展信息化进程，培育壮大战略性新兴产业；协调做好藏区政策研究及项目的申报。</w:t>
      </w:r>
    </w:p>
    <w:p w14:paraId="1EC4E23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全县交通运输发展战略、政策措施和体制改革建议；协调相关部门编制全县交通运输发展中长期规划和年度计划；审核转报交通重点建设项目（含利用外资项目）；协调全县公路、航空、铁路、水运建设的综合平衡以及发展中的重大问题。</w:t>
      </w:r>
    </w:p>
    <w:p w14:paraId="3C1AC9D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析工业发展情况，研究新型工业化发展战略；拟订工业及相关产业发展规划及配套政策，提出相关体制改革建议，对工业现代化实施宏观指导；组织拟订与全县工业发展配套的优化资源配置的政策、措施；审核转报工业建设项目；协调相关产业发展和生产力布局。</w:t>
      </w:r>
    </w:p>
    <w:p w14:paraId="44A4DBD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负责组织协调推进长江经济带生态环境保护专项行动，生态环境问题整改；负责协调推动长江综合立体交通走廊、岸线整治修复等重大项目实施。</w:t>
      </w:r>
    </w:p>
    <w:p w14:paraId="40AEEB7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题，审核和转报能源建设项目。</w:t>
      </w:r>
    </w:p>
    <w:p w14:paraId="22DC0AF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提出优化能源结构、能源节约综合利用和发展循环经济（开发新能源）的政策措施；组织对煤、电、油、气资源勘探调查和合理、有序开发利用；实施能源可持续发展战略的，推进可再生能源和新能源的开发利用；参与编制环境保护规划，协调环保产业发展有关工作；组织实施固定资产投资项目（企业技术改造项目除外）节能评估和审查工作；审核、转报和安排资源节约、综合利用、循环经济和污染治理国家财政性资金建设项目；组织协调重大节能减排示范工程和新产品、新技术、新设备的推广应用；组织拟订应对气候变化重大战略、规划和重大政策；承办县节能减排工作领导小组的具体工作。</w:t>
      </w:r>
    </w:p>
    <w:p w14:paraId="520705C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出全县以工代赈工作的具体政策措施并组织实施；负责管理以工代赈资金；编制全县以工代赈项目规划；建立和完善以工代赈项目库；会同有关部门筛选、审查以工代赈项目；编制和审报以工代赈项目的年度计划；监督检查以工代赈项目的实施情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w:t>
      </w:r>
      <w:r>
        <w:rPr>
          <w:rFonts w:hint="eastAsia" w:ascii="仿宋_GB2312" w:hAnsi="仿宋_GB2312" w:eastAsia="仿宋_GB2312" w:cs="仿宋_GB2312"/>
          <w:sz w:val="32"/>
          <w:szCs w:val="32"/>
          <w:lang w:eastAsia="zh-CN"/>
        </w:rPr>
        <w:t>人大代表</w:t>
      </w:r>
      <w:r>
        <w:rPr>
          <w:rFonts w:hint="eastAsia" w:ascii="仿宋_GB2312" w:hAnsi="仿宋_GB2312" w:eastAsia="仿宋_GB2312" w:cs="仿宋_GB2312"/>
          <w:sz w:val="32"/>
          <w:szCs w:val="32"/>
        </w:rPr>
        <w:t>、政协委员有关以工代赈工作的建议、提案的办理。</w:t>
      </w:r>
    </w:p>
    <w:p w14:paraId="5B19AC1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县发改局行政编制10名。其中：局长1名，副局长2名；股级领导职数6名。机关工勤人员事业编制1名。</w:t>
      </w:r>
    </w:p>
    <w:p w14:paraId="73A36DE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830C51F">
      <w:pPr>
        <w:pStyle w:val="11"/>
        <w:keepNext w:val="0"/>
        <w:keepLines w:val="0"/>
        <w:widowControl/>
        <w:suppressLineNumbers w:val="0"/>
        <w:spacing w:before="0" w:beforeAutospacing="0"/>
        <w:ind w:left="0"/>
        <w:jc w:val="left"/>
      </w:pPr>
    </w:p>
    <w:p w14:paraId="70720548">
      <w:pPr>
        <w:pStyle w:val="4"/>
        <w:keepNext w:val="0"/>
        <w:keepLines w:val="0"/>
        <w:widowControl/>
        <w:suppressLineNumbers w:val="0"/>
        <w:spacing w:before="0" w:beforeAutospacing="0"/>
        <w:ind w:left="0"/>
        <w:jc w:val="center"/>
        <w:rPr>
          <w:rFonts w:hint="eastAsia" w:ascii="仿宋_GB2312" w:hAnsi="仿宋_GB2312" w:eastAsia="仿宋_GB2312" w:cs="仿宋_GB2312"/>
        </w:rPr>
      </w:pPr>
      <w:r>
        <w:rPr>
          <w:rFonts w:hint="eastAsia" w:ascii="仿宋_GB2312" w:hAnsi="仿宋_GB2312" w:eastAsia="仿宋_GB2312" w:cs="仿宋_GB2312"/>
          <w:shd w:val="clear" w:fill="FFFFFF"/>
        </w:rPr>
        <w:t>第二部分 2022年度单位决算情况说明</w:t>
      </w:r>
    </w:p>
    <w:p w14:paraId="5EC1FF1B">
      <w:pPr>
        <w:pStyle w:val="11"/>
        <w:keepNext w:val="0"/>
        <w:keepLines w:val="0"/>
        <w:widowControl/>
        <w:suppressLineNumbers w:val="0"/>
        <w:spacing w:before="0" w:beforeAutospacing="0"/>
        <w:ind w:left="0"/>
        <w:jc w:val="left"/>
      </w:pPr>
      <w:r>
        <w:rPr>
          <w:shd w:val="clear" w:fill="FFFFFF"/>
        </w:rPr>
        <w:t> </w:t>
      </w:r>
    </w:p>
    <w:p w14:paraId="0B43EB0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一、收入支出决算总体情况说明</w:t>
      </w:r>
    </w:p>
    <w:p w14:paraId="293BFC86">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2022年度收、支总计1,204.30万元。与2021年相比，收、支总计各增加-1,307.82万元，增长-52.06%。</w:t>
      </w:r>
      <w:r>
        <w:rPr>
          <w:rFonts w:hint="eastAsia" w:ascii="仿宋_GB2312" w:hAnsi="仿宋_GB2312" w:eastAsia="仿宋_GB2312" w:cs="仿宋_GB2312"/>
          <w:sz w:val="32"/>
          <w:szCs w:val="32"/>
        </w:rPr>
        <w:t>主要变动原因是项目减少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shd w:val="clear" w:fill="FFFFFF"/>
        </w:rPr>
        <w:t> </w:t>
      </w:r>
    </w:p>
    <w:p w14:paraId="339F1D31">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二、收入决算情况说明</w:t>
      </w:r>
    </w:p>
    <w:p w14:paraId="65DCF330">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本年收入合计1,204.30万元，其中：一般公共预算财政拨款收入1,204.30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6B59EE88">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（注：数据来源于财决01表，仅罗列本部门涉及的收入。）</w:t>
      </w:r>
      <w:r>
        <w:rPr>
          <w:rFonts w:hint="eastAsia" w:ascii="仿宋_GB2312" w:hAnsi="仿宋_GB2312" w:eastAsia="仿宋_GB2312" w:cs="仿宋_GB2312"/>
          <w:sz w:val="32"/>
          <w:szCs w:val="32"/>
          <w:shd w:val="clear" w:fill="FFFFFF"/>
        </w:rPr>
        <w:t> </w:t>
      </w:r>
    </w:p>
    <w:p w14:paraId="6A114E9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三、支出决算情况说明</w:t>
      </w:r>
    </w:p>
    <w:p w14:paraId="5642CAD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2022年本年支出合计1,204.30万元，其中：基本支出355.02万元，占29.48%；项目支出849.28万元，占70.52%；上缴上级支出0.00万元，占0.00%；经营支出0.00万元，占经营支出0.00万元，占 0.00%；对附属单位补助支出0.00万元，占0.00%。</w:t>
      </w:r>
    </w:p>
    <w:p w14:paraId="38F9AFA8">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（注：数据来源于财决04表，仅罗列本部门涉及的支出。）</w:t>
      </w:r>
    </w:p>
    <w:p w14:paraId="09F76D60">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四、财政拨款收入支出决算总体情况说明</w:t>
      </w:r>
    </w:p>
    <w:p w14:paraId="65858DC8">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2022年财政拨款收、支总计1,204.30万元。与2021年相比，财政拨款收、支总计各增加/减少-1,307.82万元，增长-52.06%。</w:t>
      </w:r>
      <w:r>
        <w:rPr>
          <w:rFonts w:hint="eastAsia" w:ascii="仿宋_GB2312" w:hAnsi="仿宋_GB2312" w:eastAsia="仿宋_GB2312" w:cs="仿宋_GB2312"/>
          <w:sz w:val="32"/>
          <w:szCs w:val="32"/>
        </w:rPr>
        <w:t>主要变动原因是项目减少，与事业单位分开预决算。</w:t>
      </w:r>
      <w:r>
        <w:rPr>
          <w:rStyle w:val="14"/>
          <w:rFonts w:hint="eastAsia" w:ascii="仿宋_GB2312" w:hAnsi="仿宋_GB2312" w:eastAsia="仿宋_GB2312" w:cs="仿宋_GB2312"/>
          <w:sz w:val="32"/>
          <w:szCs w:val="32"/>
          <w:shd w:val="clear" w:fill="FFFFFF"/>
        </w:rPr>
        <w:t>（注：数据来源于财决01-1表）</w:t>
      </w:r>
    </w:p>
    <w:p w14:paraId="259EF17B">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五、</w:t>
      </w:r>
      <w:r>
        <w:rPr>
          <w:rStyle w:val="14"/>
          <w:rFonts w:hint="eastAsia" w:ascii="仿宋_GB2312" w:hAnsi="仿宋_GB2312" w:eastAsia="仿宋_GB2312" w:cs="仿宋_GB2312"/>
          <w:sz w:val="32"/>
          <w:szCs w:val="32"/>
          <w:shd w:val="clear" w:fill="FFFFFF"/>
        </w:rPr>
        <w:t>一</w:t>
      </w:r>
      <w:r>
        <w:rPr>
          <w:rFonts w:hint="eastAsia" w:ascii="仿宋_GB2312" w:hAnsi="仿宋_GB2312" w:eastAsia="仿宋_GB2312" w:cs="仿宋_GB2312"/>
          <w:sz w:val="32"/>
          <w:szCs w:val="32"/>
          <w:shd w:val="clear" w:fill="FFFFFF"/>
        </w:rPr>
        <w:t>般公共预算财政拨款支出决算情况说明</w:t>
      </w:r>
    </w:p>
    <w:p w14:paraId="291BD76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（一）一般公共预算财政拨款支出决算总体情况</w:t>
      </w:r>
    </w:p>
    <w:p w14:paraId="2637274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2022年一般公共预算财政拨款支出1,204.30万元，占本年支出合计的100.00%。与2021年相比，一般公共预算财政拨款支出增加-1,307.82万元，增长-52.06%。</w:t>
      </w:r>
      <w:r>
        <w:rPr>
          <w:rFonts w:hint="eastAsia" w:ascii="仿宋_GB2312" w:hAnsi="仿宋_GB2312" w:eastAsia="仿宋_GB2312" w:cs="仿宋_GB2312"/>
          <w:sz w:val="32"/>
          <w:szCs w:val="32"/>
        </w:rPr>
        <w:t>主要变动原因是项目减少，与事业单位分开预决算。</w:t>
      </w:r>
      <w:r>
        <w:rPr>
          <w:rFonts w:hint="eastAsia" w:ascii="仿宋_GB2312" w:hAnsi="仿宋_GB2312" w:eastAsia="仿宋_GB2312" w:cs="仿宋_GB2312"/>
          <w:sz w:val="32"/>
          <w:szCs w:val="32"/>
          <w:shd w:val="clear" w:fill="FFFFFF"/>
        </w:rPr>
        <w:t>  </w:t>
      </w:r>
    </w:p>
    <w:p w14:paraId="56B7A0B9">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（二）一般公共预算财政拨款支出决算结构情况</w:t>
      </w:r>
    </w:p>
    <w:p w14:paraId="450BCB50">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2022年一般公共预算财政拨款支出1,204.30万元，主要用于以下方面</w:t>
      </w:r>
      <w:r>
        <w:rPr>
          <w:rFonts w:hint="eastAsia" w:ascii="仿宋_GB2312" w:hAnsi="仿宋_GB2312" w:eastAsia="仿宋_GB2312" w:cs="仿宋_GB2312"/>
          <w:sz w:val="32"/>
          <w:szCs w:val="32"/>
          <w:shd w:val="clear" w:fill="FFFFFF"/>
          <w:lang w:eastAsia="zh-CN"/>
        </w:rPr>
        <w:t>：</w:t>
      </w:r>
      <w:r>
        <w:rPr>
          <w:rStyle w:val="14"/>
          <w:rFonts w:hint="eastAsia" w:ascii="仿宋_GB2312" w:hAnsi="仿宋_GB2312" w:eastAsia="仿宋_GB2312" w:cs="仿宋_GB2312"/>
          <w:sz w:val="32"/>
          <w:szCs w:val="32"/>
          <w:shd w:val="clear" w:fill="FFFFFF"/>
        </w:rPr>
        <w:t>一般公共服务（类）</w:t>
      </w:r>
      <w:r>
        <w:rPr>
          <w:rFonts w:hint="eastAsia" w:ascii="仿宋_GB2312" w:hAnsi="仿宋_GB2312" w:eastAsia="仿宋_GB2312" w:cs="仿宋_GB2312"/>
          <w:sz w:val="32"/>
          <w:szCs w:val="32"/>
          <w:shd w:val="clear" w:fill="FFFFFF"/>
        </w:rPr>
        <w:t>支出310.34万元，占25.77%；</w:t>
      </w:r>
      <w:r>
        <w:rPr>
          <w:rStyle w:val="14"/>
          <w:rFonts w:hint="eastAsia" w:ascii="仿宋_GB2312" w:hAnsi="仿宋_GB2312" w:eastAsia="仿宋_GB2312" w:cs="仿宋_GB2312"/>
          <w:sz w:val="32"/>
          <w:szCs w:val="32"/>
          <w:shd w:val="clear" w:fill="FFFFFF"/>
        </w:rPr>
        <w:t>社会保障和就业（类）</w:t>
      </w:r>
      <w:r>
        <w:rPr>
          <w:rFonts w:hint="eastAsia" w:ascii="仿宋_GB2312" w:hAnsi="仿宋_GB2312" w:eastAsia="仿宋_GB2312" w:cs="仿宋_GB2312"/>
          <w:sz w:val="32"/>
          <w:szCs w:val="32"/>
          <w:shd w:val="clear" w:fill="FFFFFF"/>
        </w:rPr>
        <w:t>支出46.70万元，占3.88%；</w:t>
      </w:r>
      <w:r>
        <w:rPr>
          <w:rStyle w:val="14"/>
          <w:rFonts w:hint="eastAsia" w:ascii="仿宋_GB2312" w:hAnsi="仿宋_GB2312" w:eastAsia="仿宋_GB2312" w:cs="仿宋_GB2312"/>
          <w:sz w:val="32"/>
          <w:szCs w:val="32"/>
          <w:shd w:val="clear" w:fill="FFFFFF"/>
        </w:rPr>
        <w:t>卫生健康支出</w:t>
      </w:r>
      <w:r>
        <w:rPr>
          <w:rFonts w:hint="eastAsia" w:ascii="仿宋_GB2312" w:hAnsi="仿宋_GB2312" w:eastAsia="仿宋_GB2312" w:cs="仿宋_GB2312"/>
          <w:sz w:val="32"/>
          <w:szCs w:val="32"/>
          <w:shd w:val="clear" w:fill="FFFFFF"/>
        </w:rPr>
        <w:t>17.40万元，占1.44%；住房保障支出22.57万元，占1.87%。</w:t>
      </w:r>
    </w:p>
    <w:p w14:paraId="1241F826">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（注：数据来源于财决01-1表，仅罗列本部门涉及的全部功能分类科目，至类级。）</w:t>
      </w:r>
    </w:p>
    <w:p w14:paraId="4DAB3C49">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（三）一般公共预算财政拨款支出决算具体情况</w:t>
      </w:r>
    </w:p>
    <w:p w14:paraId="2788A55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2022年一般公共预算支出决算数为1,204.30</w:t>
      </w:r>
      <w:r>
        <w:rPr>
          <w:rFonts w:hint="eastAsia" w:ascii="仿宋_GB2312" w:hAnsi="仿宋_GB2312" w:eastAsia="仿宋_GB2312" w:cs="仿宋_GB2312"/>
          <w:sz w:val="32"/>
          <w:szCs w:val="32"/>
          <w:shd w:val="clear" w:fill="FFFFFF"/>
        </w:rPr>
        <w:t>，</w:t>
      </w:r>
      <w:r>
        <w:rPr>
          <w:rStyle w:val="14"/>
          <w:rFonts w:hint="eastAsia" w:ascii="仿宋_GB2312" w:hAnsi="仿宋_GB2312" w:eastAsia="仿宋_GB2312" w:cs="仿宋_GB2312"/>
          <w:sz w:val="32"/>
          <w:szCs w:val="32"/>
          <w:shd w:val="clear" w:fill="FFFFFF"/>
        </w:rPr>
        <w:t>完成预算100.00%。其中：</w:t>
      </w:r>
    </w:p>
    <w:p w14:paraId="791AF42B">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1.一般公共服务</w:t>
      </w:r>
      <w:r>
        <w:rPr>
          <w:rStyle w:val="14"/>
          <w:rFonts w:hint="eastAsia" w:ascii="仿宋_GB2312" w:hAnsi="仿宋_GB2312" w:eastAsia="仿宋_GB2312" w:cs="仿宋_GB2312"/>
          <w:sz w:val="32"/>
          <w:szCs w:val="32"/>
          <w:shd w:val="clear" w:fill="FFFFFF"/>
          <w:lang w:eastAsia="zh-CN"/>
        </w:rPr>
        <w:t>：</w:t>
      </w:r>
      <w:r>
        <w:rPr>
          <w:rStyle w:val="14"/>
          <w:rFonts w:hint="eastAsia" w:ascii="仿宋_GB2312" w:hAnsi="仿宋_GB2312" w:eastAsia="仿宋_GB2312" w:cs="仿宋_GB2312"/>
          <w:sz w:val="32"/>
          <w:szCs w:val="32"/>
          <w:shd w:val="clear" w:fill="FFFFFF"/>
        </w:rPr>
        <w:t xml:space="preserve"> 支出决算为</w:t>
      </w:r>
      <w:r>
        <w:rPr>
          <w:rStyle w:val="14"/>
          <w:rFonts w:hint="eastAsia" w:ascii="仿宋_GB2312" w:hAnsi="仿宋_GB2312" w:eastAsia="仿宋_GB2312" w:cs="仿宋_GB2312"/>
          <w:sz w:val="32"/>
          <w:szCs w:val="32"/>
          <w:shd w:val="clear" w:fill="FFFFFF"/>
          <w:lang w:val="en-US" w:eastAsia="zh-CN"/>
        </w:rPr>
        <w:t>310.34</w:t>
      </w:r>
      <w:r>
        <w:rPr>
          <w:rStyle w:val="14"/>
          <w:rFonts w:hint="eastAsia" w:ascii="仿宋_GB2312" w:hAnsi="仿宋_GB2312" w:eastAsia="仿宋_GB2312" w:cs="仿宋_GB2312"/>
          <w:sz w:val="32"/>
          <w:szCs w:val="32"/>
          <w:shd w:val="clear" w:fill="FFFFFF"/>
        </w:rPr>
        <w:t>万元，完成预算</w:t>
      </w:r>
      <w:r>
        <w:rPr>
          <w:rStyle w:val="14"/>
          <w:rFonts w:hint="eastAsia" w:ascii="仿宋_GB2312" w:hAnsi="仿宋_GB2312" w:eastAsia="仿宋_GB2312" w:cs="仿宋_GB2312"/>
          <w:sz w:val="32"/>
          <w:szCs w:val="32"/>
          <w:shd w:val="clear" w:fill="FFFFFF"/>
          <w:lang w:val="en-US" w:eastAsia="zh-CN"/>
        </w:rPr>
        <w:t>100</w:t>
      </w:r>
      <w:r>
        <w:rPr>
          <w:rStyle w:val="14"/>
          <w:rFonts w:hint="eastAsia" w:ascii="仿宋_GB2312" w:hAnsi="仿宋_GB2312" w:eastAsia="仿宋_GB2312" w:cs="仿宋_GB2312"/>
          <w:sz w:val="32"/>
          <w:szCs w:val="32"/>
          <w:shd w:val="clear" w:fill="FFFFFF"/>
        </w:rPr>
        <w:t>%，决算数等于预算数。</w:t>
      </w:r>
    </w:p>
    <w:p w14:paraId="390D75B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lang w:val="en-US" w:eastAsia="zh-CN"/>
        </w:rPr>
        <w:t>2</w:t>
      </w:r>
      <w:r>
        <w:rPr>
          <w:rStyle w:val="14"/>
          <w:rFonts w:hint="eastAsia" w:ascii="仿宋_GB2312" w:hAnsi="仿宋_GB2312" w:eastAsia="仿宋_GB2312" w:cs="仿宋_GB2312"/>
          <w:sz w:val="32"/>
          <w:szCs w:val="32"/>
          <w:shd w:val="clear" w:fill="FFFFFF"/>
        </w:rPr>
        <w:t>.社会保障和就业</w:t>
      </w:r>
      <w:r>
        <w:rPr>
          <w:rStyle w:val="14"/>
          <w:rFonts w:hint="eastAsia" w:ascii="仿宋_GB2312" w:hAnsi="仿宋_GB2312" w:eastAsia="仿宋_GB2312" w:cs="仿宋_GB2312"/>
          <w:sz w:val="32"/>
          <w:szCs w:val="32"/>
          <w:shd w:val="clear" w:fill="FFFFFF"/>
          <w:lang w:eastAsia="zh-CN"/>
        </w:rPr>
        <w:t>：</w:t>
      </w:r>
      <w:r>
        <w:rPr>
          <w:rStyle w:val="14"/>
          <w:rFonts w:hint="eastAsia" w:ascii="仿宋_GB2312" w:hAnsi="仿宋_GB2312" w:eastAsia="仿宋_GB2312" w:cs="仿宋_GB2312"/>
          <w:sz w:val="32"/>
          <w:szCs w:val="32"/>
          <w:shd w:val="clear" w:fill="FFFFFF"/>
        </w:rPr>
        <w:t xml:space="preserve"> 支出决算为</w:t>
      </w:r>
      <w:r>
        <w:rPr>
          <w:rStyle w:val="14"/>
          <w:rFonts w:hint="eastAsia" w:ascii="仿宋_GB2312" w:hAnsi="仿宋_GB2312" w:eastAsia="仿宋_GB2312" w:cs="仿宋_GB2312"/>
          <w:sz w:val="32"/>
          <w:szCs w:val="32"/>
          <w:shd w:val="clear" w:fill="FFFFFF"/>
          <w:lang w:val="en-US" w:eastAsia="zh-CN"/>
        </w:rPr>
        <w:t>46.71</w:t>
      </w:r>
      <w:r>
        <w:rPr>
          <w:rStyle w:val="14"/>
          <w:rFonts w:hint="eastAsia" w:ascii="仿宋_GB2312" w:hAnsi="仿宋_GB2312" w:eastAsia="仿宋_GB2312" w:cs="仿宋_GB2312"/>
          <w:sz w:val="32"/>
          <w:szCs w:val="32"/>
          <w:shd w:val="clear" w:fill="FFFFFF"/>
        </w:rPr>
        <w:t>万元，完成预算</w:t>
      </w:r>
      <w:r>
        <w:rPr>
          <w:rStyle w:val="14"/>
          <w:rFonts w:hint="eastAsia" w:ascii="仿宋_GB2312" w:hAnsi="仿宋_GB2312" w:eastAsia="仿宋_GB2312" w:cs="仿宋_GB2312"/>
          <w:sz w:val="32"/>
          <w:szCs w:val="32"/>
          <w:shd w:val="clear" w:fill="FFFFFF"/>
          <w:lang w:val="en-US" w:eastAsia="zh-CN"/>
        </w:rPr>
        <w:t>100</w:t>
      </w:r>
      <w:r>
        <w:rPr>
          <w:rStyle w:val="14"/>
          <w:rFonts w:hint="eastAsia" w:ascii="仿宋_GB2312" w:hAnsi="仿宋_GB2312" w:eastAsia="仿宋_GB2312" w:cs="仿宋_GB2312"/>
          <w:sz w:val="32"/>
          <w:szCs w:val="32"/>
          <w:shd w:val="clear" w:fill="FFFFFF"/>
        </w:rPr>
        <w:t>%，决算数等于预算数。</w:t>
      </w:r>
    </w:p>
    <w:p w14:paraId="7B01E0C1">
      <w:pPr>
        <w:pStyle w:val="11"/>
        <w:keepNext w:val="0"/>
        <w:keepLines w:val="0"/>
        <w:widowControl/>
        <w:suppressLineNumbers w:val="0"/>
        <w:spacing w:before="0" w:beforeAutospacing="0"/>
        <w:ind w:left="0"/>
        <w:jc w:val="left"/>
        <w:rPr>
          <w:rStyle w:val="14"/>
          <w:rFonts w:hint="eastAsia" w:ascii="仿宋_GB2312" w:hAnsi="仿宋_GB2312" w:eastAsia="仿宋_GB2312" w:cs="仿宋_GB2312"/>
          <w:sz w:val="32"/>
          <w:szCs w:val="32"/>
          <w:shd w:val="clear" w:fill="FFFFFF"/>
        </w:rPr>
      </w:pPr>
      <w:r>
        <w:rPr>
          <w:rStyle w:val="14"/>
          <w:rFonts w:hint="eastAsia" w:ascii="仿宋_GB2312" w:hAnsi="仿宋_GB2312" w:eastAsia="仿宋_GB2312" w:cs="仿宋_GB2312"/>
          <w:sz w:val="32"/>
          <w:szCs w:val="32"/>
          <w:shd w:val="clear" w:fill="FFFFFF"/>
          <w:lang w:val="en-US" w:eastAsia="zh-CN"/>
        </w:rPr>
        <w:t>3</w:t>
      </w:r>
      <w:r>
        <w:rPr>
          <w:rStyle w:val="14"/>
          <w:rFonts w:hint="eastAsia" w:ascii="仿宋_GB2312" w:hAnsi="仿宋_GB2312" w:eastAsia="仿宋_GB2312" w:cs="仿宋_GB2312"/>
          <w:sz w:val="32"/>
          <w:szCs w:val="32"/>
          <w:shd w:val="clear" w:fill="FFFFFF"/>
        </w:rPr>
        <w:t>.卫生健康</w:t>
      </w:r>
      <w:r>
        <w:rPr>
          <w:rStyle w:val="14"/>
          <w:rFonts w:hint="eastAsia" w:ascii="仿宋_GB2312" w:hAnsi="仿宋_GB2312" w:eastAsia="仿宋_GB2312" w:cs="仿宋_GB2312"/>
          <w:sz w:val="32"/>
          <w:szCs w:val="32"/>
          <w:shd w:val="clear" w:fill="FFFFFF"/>
          <w:lang w:eastAsia="zh-CN"/>
        </w:rPr>
        <w:t>：</w:t>
      </w:r>
      <w:r>
        <w:rPr>
          <w:rStyle w:val="14"/>
          <w:rFonts w:hint="eastAsia" w:ascii="仿宋_GB2312" w:hAnsi="仿宋_GB2312" w:eastAsia="仿宋_GB2312" w:cs="仿宋_GB2312"/>
          <w:sz w:val="32"/>
          <w:szCs w:val="32"/>
          <w:shd w:val="clear" w:fill="FFFFFF"/>
        </w:rPr>
        <w:t>支出决算为</w:t>
      </w:r>
      <w:r>
        <w:rPr>
          <w:rStyle w:val="14"/>
          <w:rFonts w:hint="eastAsia" w:ascii="仿宋_GB2312" w:hAnsi="仿宋_GB2312" w:eastAsia="仿宋_GB2312" w:cs="仿宋_GB2312"/>
          <w:sz w:val="32"/>
          <w:szCs w:val="32"/>
          <w:shd w:val="clear" w:fill="FFFFFF"/>
          <w:lang w:val="en-US" w:eastAsia="zh-CN"/>
        </w:rPr>
        <w:t>17.4</w:t>
      </w:r>
      <w:r>
        <w:rPr>
          <w:rStyle w:val="14"/>
          <w:rFonts w:hint="eastAsia" w:ascii="仿宋_GB2312" w:hAnsi="仿宋_GB2312" w:eastAsia="仿宋_GB2312" w:cs="仿宋_GB2312"/>
          <w:sz w:val="32"/>
          <w:szCs w:val="32"/>
          <w:shd w:val="clear" w:fill="FFFFFF"/>
        </w:rPr>
        <w:t>万元，完成预算</w:t>
      </w:r>
      <w:r>
        <w:rPr>
          <w:rStyle w:val="14"/>
          <w:rFonts w:hint="eastAsia" w:ascii="仿宋_GB2312" w:hAnsi="仿宋_GB2312" w:eastAsia="仿宋_GB2312" w:cs="仿宋_GB2312"/>
          <w:sz w:val="32"/>
          <w:szCs w:val="32"/>
          <w:shd w:val="clear" w:fill="FFFFFF"/>
          <w:lang w:val="en-US" w:eastAsia="zh-CN"/>
        </w:rPr>
        <w:t>100</w:t>
      </w:r>
      <w:r>
        <w:rPr>
          <w:rStyle w:val="14"/>
          <w:rFonts w:hint="eastAsia" w:ascii="仿宋_GB2312" w:hAnsi="仿宋_GB2312" w:eastAsia="仿宋_GB2312" w:cs="仿宋_GB2312"/>
          <w:sz w:val="32"/>
          <w:szCs w:val="32"/>
          <w:shd w:val="clear" w:fill="FFFFFF"/>
        </w:rPr>
        <w:t>%，决算数等于预算数。</w:t>
      </w:r>
    </w:p>
    <w:p w14:paraId="6589573A">
      <w:pPr>
        <w:pStyle w:val="11"/>
        <w:keepNext w:val="0"/>
        <w:keepLines w:val="0"/>
        <w:widowControl/>
        <w:suppressLineNumbers w:val="0"/>
        <w:spacing w:before="0" w:beforeAutospacing="0"/>
        <w:ind w:left="0"/>
        <w:jc w:val="left"/>
        <w:rPr>
          <w:rStyle w:val="14"/>
          <w:rFonts w:hint="eastAsia" w:ascii="仿宋_GB2312" w:hAnsi="仿宋_GB2312" w:eastAsia="仿宋_GB2312" w:cs="仿宋_GB2312"/>
          <w:sz w:val="32"/>
          <w:szCs w:val="32"/>
          <w:shd w:val="clear" w:fill="FFFFFF"/>
        </w:rPr>
      </w:pPr>
      <w:r>
        <w:rPr>
          <w:rStyle w:val="14"/>
          <w:rFonts w:hint="eastAsia" w:ascii="仿宋_GB2312" w:hAnsi="仿宋_GB2312" w:eastAsia="仿宋_GB2312" w:cs="仿宋_GB2312"/>
          <w:sz w:val="32"/>
          <w:szCs w:val="32"/>
          <w:shd w:val="clear" w:fill="FFFFFF"/>
          <w:lang w:val="en-US" w:eastAsia="zh-CN"/>
        </w:rPr>
        <w:t>4.农林水支出：</w:t>
      </w:r>
      <w:r>
        <w:rPr>
          <w:rStyle w:val="14"/>
          <w:rFonts w:hint="eastAsia" w:ascii="仿宋_GB2312" w:hAnsi="仿宋_GB2312" w:eastAsia="仿宋_GB2312" w:cs="仿宋_GB2312"/>
          <w:sz w:val="32"/>
          <w:szCs w:val="32"/>
          <w:shd w:val="clear" w:fill="FFFFFF"/>
        </w:rPr>
        <w:t>支出决算为</w:t>
      </w:r>
      <w:r>
        <w:rPr>
          <w:rStyle w:val="14"/>
          <w:rFonts w:hint="eastAsia" w:ascii="仿宋_GB2312" w:hAnsi="仿宋_GB2312" w:eastAsia="仿宋_GB2312" w:cs="仿宋_GB2312"/>
          <w:sz w:val="32"/>
          <w:szCs w:val="32"/>
          <w:shd w:val="clear" w:fill="FFFFFF"/>
          <w:lang w:val="en-US" w:eastAsia="zh-CN"/>
        </w:rPr>
        <w:t>797.28</w:t>
      </w:r>
      <w:r>
        <w:rPr>
          <w:rStyle w:val="14"/>
          <w:rFonts w:hint="eastAsia" w:ascii="仿宋_GB2312" w:hAnsi="仿宋_GB2312" w:eastAsia="仿宋_GB2312" w:cs="仿宋_GB2312"/>
          <w:sz w:val="32"/>
          <w:szCs w:val="32"/>
          <w:shd w:val="clear" w:fill="FFFFFF"/>
        </w:rPr>
        <w:t>万元，完成预算</w:t>
      </w:r>
      <w:r>
        <w:rPr>
          <w:rStyle w:val="14"/>
          <w:rFonts w:hint="eastAsia" w:ascii="仿宋_GB2312" w:hAnsi="仿宋_GB2312" w:eastAsia="仿宋_GB2312" w:cs="仿宋_GB2312"/>
          <w:sz w:val="32"/>
          <w:szCs w:val="32"/>
          <w:shd w:val="clear" w:fill="FFFFFF"/>
          <w:lang w:val="en-US" w:eastAsia="zh-CN"/>
        </w:rPr>
        <w:t>100</w:t>
      </w:r>
      <w:r>
        <w:rPr>
          <w:rStyle w:val="14"/>
          <w:rFonts w:hint="eastAsia" w:ascii="仿宋_GB2312" w:hAnsi="仿宋_GB2312" w:eastAsia="仿宋_GB2312" w:cs="仿宋_GB2312"/>
          <w:sz w:val="32"/>
          <w:szCs w:val="32"/>
          <w:shd w:val="clear" w:fill="FFFFFF"/>
        </w:rPr>
        <w:t>%，决算等于预算数。</w:t>
      </w:r>
    </w:p>
    <w:p w14:paraId="322D515C">
      <w:pPr>
        <w:pStyle w:val="11"/>
        <w:keepNext w:val="0"/>
        <w:keepLines w:val="0"/>
        <w:widowControl/>
        <w:suppressLineNumbers w:val="0"/>
        <w:spacing w:before="0" w:beforeAutospacing="0"/>
        <w:ind w:left="0"/>
        <w:jc w:val="left"/>
        <w:rPr>
          <w:rStyle w:val="14"/>
          <w:rFonts w:hint="eastAsia" w:ascii="仿宋_GB2312" w:hAnsi="仿宋_GB2312" w:eastAsia="仿宋_GB2312" w:cs="仿宋_GB2312"/>
          <w:sz w:val="32"/>
          <w:szCs w:val="32"/>
          <w:shd w:val="clear" w:fill="FFFFFF"/>
        </w:rPr>
      </w:pPr>
      <w:r>
        <w:rPr>
          <w:rStyle w:val="14"/>
          <w:rFonts w:hint="eastAsia" w:ascii="仿宋_GB2312" w:hAnsi="仿宋_GB2312" w:eastAsia="仿宋_GB2312" w:cs="仿宋_GB2312"/>
          <w:sz w:val="32"/>
          <w:szCs w:val="32"/>
          <w:shd w:val="clear" w:fill="FFFFFF"/>
          <w:lang w:val="en-US" w:eastAsia="zh-CN"/>
        </w:rPr>
        <w:t>5.住房保障支出：</w:t>
      </w:r>
      <w:r>
        <w:rPr>
          <w:rStyle w:val="14"/>
          <w:rFonts w:hint="eastAsia" w:ascii="仿宋_GB2312" w:hAnsi="仿宋_GB2312" w:eastAsia="仿宋_GB2312" w:cs="仿宋_GB2312"/>
          <w:sz w:val="32"/>
          <w:szCs w:val="32"/>
          <w:shd w:val="clear" w:fill="FFFFFF"/>
        </w:rPr>
        <w:t>支出决算为</w:t>
      </w:r>
      <w:r>
        <w:rPr>
          <w:rStyle w:val="14"/>
          <w:rFonts w:hint="eastAsia" w:ascii="仿宋_GB2312" w:hAnsi="仿宋_GB2312" w:eastAsia="仿宋_GB2312" w:cs="仿宋_GB2312"/>
          <w:sz w:val="32"/>
          <w:szCs w:val="32"/>
          <w:shd w:val="clear" w:fill="FFFFFF"/>
          <w:lang w:val="en-US" w:eastAsia="zh-CN"/>
        </w:rPr>
        <w:t>22.57</w:t>
      </w:r>
      <w:r>
        <w:rPr>
          <w:rStyle w:val="14"/>
          <w:rFonts w:hint="eastAsia" w:ascii="仿宋_GB2312" w:hAnsi="仿宋_GB2312" w:eastAsia="仿宋_GB2312" w:cs="仿宋_GB2312"/>
          <w:sz w:val="32"/>
          <w:szCs w:val="32"/>
          <w:shd w:val="clear" w:fill="FFFFFF"/>
        </w:rPr>
        <w:t>万元，完成预算</w:t>
      </w:r>
      <w:r>
        <w:rPr>
          <w:rStyle w:val="14"/>
          <w:rFonts w:hint="eastAsia" w:ascii="仿宋_GB2312" w:hAnsi="仿宋_GB2312" w:eastAsia="仿宋_GB2312" w:cs="仿宋_GB2312"/>
          <w:sz w:val="32"/>
          <w:szCs w:val="32"/>
          <w:shd w:val="clear" w:fill="FFFFFF"/>
          <w:lang w:val="en-US" w:eastAsia="zh-CN"/>
        </w:rPr>
        <w:t>100</w:t>
      </w:r>
      <w:r>
        <w:rPr>
          <w:rStyle w:val="14"/>
          <w:rFonts w:hint="eastAsia" w:ascii="仿宋_GB2312" w:hAnsi="仿宋_GB2312" w:eastAsia="仿宋_GB2312" w:cs="仿宋_GB2312"/>
          <w:sz w:val="32"/>
          <w:szCs w:val="32"/>
          <w:shd w:val="clear" w:fill="FFFFFF"/>
        </w:rPr>
        <w:t>%，决算等于预算数。</w:t>
      </w:r>
    </w:p>
    <w:p w14:paraId="119C1450">
      <w:pPr>
        <w:pStyle w:val="11"/>
        <w:keepNext w:val="0"/>
        <w:keepLines w:val="0"/>
        <w:widowControl/>
        <w:suppressLineNumbers w:val="0"/>
        <w:spacing w:before="0" w:beforeAutospacing="0"/>
        <w:ind w:left="0"/>
        <w:jc w:val="left"/>
        <w:rPr>
          <w:rStyle w:val="14"/>
          <w:rFonts w:hint="eastAsia" w:ascii="仿宋_GB2312" w:hAnsi="仿宋_GB2312" w:eastAsia="仿宋_GB2312" w:cs="仿宋_GB2312"/>
          <w:sz w:val="32"/>
          <w:szCs w:val="32"/>
          <w:shd w:val="clear" w:fill="FFFFFF"/>
        </w:rPr>
      </w:pPr>
      <w:r>
        <w:rPr>
          <w:rStyle w:val="14"/>
          <w:rFonts w:hint="eastAsia" w:ascii="仿宋_GB2312" w:hAnsi="仿宋_GB2312" w:eastAsia="仿宋_GB2312" w:cs="仿宋_GB2312"/>
          <w:sz w:val="32"/>
          <w:szCs w:val="32"/>
          <w:shd w:val="clear" w:fill="FFFFFF"/>
          <w:lang w:val="en-US" w:eastAsia="zh-CN"/>
        </w:rPr>
        <w:t>6.粮油物资储备支出：</w:t>
      </w:r>
      <w:r>
        <w:rPr>
          <w:rStyle w:val="14"/>
          <w:rFonts w:hint="eastAsia" w:ascii="仿宋_GB2312" w:hAnsi="仿宋_GB2312" w:eastAsia="仿宋_GB2312" w:cs="仿宋_GB2312"/>
          <w:sz w:val="32"/>
          <w:szCs w:val="32"/>
          <w:shd w:val="clear" w:fill="FFFFFF"/>
        </w:rPr>
        <w:t>支出决算为</w:t>
      </w:r>
      <w:r>
        <w:rPr>
          <w:rStyle w:val="14"/>
          <w:rFonts w:hint="eastAsia" w:ascii="仿宋_GB2312" w:hAnsi="仿宋_GB2312" w:eastAsia="仿宋_GB2312" w:cs="仿宋_GB2312"/>
          <w:sz w:val="32"/>
          <w:szCs w:val="32"/>
          <w:shd w:val="clear" w:fill="FFFFFF"/>
          <w:lang w:val="en-US" w:eastAsia="zh-CN"/>
        </w:rPr>
        <w:t>10</w:t>
      </w:r>
      <w:r>
        <w:rPr>
          <w:rStyle w:val="14"/>
          <w:rFonts w:hint="eastAsia" w:ascii="仿宋_GB2312" w:hAnsi="仿宋_GB2312" w:eastAsia="仿宋_GB2312" w:cs="仿宋_GB2312"/>
          <w:sz w:val="32"/>
          <w:szCs w:val="32"/>
          <w:shd w:val="clear" w:fill="FFFFFF"/>
        </w:rPr>
        <w:t>万元，完成预算</w:t>
      </w:r>
      <w:r>
        <w:rPr>
          <w:rStyle w:val="14"/>
          <w:rFonts w:hint="eastAsia" w:ascii="仿宋_GB2312" w:hAnsi="仿宋_GB2312" w:eastAsia="仿宋_GB2312" w:cs="仿宋_GB2312"/>
          <w:sz w:val="32"/>
          <w:szCs w:val="32"/>
          <w:shd w:val="clear" w:fill="FFFFFF"/>
          <w:lang w:val="en-US" w:eastAsia="zh-CN"/>
        </w:rPr>
        <w:t>100</w:t>
      </w:r>
      <w:r>
        <w:rPr>
          <w:rStyle w:val="14"/>
          <w:rFonts w:hint="eastAsia" w:ascii="仿宋_GB2312" w:hAnsi="仿宋_GB2312" w:eastAsia="仿宋_GB2312" w:cs="仿宋_GB2312"/>
          <w:sz w:val="32"/>
          <w:szCs w:val="32"/>
          <w:shd w:val="clear" w:fill="FFFFFF"/>
        </w:rPr>
        <w:t>%，决算等于预算数。</w:t>
      </w:r>
    </w:p>
    <w:p w14:paraId="45AE6055">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（注：数据来源于财决01-1表和财决08表，仅罗列本部门涉及的全部功能分类科目，至项级。上述“预算”口径为全年预算数。增减变动原因为决算数和全年预算数比较，与预算数持平可以不写原因。）</w:t>
      </w:r>
    </w:p>
    <w:p w14:paraId="23C934D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六</w:t>
      </w:r>
      <w:r>
        <w:rPr>
          <w:rStyle w:val="14"/>
          <w:rFonts w:hint="eastAsia" w:ascii="仿宋_GB2312" w:hAnsi="仿宋_GB2312" w:eastAsia="仿宋_GB2312" w:cs="仿宋_GB2312"/>
          <w:sz w:val="32"/>
          <w:szCs w:val="32"/>
          <w:shd w:val="clear" w:fill="FFFFFF"/>
        </w:rPr>
        <w:t>、一</w:t>
      </w:r>
      <w:r>
        <w:rPr>
          <w:rFonts w:hint="eastAsia" w:ascii="仿宋_GB2312" w:hAnsi="仿宋_GB2312" w:eastAsia="仿宋_GB2312" w:cs="仿宋_GB2312"/>
          <w:sz w:val="32"/>
          <w:szCs w:val="32"/>
          <w:shd w:val="clear" w:fill="FFFFFF"/>
        </w:rPr>
        <w:t>般公共预算财政拨款基本支出决算情况说明   </w:t>
      </w:r>
    </w:p>
    <w:p w14:paraId="0F6F343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2022年一般公共预算财政拨款基本支出355.02万元，其中：</w:t>
      </w:r>
    </w:p>
    <w:p w14:paraId="6884F13C">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人员经费340.56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2DDF83A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公用经费14.46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C10B64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（注：数据来源于财决07表和财决08-1表，仅罗列本部门实际支出涉及的经济分类科目。）</w:t>
      </w:r>
      <w:r>
        <w:rPr>
          <w:rFonts w:hint="eastAsia" w:ascii="仿宋_GB2312" w:hAnsi="仿宋_GB2312" w:eastAsia="仿宋_GB2312" w:cs="仿宋_GB2312"/>
          <w:sz w:val="32"/>
          <w:szCs w:val="32"/>
          <w:shd w:val="clear" w:fill="FFFFFF"/>
        </w:rPr>
        <w:t> </w:t>
      </w:r>
    </w:p>
    <w:p w14:paraId="21B0E4EC">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七、“三公”经费财政拨款支出决算情况说明</w:t>
      </w:r>
    </w:p>
    <w:p w14:paraId="5B9D4625">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（一）“三公”经费财政拨款支出决算总体情况说明</w:t>
      </w:r>
    </w:p>
    <w:p w14:paraId="4320C1B7">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2022年“三公”经费财政拨款支出决算为7.28万元，完成预算100.00%，决算数小于预算数（或与预算数持平）的主要原因是……。</w:t>
      </w:r>
    </w:p>
    <w:p w14:paraId="41DE583C">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（注：上述“预算”口径为全年预算数，包括一般公共预算和政府性基金预算财政拨款支出决算情况。）</w:t>
      </w:r>
    </w:p>
    <w:p w14:paraId="7622DB01">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（二）“三公”经费财政拨款支出决算具体情况说明</w:t>
      </w:r>
    </w:p>
    <w:p w14:paraId="3FFA13D4">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lang w:eastAsia="zh-CN"/>
        </w:rPr>
      </w:pPr>
      <w:r>
        <w:rPr>
          <w:rStyle w:val="14"/>
          <w:rFonts w:hint="eastAsia" w:ascii="仿宋_GB2312" w:hAnsi="仿宋_GB2312" w:eastAsia="仿宋_GB2312" w:cs="仿宋_GB2312"/>
          <w:sz w:val="32"/>
          <w:szCs w:val="32"/>
          <w:shd w:val="clear" w:fill="FFFFFF"/>
        </w:rPr>
        <w:t>1.因公出国（境）经费支出</w:t>
      </w:r>
      <w:r>
        <w:rPr>
          <w:rFonts w:hint="eastAsia" w:ascii="仿宋_GB2312" w:hAnsi="仿宋_GB2312" w:eastAsia="仿宋_GB2312" w:cs="仿宋_GB2312"/>
          <w:sz w:val="32"/>
          <w:szCs w:val="32"/>
          <w:shd w:val="clear" w:fill="FFFFFF"/>
        </w:rPr>
        <w:t>0.00万元</w:t>
      </w:r>
      <w:r>
        <w:rPr>
          <w:rFonts w:hint="eastAsia" w:ascii="仿宋_GB2312" w:hAnsi="仿宋_GB2312" w:eastAsia="仿宋_GB2312" w:cs="仿宋_GB2312"/>
          <w:sz w:val="32"/>
          <w:szCs w:val="32"/>
          <w:shd w:val="clear" w:fill="FFFFFF"/>
          <w:lang w:eastAsia="zh-CN"/>
        </w:rPr>
        <w:t>。</w:t>
      </w:r>
    </w:p>
    <w:p w14:paraId="69A05115">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2.公务用车购置及运行维护费支出</w:t>
      </w:r>
      <w:r>
        <w:rPr>
          <w:rFonts w:hint="eastAsia" w:ascii="仿宋_GB2312" w:hAnsi="仿宋_GB2312" w:eastAsia="仿宋_GB2312" w:cs="仿宋_GB2312"/>
          <w:sz w:val="32"/>
          <w:szCs w:val="32"/>
          <w:shd w:val="clear" w:fill="FFFFFF"/>
        </w:rPr>
        <w:t>7.04万元</w:t>
      </w:r>
      <w:r>
        <w:rPr>
          <w:rFonts w:hint="eastAsia" w:ascii="仿宋_GB2312" w:hAnsi="仿宋_GB2312" w:eastAsia="仿宋_GB2312" w:cs="仿宋_GB2312"/>
          <w:sz w:val="32"/>
          <w:szCs w:val="32"/>
          <w:shd w:val="clear" w:fill="FFFFFF"/>
          <w:lang w:eastAsia="zh-CN"/>
        </w:rPr>
        <w:t>，</w:t>
      </w:r>
      <w:r>
        <w:rPr>
          <w:rStyle w:val="14"/>
          <w:rFonts w:hint="eastAsia" w:ascii="仿宋_GB2312" w:hAnsi="仿宋_GB2312" w:eastAsia="仿宋_GB2312" w:cs="仿宋_GB2312"/>
          <w:sz w:val="32"/>
          <w:szCs w:val="32"/>
          <w:shd w:val="clear" w:fill="FFFFFF"/>
        </w:rPr>
        <w:t>完成预算100.00%。</w:t>
      </w:r>
      <w:r>
        <w:rPr>
          <w:rFonts w:hint="eastAsia" w:ascii="仿宋_GB2312" w:hAnsi="仿宋_GB2312" w:eastAsia="仿宋_GB2312" w:cs="仿宋_GB2312"/>
          <w:sz w:val="32"/>
          <w:szCs w:val="32"/>
          <w:shd w:val="clear" w:fill="FFFFFF"/>
        </w:rPr>
        <w:t>公务用车购置及运行维护费支出决算比2021年增加-1.68万元，增长-19.25%。截至2021年12月底，单位共有公务用车2辆</w:t>
      </w:r>
      <w:r>
        <w:rPr>
          <w:rFonts w:hint="eastAsia" w:ascii="仿宋_GB2312" w:hAnsi="仿宋_GB2312" w:eastAsia="仿宋_GB2312" w:cs="仿宋_GB2312"/>
          <w:sz w:val="32"/>
          <w:szCs w:val="32"/>
          <w:shd w:val="clear" w:fill="FFFFFF"/>
          <w:lang w:eastAsia="zh-CN"/>
        </w:rPr>
        <w:t>。</w:t>
      </w:r>
      <w:r>
        <w:rPr>
          <w:rStyle w:val="14"/>
          <w:rFonts w:hint="eastAsia" w:ascii="仿宋_GB2312" w:hAnsi="仿宋_GB2312" w:eastAsia="仿宋_GB2312" w:cs="仿宋_GB2312"/>
          <w:sz w:val="32"/>
          <w:szCs w:val="32"/>
          <w:shd w:val="clear" w:fill="FFFFFF"/>
        </w:rPr>
        <w:t>公务用车运行维护费支出</w:t>
      </w:r>
      <w:r>
        <w:rPr>
          <w:rFonts w:hint="eastAsia" w:ascii="仿宋_GB2312" w:hAnsi="仿宋_GB2312" w:eastAsia="仿宋_GB2312" w:cs="仿宋_GB2312"/>
          <w:sz w:val="32"/>
          <w:szCs w:val="32"/>
          <w:shd w:val="clear" w:fill="FFFFFF"/>
        </w:rPr>
        <w:t>7.04万元。主要用于…（具体工作）等所需的公务用车燃料费、维修费、过路过桥费、保险费等支出。</w:t>
      </w:r>
    </w:p>
    <w:p w14:paraId="51243DA2">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3.公务接待费支出</w:t>
      </w:r>
      <w:r>
        <w:rPr>
          <w:rFonts w:hint="eastAsia" w:ascii="仿宋_GB2312" w:hAnsi="仿宋_GB2312" w:eastAsia="仿宋_GB2312" w:cs="仿宋_GB2312"/>
          <w:sz w:val="32"/>
          <w:szCs w:val="32"/>
          <w:shd w:val="clear" w:fill="FFFFFF"/>
        </w:rPr>
        <w:t>0.24万元，</w:t>
      </w:r>
      <w:r>
        <w:rPr>
          <w:rStyle w:val="14"/>
          <w:rFonts w:hint="eastAsia" w:ascii="仿宋_GB2312" w:hAnsi="仿宋_GB2312" w:eastAsia="仿宋_GB2312" w:cs="仿宋_GB2312"/>
          <w:sz w:val="32"/>
          <w:szCs w:val="32"/>
          <w:shd w:val="clear" w:fill="FFFFFF"/>
        </w:rPr>
        <w:t>完成预算100%。</w:t>
      </w:r>
      <w:r>
        <w:rPr>
          <w:rFonts w:hint="eastAsia" w:ascii="仿宋_GB2312" w:hAnsi="仿宋_GB2312" w:eastAsia="仿宋_GB2312" w:cs="仿宋_GB2312"/>
          <w:sz w:val="32"/>
          <w:szCs w:val="32"/>
          <w:shd w:val="clear" w:fill="FFFFFF"/>
        </w:rPr>
        <w:t>公务接待费支出决算比2021年增加-0.08万元，增长-25.00%。</w:t>
      </w:r>
      <w:r>
        <w:rPr>
          <w:rStyle w:val="14"/>
          <w:rFonts w:hint="eastAsia" w:ascii="仿宋_GB2312" w:hAnsi="仿宋_GB2312" w:eastAsia="仿宋_GB2312" w:cs="仿宋_GB2312"/>
          <w:sz w:val="32"/>
          <w:szCs w:val="32"/>
          <w:shd w:val="clear" w:fill="FFFFFF"/>
        </w:rPr>
        <w:t>国内公务接待支出</w:t>
      </w:r>
      <w:r>
        <w:rPr>
          <w:rFonts w:hint="eastAsia" w:ascii="仿宋_GB2312" w:hAnsi="仿宋_GB2312" w:eastAsia="仿宋_GB2312" w:cs="仿宋_GB2312"/>
          <w:sz w:val="32"/>
          <w:szCs w:val="32"/>
          <w:shd w:val="clear" w:fill="FFFFFF"/>
        </w:rPr>
        <w:t>0.24万元，主要用于执行公务、开展业务活动开支的交通费、住宿费、用餐费等。国内公务接待2批次，18人次（不包括陪同人员），共计支出0.24万元。</w:t>
      </w:r>
      <w:r>
        <w:rPr>
          <w:rStyle w:val="14"/>
          <w:rFonts w:hint="eastAsia" w:ascii="仿宋_GB2312" w:hAnsi="仿宋_GB2312" w:eastAsia="仿宋_GB2312" w:cs="仿宋_GB2312"/>
          <w:sz w:val="32"/>
          <w:szCs w:val="32"/>
          <w:shd w:val="clear" w:fill="FFFFFF"/>
        </w:rPr>
        <w:t>外事接待支出</w:t>
      </w:r>
      <w:r>
        <w:rPr>
          <w:rFonts w:hint="eastAsia" w:ascii="仿宋_GB2312" w:hAnsi="仿宋_GB2312" w:eastAsia="仿宋_GB2312" w:cs="仿宋_GB2312"/>
          <w:sz w:val="32"/>
          <w:szCs w:val="32"/>
          <w:shd w:val="clear" w:fill="FFFFFF"/>
        </w:rPr>
        <w:t>0.00万元</w:t>
      </w:r>
      <w:r>
        <w:rPr>
          <w:rFonts w:hint="eastAsia" w:ascii="仿宋_GB2312" w:hAnsi="仿宋_GB2312" w:eastAsia="仿宋_GB2312" w:cs="仿宋_GB2312"/>
          <w:sz w:val="32"/>
          <w:szCs w:val="32"/>
          <w:shd w:val="clear" w:fill="FFFFFF"/>
          <w:lang w:eastAsia="zh-CN"/>
        </w:rPr>
        <w:t>。</w:t>
      </w:r>
      <w:r>
        <w:rPr>
          <w:rFonts w:hint="eastAsia" w:ascii="仿宋_GB2312" w:hAnsi="仿宋_GB2312" w:eastAsia="仿宋_GB2312" w:cs="仿宋_GB2312"/>
          <w:sz w:val="32"/>
          <w:szCs w:val="32"/>
          <w:shd w:val="clear" w:fill="FFFFFF"/>
        </w:rPr>
        <w:t>八、政府性基金预算支出决算情况说明2022年政府性基金预算财政拨款支出0.00万元。</w:t>
      </w:r>
    </w:p>
    <w:p w14:paraId="7DBAF4F8">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九、国有资本经营预算支出决算情况说明</w:t>
      </w:r>
    </w:p>
    <w:p w14:paraId="2EBF6F7B">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2022年国有资本经营预算财政拨款支出0.00万元。 </w:t>
      </w:r>
    </w:p>
    <w:p w14:paraId="1AEB514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十、其他重要事项的情况说明</w:t>
      </w:r>
    </w:p>
    <w:p w14:paraId="1D1F97EA">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（一）机关运行经费支出情况</w:t>
      </w:r>
    </w:p>
    <w:p w14:paraId="185D2A2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2022年，阿坝州松潘县发展和改革局机关运行经费支出14.46万元，比2021年增加-43.72万元，增长-75.15%（或与2021年决算数持平）。</w:t>
      </w:r>
      <w:r>
        <w:rPr>
          <w:rFonts w:hint="eastAsia" w:ascii="仿宋_GB2312" w:hAnsi="仿宋_GB2312" w:eastAsia="仿宋_GB2312" w:cs="仿宋_GB2312"/>
          <w:sz w:val="32"/>
          <w:szCs w:val="32"/>
        </w:rPr>
        <w:t>主要变动原因是项目减少，与事业单位分开预决算。</w:t>
      </w:r>
      <w:r>
        <w:rPr>
          <w:rStyle w:val="14"/>
          <w:rFonts w:hint="eastAsia" w:ascii="仿宋_GB2312" w:hAnsi="仿宋_GB2312" w:eastAsia="仿宋_GB2312" w:cs="仿宋_GB2312"/>
          <w:sz w:val="32"/>
          <w:szCs w:val="32"/>
          <w:shd w:val="clear" w:fill="FFFFFF"/>
        </w:rPr>
        <w:t>（注：数据来源于财决附03表）</w:t>
      </w:r>
    </w:p>
    <w:p w14:paraId="374F46D5">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（二）政府采购支出情况</w:t>
      </w:r>
    </w:p>
    <w:p w14:paraId="0AEF3BA1">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2022年，阿坝州松潘县发展和改革局政府采购支出总额0.00万元。</w:t>
      </w:r>
      <w:r>
        <w:rPr>
          <w:rStyle w:val="14"/>
          <w:rFonts w:hint="eastAsia" w:ascii="仿宋_GB2312" w:hAnsi="仿宋_GB2312" w:eastAsia="仿宋_GB2312" w:cs="仿宋_GB2312"/>
          <w:sz w:val="32"/>
          <w:szCs w:val="32"/>
          <w:shd w:val="clear" w:fill="FFFFFF"/>
        </w:rPr>
        <w:t>（注：数据来源于财决附03表）</w:t>
      </w:r>
    </w:p>
    <w:p w14:paraId="508A4326">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（三）国有资产占有使用情况</w:t>
      </w:r>
    </w:p>
    <w:p w14:paraId="08603DD2">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截至2022年12月31日，阿坝州松潘县发展和改革局共有车辆2辆，其中：主要领导干部用车0辆、机要通信用车0辆、应急保障用车0辆、其他用车2辆。</w:t>
      </w:r>
    </w:p>
    <w:p w14:paraId="457E1234">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（注：数据来源于财决附03表，按部门决算报表填报数据罗列车辆情况。）</w:t>
      </w:r>
    </w:p>
    <w:p w14:paraId="396C68B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（四）预算绩效管理情况</w:t>
      </w:r>
    </w:p>
    <w:p w14:paraId="1FE1387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根据预算绩效管理要求，本部门在2022年度预算编制阶段，组织对</w:t>
      </w:r>
      <w:r>
        <w:rPr>
          <w:rFonts w:hint="eastAsia" w:ascii="仿宋_GB2312" w:hAnsi="仿宋_GB2312" w:eastAsia="仿宋_GB2312" w:cs="仿宋_GB2312"/>
          <w:sz w:val="32"/>
          <w:szCs w:val="32"/>
          <w:shd w:val="clear" w:fill="FFFFFF"/>
          <w:lang w:val="en-US" w:eastAsia="zh-CN"/>
        </w:rPr>
        <w:t>小姓乡2022年以工代赈，2022年大姓乡以工代赈两个</w:t>
      </w:r>
      <w:r>
        <w:rPr>
          <w:rFonts w:hint="eastAsia" w:ascii="仿宋_GB2312" w:hAnsi="仿宋_GB2312" w:eastAsia="仿宋_GB2312" w:cs="仿宋_GB2312"/>
          <w:sz w:val="32"/>
          <w:szCs w:val="32"/>
          <w:shd w:val="clear" w:fill="FFFFFF"/>
        </w:rPr>
        <w:t>项目开展了预算事前绩效评估，对</w:t>
      </w:r>
      <w:r>
        <w:rPr>
          <w:rFonts w:hint="eastAsia" w:ascii="仿宋_GB2312" w:hAnsi="仿宋_GB2312" w:eastAsia="仿宋_GB2312" w:cs="仿宋_GB2312"/>
          <w:sz w:val="32"/>
          <w:szCs w:val="32"/>
          <w:shd w:val="clear" w:fill="FFFFFF"/>
          <w:lang w:val="en-US" w:eastAsia="zh-CN"/>
        </w:rPr>
        <w:t>两</w:t>
      </w:r>
      <w:r>
        <w:rPr>
          <w:rFonts w:hint="eastAsia" w:ascii="仿宋_GB2312" w:hAnsi="仿宋_GB2312" w:eastAsia="仿宋_GB2312" w:cs="仿宋_GB2312"/>
          <w:sz w:val="32"/>
          <w:szCs w:val="32"/>
          <w:shd w:val="clear" w:fill="FFFFFF"/>
        </w:rPr>
        <w:t>个项目编制了绩效目标，预算执行过程中，选取</w:t>
      </w:r>
      <w:r>
        <w:rPr>
          <w:rFonts w:hint="eastAsia" w:ascii="仿宋_GB2312" w:hAnsi="仿宋_GB2312" w:eastAsia="仿宋_GB2312" w:cs="仿宋_GB2312"/>
          <w:sz w:val="32"/>
          <w:szCs w:val="32"/>
          <w:shd w:val="clear" w:fill="FFFFFF"/>
          <w:lang w:val="en-US" w:eastAsia="zh-CN"/>
        </w:rPr>
        <w:t>2</w:t>
      </w:r>
      <w:r>
        <w:rPr>
          <w:rFonts w:hint="eastAsia" w:ascii="仿宋_GB2312" w:hAnsi="仿宋_GB2312" w:eastAsia="仿宋_GB2312" w:cs="仿宋_GB2312"/>
          <w:sz w:val="32"/>
          <w:szCs w:val="32"/>
          <w:shd w:val="clear" w:fill="FFFFFF"/>
        </w:rPr>
        <w:t>个项目开展绩效监控，组织对</w:t>
      </w:r>
      <w:r>
        <w:rPr>
          <w:rFonts w:hint="eastAsia" w:ascii="仿宋_GB2312" w:hAnsi="仿宋_GB2312" w:eastAsia="仿宋_GB2312" w:cs="仿宋_GB2312"/>
          <w:sz w:val="32"/>
          <w:szCs w:val="32"/>
          <w:shd w:val="clear" w:fill="FFFFFF"/>
          <w:lang w:val="en-US" w:eastAsia="zh-CN"/>
        </w:rPr>
        <w:t>2</w:t>
      </w:r>
      <w:r>
        <w:rPr>
          <w:rFonts w:hint="eastAsia" w:ascii="仿宋_GB2312" w:hAnsi="仿宋_GB2312" w:eastAsia="仿宋_GB2312" w:cs="仿宋_GB2312"/>
          <w:sz w:val="32"/>
          <w:szCs w:val="32"/>
          <w:shd w:val="clear" w:fill="FFFFFF"/>
        </w:rPr>
        <w:t>个项目开展绩效自评，绩效自评表详见第四部分附件。</w:t>
      </w:r>
    </w:p>
    <w:p w14:paraId="50180FB6">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w:t>
      </w:r>
      <w:r>
        <w:rPr>
          <w:rFonts w:hint="eastAsia" w:ascii="仿宋_GB2312" w:hAnsi="仿宋_GB2312" w:eastAsia="仿宋_GB2312" w:cs="仿宋_GB2312"/>
          <w:sz w:val="32"/>
          <w:szCs w:val="32"/>
          <w:shd w:val="clear" w:fill="FFFFFF"/>
          <w:lang w:val="en-US" w:eastAsia="zh-CN"/>
        </w:rPr>
        <w:t xml:space="preserve">            </w:t>
      </w:r>
      <w:r>
        <w:rPr>
          <w:rStyle w:val="14"/>
          <w:rFonts w:hint="eastAsia" w:ascii="仿宋_GB2312" w:hAnsi="仿宋_GB2312" w:eastAsia="仿宋_GB2312" w:cs="仿宋_GB2312"/>
          <w:sz w:val="36"/>
          <w:szCs w:val="36"/>
          <w:shd w:val="clear" w:fill="FFFFFF"/>
        </w:rPr>
        <w:t>第三部分 名词解释</w:t>
      </w:r>
      <w:r>
        <w:rPr>
          <w:rFonts w:hint="eastAsia" w:ascii="仿宋_GB2312" w:hAnsi="仿宋_GB2312" w:eastAsia="仿宋_GB2312" w:cs="仿宋_GB2312"/>
          <w:sz w:val="32"/>
          <w:szCs w:val="32"/>
          <w:shd w:val="clear" w:fill="FFFFFF"/>
        </w:rPr>
        <w:t> </w:t>
      </w:r>
    </w:p>
    <w:p w14:paraId="054123C9">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1.财政拨款收入：指单位从同级财政部门取得的财政预算资金。</w:t>
      </w:r>
    </w:p>
    <w:p w14:paraId="2BFA786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2.事业收入：指事业单位开展专业业务活动及辅助活动取得的收入。如…（二级预算单位事业收入情况）等。</w:t>
      </w:r>
    </w:p>
    <w:p w14:paraId="622614C1">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3.经营收入：指事业单位在专业业务活动及其辅助活动之外开展非独立核算经营活动取得的收入。如…（二级预算单位经营收入情况）等。</w:t>
      </w:r>
    </w:p>
    <w:p w14:paraId="50A11413">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4.其他收入：指单位取得的除上述收入以外的各项收入。主要是…（收入类型）等。</w:t>
      </w:r>
    </w:p>
    <w:p w14:paraId="007B72E2">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5.使用非财政拨款结余：指事业单位使用以前年度积累的非财政拨款结余弥补当年收支差额的金额。</w:t>
      </w:r>
    </w:p>
    <w:p w14:paraId="7191F2C8">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6.年初结转和结余：指以前年度尚未完成、结转到本年按有关规定继续使用的资金。</w:t>
      </w:r>
    </w:p>
    <w:p w14:paraId="2A6163A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7.结余分配：指事业单位按照会计制度规定缴纳的所得税、提取的专用结余以及转入非财政拨款结余的金额等。</w:t>
      </w:r>
    </w:p>
    <w:p w14:paraId="2BEB2140">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8、年末结转和结余：指单位按有关规定结转到下年或以后年度继续使用的资金。</w:t>
      </w:r>
    </w:p>
    <w:p w14:paraId="064B80A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9.一般公共服务（类）…（款）…（项）：指……。</w:t>
      </w:r>
    </w:p>
    <w:p w14:paraId="7779A3E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10.外交（类）…（款）…（项）：指……。</w:t>
      </w:r>
    </w:p>
    <w:p w14:paraId="08468D43">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11.公共安全（类）…（款）…（项）：指……。</w:t>
      </w:r>
    </w:p>
    <w:p w14:paraId="0FBA932B">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12.教育（类）…（款）…（项）：指……。</w:t>
      </w:r>
    </w:p>
    <w:p w14:paraId="3C403926">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13.科学技术（类）…（款）…（项）：指……。</w:t>
      </w:r>
    </w:p>
    <w:p w14:paraId="016B257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14.文化体育与传媒（类）…（款）…（项）：指……。</w:t>
      </w:r>
    </w:p>
    <w:p w14:paraId="3F79EC35">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15.社会保障和就业（类）…（款）…（项）：指……。</w:t>
      </w:r>
    </w:p>
    <w:p w14:paraId="4048318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16.医疗卫生与计划生育（类）…（款）…（项）：指……。</w:t>
      </w:r>
    </w:p>
    <w:p w14:paraId="45AA862D">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17.节能环保（类）…（款）…（项）：指……。</w:t>
      </w:r>
    </w:p>
    <w:p w14:paraId="7240F365">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18.城乡社区（类）…（款）…（项）：指……。</w:t>
      </w:r>
    </w:p>
    <w:p w14:paraId="2ADF035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19.农林水（类）…（款）…（项）：指……。</w:t>
      </w:r>
    </w:p>
    <w:p w14:paraId="0DDD1138">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20.交通运输（类）…（款）…（项）：指……。</w:t>
      </w:r>
    </w:p>
    <w:p w14:paraId="3D3C0B74">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21.资源勘探信息等（类）…（款）…（项）：指……。</w:t>
      </w:r>
    </w:p>
    <w:p w14:paraId="46A8DFBA">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22.商业服务业（类）…（款）…（项）：指……。</w:t>
      </w:r>
    </w:p>
    <w:p w14:paraId="406F2D89">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23.金融（类）…（款）…（项）：指……。</w:t>
      </w:r>
    </w:p>
    <w:p w14:paraId="2BBF337A">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24.国土海洋气象等（类）…（款）…（项）：指……。</w:t>
      </w:r>
    </w:p>
    <w:p w14:paraId="21C8E465">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25.住房保障（类）…（款）…（项）：指……。</w:t>
      </w:r>
    </w:p>
    <w:p w14:paraId="2047CADC">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sz w:val="32"/>
          <w:szCs w:val="32"/>
          <w:shd w:val="clear" w:fill="FFFFFF"/>
        </w:rPr>
        <w:t>26.粮油物资储备（类）…（款）…（项）：指……。</w:t>
      </w:r>
    </w:p>
    <w:p w14:paraId="1BDF4024">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fill="FFFFFF"/>
        </w:rPr>
        <w:t>（解释本部门决算报表中涉及的全部功能分类科目至项级，不涉及的科目请自行删除。请参照《2022年政府收支分类科目》增减内容。）</w:t>
      </w:r>
    </w:p>
    <w:p w14:paraId="77722161">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27.基本支出：指为保障机构正常运转、完成日常工作任务而发生的人员支出和公用支出。</w:t>
      </w:r>
    </w:p>
    <w:p w14:paraId="3794ABF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28.项目支出：指在基本支出之外为完成特定行政任务和事业发展目标所发生的支出。</w:t>
      </w:r>
    </w:p>
    <w:p w14:paraId="471D0F0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29.经营支出：指事业单位在专业业务活动及其辅助活动之外开展非独立核算经营活动发生的支出。</w:t>
      </w:r>
    </w:p>
    <w:p w14:paraId="6D75A94C">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86BFCFF">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72B810">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w:t>
      </w:r>
      <w:r>
        <w:rPr>
          <w:rStyle w:val="14"/>
          <w:rFonts w:hint="eastAsia" w:ascii="仿宋_GB2312" w:hAnsi="仿宋_GB2312" w:eastAsia="仿宋_GB2312" w:cs="仿宋_GB2312"/>
          <w:sz w:val="32"/>
          <w:szCs w:val="32"/>
          <w:shd w:val="clear" w:fill="FFFFFF"/>
        </w:rPr>
        <w:t>（名词解释部分请根据各部门实际列支情况罗列，并根据本部门职责职能增减名词解释内容。）</w:t>
      </w:r>
    </w:p>
    <w:p w14:paraId="57A473DB">
      <w:pPr>
        <w:pStyle w:val="11"/>
        <w:keepNext w:val="0"/>
        <w:keepLines w:val="0"/>
        <w:widowControl/>
        <w:suppressLineNumbers w:val="0"/>
        <w:spacing w:before="0" w:beforeAutospacing="0"/>
        <w:ind w:left="0"/>
        <w:jc w:val="center"/>
        <w:rPr>
          <w:rFonts w:hint="eastAsia" w:ascii="仿宋_GB2312" w:hAnsi="仿宋_GB2312" w:eastAsia="仿宋_GB2312" w:cs="仿宋_GB2312"/>
        </w:rPr>
      </w:pPr>
      <w:r>
        <w:rPr>
          <w:rStyle w:val="14"/>
          <w:rFonts w:hint="eastAsia" w:ascii="仿宋_GB2312" w:hAnsi="仿宋_GB2312" w:eastAsia="仿宋_GB2312" w:cs="仿宋_GB2312"/>
          <w:sz w:val="39"/>
          <w:szCs w:val="39"/>
          <w:shd w:val="clear" w:fill="FFFFFF"/>
        </w:rPr>
        <w:t>第四部分 附件</w:t>
      </w:r>
    </w:p>
    <w:p w14:paraId="526B9413">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shd w:val="clear" w:fill="FFFFFF"/>
        </w:rPr>
        <w:t> </w:t>
      </w:r>
      <w:r>
        <w:rPr>
          <w:rFonts w:hint="eastAsia"/>
          <w:shd w:val="clear" w:fill="FFFFFF"/>
          <w:lang w:val="en-US" w:eastAsia="zh-CN"/>
        </w:rPr>
        <w:t xml:space="preserve">       </w:t>
      </w:r>
      <w:r>
        <w:rPr>
          <w:rFonts w:hint="eastAsia" w:ascii="仿宋_GB2312" w:hAnsi="仿宋_GB2312" w:eastAsia="仿宋_GB2312" w:cs="仿宋_GB2312"/>
          <w:sz w:val="32"/>
          <w:szCs w:val="32"/>
          <w:shd w:val="clear" w:fill="FFFFFF"/>
        </w:rPr>
        <w:t>部门预算项目支出绩效自评表（2022年度） </w:t>
      </w:r>
    </w:p>
    <w:p w14:paraId="327E313C">
      <w:pPr>
        <w:widowControl/>
        <w:spacing w:line="580" w:lineRule="exact"/>
        <w:contextualSpacing/>
        <w:jc w:val="center"/>
        <w:rPr>
          <w:rFonts w:hint="eastAsia" w:ascii="仿宋_GB2312" w:hAnsi="仿宋_GB2312" w:eastAsia="仿宋_GB2312" w:cs="仿宋_GB2312"/>
          <w:sz w:val="32"/>
          <w:szCs w:val="32"/>
          <w:shd w:val="clear" w:fill="FFFFFF"/>
        </w:rPr>
      </w:pPr>
      <w:r>
        <w:rPr>
          <w:rFonts w:hint="eastAsia" w:ascii="仿宋_GB2312" w:hAnsi="仿宋_GB2312" w:eastAsia="仿宋_GB2312" w:cs="仿宋_GB2312"/>
          <w:sz w:val="32"/>
          <w:szCs w:val="32"/>
          <w:shd w:val="clear" w:fill="FFFFFF"/>
        </w:rPr>
        <w:t>（备注：按照绩效自评工作安排，各单位可在预算管理一体化系统—综合报表查询—预算绩效报表模块中下载本单位“部门预算项目支出绩效自评表（2022年度）”，该表格应作为附件予以公开。）</w:t>
      </w:r>
    </w:p>
    <w:p w14:paraId="48EC40E0">
      <w:pPr>
        <w:widowControl/>
        <w:spacing w:line="580" w:lineRule="exact"/>
        <w:contextualSpacing/>
        <w:jc w:val="center"/>
        <w:rPr>
          <w:rFonts w:hint="eastAsia" w:ascii="仿宋_GB2312" w:hAnsi="仿宋_GB2312" w:eastAsia="仿宋_GB2312" w:cs="仿宋_GB2312"/>
          <w:b/>
          <w:sz w:val="48"/>
          <w:szCs w:val="48"/>
          <w:shd w:val="clear" w:color="auto" w:fill="FFFFFF"/>
        </w:rPr>
      </w:pPr>
      <w:r>
        <w:rPr>
          <w:rFonts w:hint="eastAsia" w:ascii="仿宋_GB2312" w:hAnsi="仿宋_GB2312" w:eastAsia="仿宋_GB2312" w:cs="仿宋_GB2312"/>
          <w:b/>
          <w:sz w:val="48"/>
          <w:szCs w:val="48"/>
          <w:shd w:val="clear" w:color="auto" w:fill="FFFFFF"/>
          <w:lang w:eastAsia="zh-CN"/>
        </w:rPr>
        <w:t>松潘县发展和改革局县</w:t>
      </w:r>
      <w:r>
        <w:rPr>
          <w:rFonts w:hint="eastAsia" w:ascii="仿宋_GB2312" w:hAnsi="仿宋_GB2312" w:eastAsia="仿宋_GB2312" w:cs="仿宋_GB2312"/>
          <w:b/>
          <w:sz w:val="48"/>
          <w:szCs w:val="48"/>
          <w:shd w:val="clear" w:color="auto" w:fill="FFFFFF"/>
        </w:rPr>
        <w:t>级部门整体支出</w:t>
      </w:r>
    </w:p>
    <w:p w14:paraId="3A6FC471">
      <w:pPr>
        <w:widowControl/>
        <w:spacing w:line="580" w:lineRule="exact"/>
        <w:contextualSpacing/>
        <w:jc w:val="center"/>
        <w:rPr>
          <w:rFonts w:hint="eastAsia" w:ascii="仿宋_GB2312" w:hAnsi="仿宋_GB2312" w:eastAsia="仿宋_GB2312" w:cs="仿宋_GB2312"/>
          <w:b/>
          <w:sz w:val="48"/>
          <w:szCs w:val="48"/>
          <w:shd w:val="clear" w:color="auto" w:fill="FFFFFF"/>
        </w:rPr>
      </w:pPr>
      <w:r>
        <w:rPr>
          <w:rFonts w:hint="eastAsia" w:ascii="仿宋_GB2312" w:hAnsi="仿宋_GB2312" w:eastAsia="仿宋_GB2312" w:cs="仿宋_GB2312"/>
          <w:b/>
          <w:sz w:val="48"/>
          <w:szCs w:val="48"/>
          <w:shd w:val="clear" w:color="auto" w:fill="FFFFFF"/>
        </w:rPr>
        <w:t>绩效评价报告</w:t>
      </w:r>
    </w:p>
    <w:p w14:paraId="30A8582F">
      <w:pPr>
        <w:widowControl/>
        <w:adjustRightInd w:val="0"/>
        <w:snapToGrid w:val="0"/>
        <w:spacing w:line="580" w:lineRule="exact"/>
        <w:ind w:firstLine="320" w:firstLineChars="1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一、</w:t>
      </w:r>
      <w:r>
        <w:rPr>
          <w:rFonts w:hint="eastAsia" w:ascii="仿宋_GB2312" w:hAnsi="仿宋_GB2312" w:eastAsia="仿宋_GB2312" w:cs="仿宋_GB2312"/>
          <w:color w:val="000000"/>
          <w:kern w:val="0"/>
          <w:sz w:val="32"/>
          <w:szCs w:val="32"/>
          <w:shd w:val="clear" w:color="auto" w:fill="FFFFFF"/>
          <w:lang w:val="zh-CN"/>
        </w:rPr>
        <w:t>部门（单位）概况</w:t>
      </w:r>
    </w:p>
    <w:p w14:paraId="42CF731E">
      <w:pPr>
        <w:keepNext w:val="0"/>
        <w:keepLines w:val="0"/>
        <w:pageBreakBefore w:val="0"/>
        <w:widowControl/>
        <w:kinsoku/>
        <w:wordWrap/>
        <w:overflowPunct/>
        <w:topLinePunct w:val="0"/>
        <w:autoSpaceDE/>
        <w:autoSpaceDN/>
        <w:bidi w:val="0"/>
        <w:adjustRightInd w:val="0"/>
        <w:snapToGrid w:val="0"/>
        <w:spacing w:beforeAutospacing="0" w:afterAutospacing="0" w:line="576" w:lineRule="exact"/>
        <w:ind w:left="0" w:leftChars="0" w:right="0" w:rightChars="0" w:firstLine="720"/>
        <w:jc w:val="left"/>
        <w:textAlignment w:val="auto"/>
        <w:outlineLvl w:val="9"/>
        <w:rPr>
          <w:rFonts w:hint="eastAsia" w:ascii="仿宋_GB2312" w:hAnsi="仿宋_GB2312" w:eastAsia="仿宋_GB2312" w:cs="仿宋_GB2312"/>
          <w:b/>
          <w:bCs/>
          <w:color w:val="000000"/>
          <w:kern w:val="0"/>
          <w:sz w:val="32"/>
          <w:szCs w:val="32"/>
          <w:lang w:val="zh-CN"/>
        </w:rPr>
      </w:pPr>
      <w:r>
        <w:rPr>
          <w:rFonts w:hint="eastAsia" w:ascii="仿宋_GB2312" w:hAnsi="仿宋_GB2312" w:eastAsia="仿宋_GB2312" w:cs="仿宋_GB2312"/>
          <w:color w:val="000000"/>
          <w:kern w:val="0"/>
          <w:sz w:val="32"/>
          <w:szCs w:val="32"/>
          <w:shd w:val="clear" w:color="auto" w:fill="FFFFFF"/>
          <w:lang w:val="zh-CN"/>
        </w:rPr>
        <w:t>（一）机构组成。</w:t>
      </w:r>
    </w:p>
    <w:p w14:paraId="06E21CEB">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县发改局设7个内设机构：</w:t>
      </w:r>
    </w:p>
    <w:p w14:paraId="494C80BF">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 xml:space="preserve">    1、</w:t>
      </w:r>
      <w:r>
        <w:rPr>
          <w:rFonts w:hint="eastAsia" w:ascii="仿宋_GB2312" w:hAnsi="仿宋_GB2312" w:eastAsia="仿宋_GB2312" w:cs="仿宋_GB2312"/>
          <w:b/>
          <w:bCs/>
          <w:sz w:val="32"/>
          <w:szCs w:val="32"/>
          <w:lang w:eastAsia="zh-CN"/>
        </w:rPr>
        <w:t>办公室</w:t>
      </w:r>
    </w:p>
    <w:p w14:paraId="01A69656">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组织协调机关日常政务，负责机关目标管理、电子政务、公文运转、会议组织、政务信息、财务、资产管理、后勤服务、机要、保密、信访、安全保卫、社会治安综合治理、精神文明建设等工作；负责机关规章制度的制定和组织实施；组织办理议案、提案和建议；负责会议组织及会议决定事项的督办。</w:t>
      </w:r>
    </w:p>
    <w:p w14:paraId="0E7AF22F">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负责本局机关的机构编制和干部、劳动、人事管理；负责全县发改系统人才资源开发利用和人才培训工作。负责本局档案管理和离退休人员的管理、服务工作。</w:t>
      </w:r>
    </w:p>
    <w:p w14:paraId="28E4F5BE">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i w:val="0"/>
          <w:iCs w:val="0"/>
          <w:sz w:val="32"/>
          <w:szCs w:val="32"/>
          <w:lang w:val="en-US" w:eastAsia="zh-CN"/>
        </w:rPr>
        <w:t xml:space="preserve">  2、</w:t>
      </w:r>
      <w:r>
        <w:rPr>
          <w:rFonts w:hint="eastAsia" w:ascii="仿宋_GB2312" w:hAnsi="仿宋_GB2312" w:eastAsia="仿宋_GB2312" w:cs="仿宋_GB2312"/>
          <w:b/>
          <w:bCs/>
          <w:i w:val="0"/>
          <w:iCs w:val="0"/>
          <w:sz w:val="32"/>
          <w:szCs w:val="32"/>
          <w:lang w:eastAsia="zh-CN"/>
        </w:rPr>
        <w:t>政策法规股（挂“稽察办公室”、行政审批股牌子）</w:t>
      </w:r>
    </w:p>
    <w:p w14:paraId="470FBA62">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起草有关国民经济和社会发展、经济体制改革的重大政策和地方性法规、规章草案；组织研究经济社会发展、改革开放的重大问题；承担本系统、本部门推进依法行政工作的组织协调和督促指导；承担行政执法监督、行政复议、行政应诉、行政调解和规范性文件审核和备案工作；负责本部门普法工作的宣传、指导和监督。</w:t>
      </w:r>
    </w:p>
    <w:p w14:paraId="5D533966">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负责指导和协调招标投标工作，组织拟订招标投标配套规定和实施意见；按规定核准项目招标事项；协助省、州发展改革委负责中央投资项目招标代理机构的转报及管理；负责省、州发改委审批项目招标投标核准意见的转报工作。</w:t>
      </w:r>
    </w:p>
    <w:p w14:paraId="6842DAC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综合管理招标投标（比选）活动。负责重大建设项目招标文件的审查和备案，监督招标投标活动，受理相关投诉，调查违规行为；统筹监督国家投资建设项目招标投标合同的执行情况并组织后评估工作；负责协调招标投标平台的建设和管理，管理综合性评标专家库；组织协调招标投标信用体系建设，建立公共资源交易中心招标投标活动和其他招标投标领域相关中介咨询机构的协调管理机制。</w:t>
      </w:r>
    </w:p>
    <w:p w14:paraId="18527EA8">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负责对国家、省、州安排资金项目的审批程序、建设资金使用、工程招标投标、开工建设条件、建设进度、工程质量、投资概算控制以及工程竣工验收等建设活动进行全过程的稽查和监督检查，及时提出稽查报告；协调、督促有关项目建设单位进行整改。监督检查以工代赈项目的实施情况；承担全县所有固定资产投资项目进行稽查，纠正建设项目中存在的问题，确保建设工程顺利实施。</w:t>
      </w:r>
    </w:p>
    <w:p w14:paraId="58F3B5D7">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贯彻和组织实施上级有关纪检监察工作方面的决议、决定和指示；负责处理纪检监察工作的日常事务；负责处理控告和举报；处理与部门工作相关的重大疑难问题及突发性事件；负责处理系统内的违法违纪案件。</w:t>
      </w:r>
    </w:p>
    <w:p w14:paraId="0FAF88E8">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负责拟订行政许可事项审查（审核）的政策、规定、标准、规程细则；负责县发展和改革局（县粮食局、县物价局）机关行政许可职责，依法审批保留权限以内的行政许可事项；负责审批权限以内的非国家投资项目立项（核准、备案）。</w:t>
      </w:r>
    </w:p>
    <w:p w14:paraId="0A145FBD">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3、</w:t>
      </w:r>
      <w:r>
        <w:rPr>
          <w:rFonts w:hint="eastAsia" w:ascii="仿宋_GB2312" w:hAnsi="仿宋_GB2312" w:eastAsia="仿宋_GB2312" w:cs="仿宋_GB2312"/>
          <w:b/>
          <w:bCs/>
          <w:sz w:val="32"/>
          <w:szCs w:val="32"/>
          <w:lang w:eastAsia="zh-CN"/>
        </w:rPr>
        <w:t>国民经济综合协调股（挂“经济动员办公室”牌子）</w:t>
      </w:r>
    </w:p>
    <w:p w14:paraId="76BFE8FB">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全县经济和社会发展战略、规划及生产力布局的建议；提出全县经济和社会中长期发展、总量平衡和结构调整的目标和政策；提出推进城镇化的发展战略和重大政策；编制经济和社会发展中长期规划；组织编制和协调经济社会发展专项规划、区域经济发展规划，提出区域经济发展政策。</w:t>
      </w:r>
    </w:p>
    <w:p w14:paraId="587C9A67">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县级开发区（含保税区）进行指导、协调和宏观管理。</w:t>
      </w:r>
    </w:p>
    <w:p w14:paraId="23D6425B">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负责半年和年度国民经济和社会发展计划执行情况报告的起草工作；参与有关股室研究制定发展计划和规划。</w:t>
      </w:r>
    </w:p>
    <w:p w14:paraId="5FA0D043">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经济体制改革重大问题，指导推进和综合协调经济体制改革；组织拟订综合性经济体制改革方案，参与研究和衔接有关方面拟订的专项经济体制改革方案，协调推进专项经济体制改革；指导经济体制改革试点和改革试验区工作；协调解决经济体制改革进程中的重大问题。</w:t>
      </w:r>
    </w:p>
    <w:p w14:paraId="07CF82AB">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研究提出全县国民经济动员工作方针、政策，编制全县国民经济动员方案、总体规划和年度计划；转报、安排全县国民经济动员重大项目；协调国民经济动员工作中的重大问题。</w:t>
      </w:r>
    </w:p>
    <w:p w14:paraId="04BB0C7B">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4、</w:t>
      </w:r>
      <w:r>
        <w:rPr>
          <w:rFonts w:hint="eastAsia" w:ascii="仿宋_GB2312" w:hAnsi="仿宋_GB2312" w:eastAsia="仿宋_GB2312" w:cs="仿宋_GB2312"/>
          <w:b/>
          <w:bCs/>
          <w:sz w:val="32"/>
          <w:szCs w:val="32"/>
          <w:lang w:eastAsia="zh-CN"/>
        </w:rPr>
        <w:t>固定资产投资和项目管理股（挂“援藏办公室”“西部大开发办公室”牌子）</w:t>
      </w:r>
    </w:p>
    <w:p w14:paraId="1575B859">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审查等工作；汇总并发布县重大项目进展情况；指导重大项目储备、建设、管理工作；承办县重大建设项目推进领导小组的具体工作。</w:t>
      </w:r>
    </w:p>
    <w:p w14:paraId="257CEC78">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研究提出全县实施西部大开发战略、发展规划和有关政策建议；编制我县实施西部大开发战略的规划，组织协调全县实施西部大开发战略的有关重大问题；承办县实施西部大开发领导小组及其办公室的日常工作。</w:t>
      </w:r>
    </w:p>
    <w:p w14:paraId="12777B77">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协助做好对国家、省、州安排资金项目以及固定资产投资项目的审批程序、建设资金使用、工程招标投标、开工建设条件、建设进度、工程质量、投资概算控制以及工程竣工验收等建设活动进行全过程的稽查和监督检查，协调、督促有关项目建设单位进行整改，纠正建设项目中存在的问题，确保建设工程顺利实施。</w:t>
      </w:r>
    </w:p>
    <w:p w14:paraId="161D772D">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监测分析全社会固定资产投资状况，研究提出固定资产投资的总规模、结构和资金来源，提出全社会固定资产投资调控政策、中长期规划和年度计划；研究制定加强政府投资项目管理的政策措施；提出投融资体制改革的建议；审核、转报和安排国家和县财政性资金的建设项目。</w:t>
      </w:r>
    </w:p>
    <w:p w14:paraId="4D84317F">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研究提出全县民族地区（藏区）经济社会发展战略和政策，协调发展中的重大问题；汇总编制藏区经济和社会发展中长期规划和年度规划；汇总申报藏区国家政策性投资项目。</w:t>
      </w:r>
    </w:p>
    <w:p w14:paraId="37227FC0">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协助参与对全县所有固定资产投资项目进行稽查，纠正建设项目中存在的问题，确保建设工程顺利实施。</w:t>
      </w:r>
    </w:p>
    <w:p w14:paraId="13748085">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lang w:eastAsia="zh-CN"/>
        </w:rPr>
        <w:t>农村经济发展和社会事业股</w:t>
      </w:r>
    </w:p>
    <w:p w14:paraId="04A57A32">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财政性资金重大项目，监督检查投资计划执行和项目实施情况；组织编制全县生态建设中长期规划和年度计划，协调组织相关部门实施生态建设重大项目；协助做好藏区政策研究及项目的申报。</w:t>
      </w:r>
    </w:p>
    <w:p w14:paraId="3CBAB814">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w:t>
      </w:r>
    </w:p>
    <w:p w14:paraId="718D5B49">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研究提出全县社会事业投资的发展战略、总规模和中长期规划、年度计划；提出和申报涉及社会事业的国外贷款备选项目，负责权限以内投资项目的审核工作，审核和转报利用外资和境外投资项目。</w:t>
      </w:r>
    </w:p>
    <w:p w14:paraId="7360D8AF">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研究全县就业与人力资源、居民收入分配和社会保障情况，提出就业规划和促进就业、调整收入分配、完善社会保障体系的相关政策；组织拟订和论证相关体制改革方案，协调解决相关的重大问题。</w:t>
      </w:r>
    </w:p>
    <w:p w14:paraId="1305B688">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6、</w:t>
      </w:r>
      <w:r>
        <w:rPr>
          <w:rFonts w:hint="eastAsia" w:ascii="仿宋_GB2312" w:hAnsi="仿宋_GB2312" w:eastAsia="仿宋_GB2312" w:cs="仿宋_GB2312"/>
          <w:b/>
          <w:bCs/>
          <w:sz w:val="32"/>
          <w:szCs w:val="32"/>
          <w:lang w:eastAsia="zh-CN"/>
        </w:rPr>
        <w:t>产业发展和能源股</w:t>
      </w:r>
    </w:p>
    <w:p w14:paraId="276047B4">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统筹工业、服务业、交通运输业发展规划、计划与国民经济和社会发展规划、计划的衔接平衡；研究分析全县产业发展的情况，组织拟订综合性产业政策，组织协调专项产业政策的制定，监督产业政策的落实；研究提出全县服务业发展战略和重大政策，协调服务业发展。</w:t>
      </w:r>
    </w:p>
    <w:p w14:paraId="7C5E91B2">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协调重大技术装备推广应用和重大产业基地建设；统筹协调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做好相关高新技术产业化工作，组织高技术产业化示范工程；申报、安排工业、交通、邮政和高技术产业财政性资金建设项目。</w:t>
      </w:r>
    </w:p>
    <w:p w14:paraId="184EEF1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转报、安排国家、省、州的高技术产业化财政性资金建设项目；指导协调自主创新体系发展，组织推动技术创新和产学研联合；推动国民经济和社会发展信息化进程，培育壮大战略性新兴产业；协调做好藏区政策研究及项目的申报。</w:t>
      </w:r>
    </w:p>
    <w:p w14:paraId="2BCFED25">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研究提出全县交通运输发展战略、政策措施和体制改革建议；协调相关部门编制全县交通运输发展中长期规划和年度计划；审核转报交通重点建设项目（含利用外资项目）；协调全县公路、航空、铁路、水运建设的综合平衡以及发展中的重大问题。</w:t>
      </w:r>
    </w:p>
    <w:p w14:paraId="44C8DCF7">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分析工业发展情况，研究新型工业化发展战略；拟订工业及相关产业发展规划及配套政策，提出相关体制改革建议，对工业现代化实施宏观指导；组织拟订与全县工业发展配套的优化资源配置的政策、措施；审核转报工业建设项目；协调相关产业发展和生产力布局。</w:t>
      </w:r>
    </w:p>
    <w:p w14:paraId="4775C4D6">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题，审核和转报能源建设项目。</w:t>
      </w:r>
    </w:p>
    <w:p w14:paraId="72BA3FD3">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研究提出优化能源结构、能源节约综合利用和发展循环经济（开发新能源）的政策措施；组织对煤、电、油、气资源勘探调查和合理、有序开发利用；实施能源可持续发展战略的，推进可再生能源和新能源的开发利用；参与编制环境保护规划，协调环保产业发展有关工作；组织实施固定资产投资项目（企业技术改造项目除外）节能评估和审查工作；审核、转报和安排资源节约、综合利用、循环经济和污染治理国家财政性资金建设项目；组织协调重大节能减排示范工程和新产品、新技术、新设备的推广应用；组织拟订应对气候变化重大战略、规划和重大政策；承办县节能减排工作领导小组的具体工作。</w:t>
      </w:r>
    </w:p>
    <w:p w14:paraId="54D00D52">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643" w:firstLineChars="200"/>
        <w:jc w:val="left"/>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以工代赈综合办公室</w:t>
      </w:r>
    </w:p>
    <w:p w14:paraId="49434BB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color w:val="000000"/>
          <w:kern w:val="0"/>
          <w:sz w:val="32"/>
          <w:szCs w:val="32"/>
          <w:lang w:val="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提出全县以工代赈工作的具体政策措施并组织实施；负责管理以工代赈资金；编制全县以工代赈项目规划；建立和完善以工代赈项目库；会同有关部门筛选、审查以工代赈项目；编制和审报以工代赈项目的年度计划；监督检查以工代赈项目的实施情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人大代表、政协委员有关以工代赈工作的建议、提案的办理。</w:t>
      </w:r>
    </w:p>
    <w:p w14:paraId="581C99B2">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76" w:lineRule="exact"/>
        <w:ind w:left="0" w:leftChars="0" w:right="0" w:rightChars="0" w:firstLine="720"/>
        <w:jc w:val="left"/>
        <w:textAlignment w:val="auto"/>
        <w:outlineLvl w:val="9"/>
        <w:rPr>
          <w:rFonts w:hint="eastAsia" w:ascii="仿宋_GB2312" w:hAnsi="仿宋_GB2312" w:eastAsia="仿宋_GB2312" w:cs="仿宋_GB2312"/>
          <w:b/>
          <w:bCs/>
          <w:color w:val="000000"/>
          <w:kern w:val="0"/>
          <w:sz w:val="32"/>
          <w:szCs w:val="32"/>
          <w:lang w:val="zh-CN"/>
        </w:rPr>
      </w:pPr>
      <w:r>
        <w:rPr>
          <w:rFonts w:hint="eastAsia" w:ascii="仿宋_GB2312" w:hAnsi="仿宋_GB2312" w:eastAsia="仿宋_GB2312" w:cs="仿宋_GB2312"/>
          <w:b/>
          <w:bCs/>
          <w:color w:val="000000"/>
          <w:kern w:val="0"/>
          <w:sz w:val="32"/>
          <w:szCs w:val="32"/>
          <w:lang w:val="zh-CN"/>
        </w:rPr>
        <w:t>机构职能。</w:t>
      </w:r>
    </w:p>
    <w:p w14:paraId="63D6B2C0">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贯彻实施国家有关国民经济和社会发展、经济体制改革的方针、政策和法律法规。拟订全县有关国民经济和社会发展、经济体制改革的地方性法规、规章草案，负责本系统、本部门依法行政工作，落实行政执法责任制。</w:t>
      </w:r>
    </w:p>
    <w:p w14:paraId="4AC2CE30">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负责拟订并组织实施全县国民经济和社会发展战略、中长期规划和年度计划，统筹协调全县经济社会发展，研究分析宏观经济形势，提出全县经济社会发展、经济结构优化、价格总水平调控目标和政策建议。受县政府委托向县人大提交国民经济和社会发展计划报告。</w:t>
      </w:r>
    </w:p>
    <w:p w14:paraId="61D3C323">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负责监测宏观经济和社会发展态势，承担预测预警和信息引导的责任，研究宏观调控重大问题并提出政策建议，搞好总量平衡，综合协调经济社会发展中的重大问题。负责县级以上开发区的指导、协调和宏观管理。</w:t>
      </w:r>
    </w:p>
    <w:p w14:paraId="20470337">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负责汇总分析全县财政、金融等方面情况；提出多渠道融资的政策建议；综合协调财政、金融、价格和产业政策等经济杠杆以及县上直接掌握的经济手段的使用并通过法规和政策协调、信息指导，保证全县国民经济计划和发展规划的实施。</w:t>
      </w:r>
    </w:p>
    <w:p w14:paraId="1A6889B0">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承担指导推进和综合协调全县经济体制改革的责任，研究经济体制改革和对外开放的重大问题，组织拟订综合性经济体制改革方案，协调有关专项经济体制改革方案，指导和推进总体经济体制改革以及综合配套改革与体制创新，组织、指导和协调综合配套改革试点和重大专项经济体制改革试点。</w:t>
      </w:r>
    </w:p>
    <w:p w14:paraId="20EAEAB7">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负责贯彻落实国家、省、州关于价格、收费改革的方针政策，拟定全县价格、收费改革方案并组织实施；负责研究草拟价格收费地方性法规、规章、政策；提出全县价格总水平调控目标和措施，研究提出保持价格总水平基本稳定的措施建议；负责监测、分析、预报全县市场价格动态和变化趋势，提出政策建议；负责监督指导全县价格法律法规和规章制度的贯彻实施，开展反价格垄断行政执法和价格公共服务工作；负责贯彻实施国家、省各项价格规定和统一调价方案，拟订全县重要商品和服务项目的价格政策；负责研究制定县管定价目录和管理办法，制定并公布政府定价和政府指导价；负责贯彻执行国家、省行政事业性收费管理政策，会同有关部门审定行政事业性收费项目和标准，组织实施行政事业性收费、经营性收费许可证制度和年度审验制度；负责监督检查政府定价、政府指导价以及政策规定的收费标准的执行情况；负责受理价格、收费违法行为和不正当价格行为的举报、投诉；负责实施价格行政执法，依法查处价格违法行为和违法案件，实施行政处罚；承担涉案物品价格评估；承担组织对农产品、垄断行业、公用事业和公益性服务价格的成本调查和监审；承担商品和服务价格定价成本监审工作。</w:t>
      </w:r>
    </w:p>
    <w:p w14:paraId="685135A9">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负责重要商品总量平衡和宏观调控。研究分析县内外市场和对外贸易运行情况，编制重要农产品、工业品和原材料进出口总量计划并监督执行。会同有关部门管理粮食等重要物资和商品的县级储备工作，提出重要商品市场、生产要素市场的总体布局和发展规划。贯彻执行国家粮食流通和储备粮管理的方针、政策和法律法规，拟定全县粮食流通和县级储备粮管理的有关法规草案、规章制度和有关政策，并组织执行。承担粮食预警监测和应急责任，负责全县粮食宏观调控具体工作，组织指导全县粮食系统统计工作；负责州级储备粮管理，指导全县粮食储备体系建设。监督检查县级储备粮库存数量、质量和安全，研究提出县级储备粮的收购、轮换、抛售计划，并组织实施。负责全县粮食收购、储存环节和政策性用粮质量安全，负责库存原粮卫生监督管理，指导粮食行业安全生产和抢险救灾，指导全县农村科学储粮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安全生产工作；承担行业统计工作。</w:t>
      </w:r>
    </w:p>
    <w:p w14:paraId="5102A874">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负责全县投资宏观管理和协调推进重大项目建设。拟订全社会固定资产投资总规模和投资结构，编制年度投资计划；研究提出有关重大投资政策，规划重大项目和生产力布局；安排财政性建设资金，指导和监督政策性贷款的使用方向；申报限额以上和审批权限以内的基本建设项目；按照基本建设程序，负责全县基本建设项目立项、可行性研究报告和国家出资的工业（含内贸）、农业、水利、交通、信息产业等行业和产业项目的初步设计审查、开工报告审批工作；引导民间资金用于固定资产投资的方向；研究提出全县利用外资的发展战略、总量平衡和结构优化的目标和政策措施；提出拟订全县工商领域外的外商投资产业指导目录的意见；审批权限以内国外贷款、外商提资和境外投资项目；申报和审核利用外资、境外投资的重大项目；负责编制全县重点建设项目和年度投资计划；负责组织和管理重大建设项目稽察工作。</w:t>
      </w:r>
    </w:p>
    <w:p w14:paraId="11604E2C">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推进经济结构战略性调整。组织拟订全县综合性产业政策，负责协调第一、二、三产业发展的重大问题，衔接平衡相关发展规划和重大政策，协调农业和农村经济社会发展的重大问题，衔接农村专项规划和政策。拟订重大产业发展规划，引导全县重大生产力合理布局，协调推进全县重大技术装备推广应用和重大产业基地建设，会同有关部门拟订服务业、现代物流业发展战略、规划和重大政策。组织拟订高技术产业发展、产业技术进步的战略、规划和重大政策，指导全县自主创新体系建设发展。</w:t>
      </w:r>
    </w:p>
    <w:p w14:paraId="2D9B76BC">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促进区域协调发展。组织编制全县主体功能区规划并协调规划实施和进行监测评估，组织拟订区域协调发展战略、规划和重大政策，研究提出城镇化发展战略和统筹城乡发展的重大政策，负责地区经济协作的统筹协调。</w:t>
      </w:r>
    </w:p>
    <w:p w14:paraId="478FAF04">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eastAsia="zh-CN"/>
        </w:rPr>
        <w:t>负责全县社会发展与国民经济发展的政策衔接，组织拟定社会发展战略、总体规划和年度计划，参与拟订人口和计划生育、科学技术、教育、文化、卫生、民政等发展政策，推进社会事业建设。研究提出促进就业、调整收入分配、完善社会保障与经济协调发展的政策建议，协调社会事业发展和政策中的重大问题及政策。</w:t>
      </w:r>
    </w:p>
    <w:p w14:paraId="58CE779B">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推进可持续发展，负责全县节能减排的综合协调工作，组织拟订并协调实施全州发展循环经济、能源资源节约和综合利用规划及政策措施，参与编制生态建设、环境保护规划，协调生态建设、能源资源节约和综合利用的重大问题。</w:t>
      </w:r>
    </w:p>
    <w:p w14:paraId="1B42C02B">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eastAsia="zh-CN"/>
        </w:rPr>
        <w:t>指导、协调并综合管理全县招标投标工作，对国家和县重大建设项目建设过程中的工程招标投标活动实施监督检查。</w:t>
      </w:r>
    </w:p>
    <w:p w14:paraId="41F4B6A3">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lang w:eastAsia="zh-CN"/>
        </w:rPr>
        <w:t>负责铁路、机场等综合交通的规划和发展协调；参与协调高速公路项目建设中涉及的重大问题，组织协调和处理全县铁路建设项目前期工作、征地拆迁、建设过程中涉及的重大问题，协同做好全县铁路建设规划及年度计划编制的相关工作。</w:t>
      </w:r>
    </w:p>
    <w:p w14:paraId="74207A2B">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eastAsia="zh-CN"/>
        </w:rPr>
        <w:t>负责组织编制全县国民经济动员与装备动员规划、计划，研究国民经济动员与装备动员和国民经济、国防建设的关系，协调相关重大问题，组织实施国民经济动员与装备动员有关工作。</w:t>
      </w:r>
    </w:p>
    <w:p w14:paraId="46454093">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承担县实施西部大开发领导小组、县重点项目领导小组的具体工作。</w:t>
      </w:r>
    </w:p>
    <w:p w14:paraId="5D7F2A7F">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lang w:eastAsia="zh-CN"/>
        </w:rPr>
        <w:t>承担县政府公布的有关行政审批事项。</w:t>
      </w:r>
    </w:p>
    <w:p w14:paraId="05F62E3E">
      <w:pPr>
        <w:keepNext w:val="0"/>
        <w:keepLines w:val="0"/>
        <w:pageBreakBefore w:val="0"/>
        <w:widowControl/>
        <w:kinsoku/>
        <w:wordWrap/>
        <w:overflowPunct/>
        <w:topLinePunct w:val="0"/>
        <w:autoSpaceDE/>
        <w:autoSpaceDN/>
        <w:bidi w:val="0"/>
        <w:adjustRightInd w:val="0"/>
        <w:snapToGrid w:val="0"/>
        <w:spacing w:beforeAutospacing="0" w:afterAutospacing="0" w:line="576" w:lineRule="exact"/>
        <w:ind w:left="0" w:leftChars="0" w:right="0" w:rightChars="0" w:firstLine="720"/>
        <w:jc w:val="left"/>
        <w:textAlignment w:val="auto"/>
        <w:outlineLvl w:val="9"/>
        <w:rPr>
          <w:rFonts w:hint="eastAsia" w:ascii="仿宋_GB2312" w:hAnsi="仿宋_GB2312" w:eastAsia="仿宋_GB2312" w:cs="仿宋_GB2312"/>
          <w:color w:val="000000"/>
          <w:kern w:val="0"/>
          <w:sz w:val="32"/>
          <w:szCs w:val="32"/>
          <w:lang w:val="zh-CN"/>
        </w:rPr>
      </w:pPr>
      <w:r>
        <w:rPr>
          <w:rFonts w:hint="eastAsia" w:ascii="仿宋_GB2312" w:hAnsi="仿宋_GB2312" w:eastAsia="仿宋_GB2312" w:cs="仿宋_GB2312"/>
          <w:color w:val="000000"/>
          <w:kern w:val="0"/>
          <w:sz w:val="32"/>
          <w:szCs w:val="32"/>
          <w:lang w:val="zh-CN"/>
        </w:rPr>
        <w:t>（三）人员概况。</w:t>
      </w:r>
    </w:p>
    <w:p w14:paraId="0450E582">
      <w:pPr>
        <w:keepNext w:val="0"/>
        <w:keepLines w:val="0"/>
        <w:pageBreakBefore w:val="0"/>
        <w:numPr>
          <w:ilvl w:val="0"/>
          <w:numId w:val="0"/>
        </w:numPr>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仿宋_GB2312" w:eastAsia="仿宋_GB2312" w:cs="仿宋_GB2312"/>
          <w:color w:val="000000"/>
          <w:kern w:val="0"/>
          <w:sz w:val="32"/>
          <w:szCs w:val="32"/>
          <w:lang w:val="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松潘县发展和改革局</w:t>
      </w:r>
      <w:r>
        <w:rPr>
          <w:rFonts w:hint="eastAsia" w:ascii="仿宋_GB2312" w:hAnsi="仿宋_GB2312" w:eastAsia="仿宋_GB2312" w:cs="仿宋_GB2312"/>
          <w:sz w:val="32"/>
          <w:szCs w:val="32"/>
        </w:rPr>
        <w:t>属一级预算单位，独立编制机构数1个，独立核算机构数1个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总编制</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名，其中：行政编制</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eastAsia="zh-CN"/>
        </w:rPr>
        <w:t>参公编制</w:t>
      </w:r>
      <w:r>
        <w:rPr>
          <w:rFonts w:hint="eastAsia" w:ascii="仿宋_GB2312" w:hAnsi="仿宋_GB2312" w:eastAsia="仿宋_GB2312" w:cs="仿宋_GB2312"/>
          <w:sz w:val="32"/>
          <w:szCs w:val="32"/>
          <w:lang w:val="en-US" w:eastAsia="zh-CN"/>
        </w:rPr>
        <w:t>6名；</w:t>
      </w:r>
      <w:r>
        <w:rPr>
          <w:rFonts w:hint="eastAsia" w:ascii="仿宋_GB2312" w:hAnsi="仿宋_GB2312" w:eastAsia="仿宋_GB2312" w:cs="仿宋_GB2312"/>
          <w:sz w:val="32"/>
          <w:szCs w:val="32"/>
        </w:rPr>
        <w:t>事业编制</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名；工勤编制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名。在职人员总数</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参公人员</w:t>
      </w:r>
      <w:r>
        <w:rPr>
          <w:rFonts w:hint="eastAsia" w:ascii="仿宋_GB2312" w:hAnsi="仿宋_GB2312" w:eastAsia="仿宋_GB2312" w:cs="仿宋_GB2312"/>
          <w:sz w:val="32"/>
          <w:szCs w:val="32"/>
          <w:lang w:val="en-US" w:eastAsia="zh-CN"/>
        </w:rPr>
        <w:t>6人，</w:t>
      </w:r>
      <w:r>
        <w:rPr>
          <w:rFonts w:hint="eastAsia" w:ascii="仿宋_GB2312" w:hAnsi="仿宋_GB2312" w:eastAsia="仿宋_GB2312" w:cs="仿宋_GB2312"/>
          <w:sz w:val="32"/>
          <w:szCs w:val="32"/>
        </w:rPr>
        <w:t>事业人员</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人，工勤在职</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退休人员</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w:t>
      </w:r>
    </w:p>
    <w:p w14:paraId="47B28121">
      <w:pPr>
        <w:widowControl/>
        <w:adjustRightInd w:val="0"/>
        <w:snapToGrid w:val="0"/>
        <w:spacing w:line="580" w:lineRule="exact"/>
        <w:contextualSpacing/>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二、部门财政资金收支情况</w:t>
      </w:r>
    </w:p>
    <w:p w14:paraId="63AEBBAC">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（一）部门财政资金收入情况。</w:t>
      </w:r>
    </w:p>
    <w:p w14:paraId="0DED9309">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76" w:lineRule="exact"/>
        <w:ind w:right="0" w:rightChars="0" w:firstLine="640" w:firstLineChars="200"/>
        <w:jc w:val="left"/>
        <w:textAlignment w:val="auto"/>
        <w:outlineLvl w:val="9"/>
        <w:rPr>
          <w:rFonts w:hint="eastAsia" w:ascii="仿宋_GB2312" w:hAnsi="仿宋_GB2312" w:eastAsia="仿宋_GB2312" w:cs="仿宋_GB2312"/>
          <w:color w:val="000000"/>
          <w:kern w:val="0"/>
          <w:sz w:val="32"/>
          <w:szCs w:val="32"/>
          <w:shd w:val="clear" w:fill="FFFFFF"/>
          <w:lang w:val="en-US" w:eastAsia="zh-CN" w:bidi="ar"/>
        </w:rPr>
      </w:pPr>
      <w:r>
        <w:rPr>
          <w:rFonts w:hint="eastAsia" w:ascii="仿宋_GB2312" w:hAnsi="仿宋_GB2312" w:eastAsia="仿宋_GB2312" w:cs="仿宋_GB2312"/>
          <w:color w:val="000000"/>
          <w:kern w:val="0"/>
          <w:sz w:val="32"/>
          <w:szCs w:val="32"/>
          <w:shd w:val="clear" w:fill="FFFFFF"/>
          <w:lang w:val="en-US" w:eastAsia="zh-CN" w:bidi="ar"/>
        </w:rPr>
        <w:t>2022预算收入总数381.62万元，无基金预算。较2021年预算收入总数312.42元增加22.15%；2022年决算收入决算数为1300.61万元，较2021年收入决算数2464.27万元减少47.22%.主要原因是项目减少。</w:t>
      </w:r>
    </w:p>
    <w:p w14:paraId="25783D99">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76" w:lineRule="exact"/>
        <w:ind w:right="0" w:rightChars="0" w:firstLine="643" w:firstLineChars="200"/>
        <w:jc w:val="left"/>
        <w:textAlignment w:val="auto"/>
        <w:outlineLvl w:val="9"/>
        <w:rPr>
          <w:rFonts w:hint="eastAsia" w:ascii="仿宋_GB2312" w:hAnsi="仿宋_GB2312" w:eastAsia="仿宋_GB2312" w:cs="仿宋_GB2312"/>
          <w:b/>
          <w:bCs/>
          <w:color w:val="000000"/>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SA"/>
        </w:rPr>
        <w:t>2023年1-6月财政收入情况。</w:t>
      </w:r>
    </w:p>
    <w:p w14:paraId="7007B2BB">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76" w:lineRule="exact"/>
        <w:ind w:right="0" w:rightChars="0" w:firstLine="640" w:firstLineChars="200"/>
        <w:jc w:val="left"/>
        <w:textAlignment w:val="auto"/>
        <w:outlineLvl w:val="9"/>
        <w:rPr>
          <w:rFonts w:hint="eastAsia" w:ascii="仿宋_GB2312" w:hAnsi="仿宋_GB2312" w:eastAsia="仿宋_GB2312" w:cs="仿宋_GB2312"/>
          <w:color w:val="000000"/>
          <w:kern w:val="0"/>
          <w:sz w:val="32"/>
          <w:szCs w:val="32"/>
          <w:shd w:val="clear" w:color="auto" w:fill="FFFFFF"/>
          <w:lang w:val="en-US"/>
        </w:rPr>
      </w:pPr>
      <w:r>
        <w:rPr>
          <w:rFonts w:hint="eastAsia" w:ascii="仿宋_GB2312" w:hAnsi="仿宋_GB2312" w:eastAsia="仿宋_GB2312" w:cs="仿宋_GB2312"/>
          <w:color w:val="000000"/>
          <w:kern w:val="0"/>
          <w:sz w:val="32"/>
          <w:szCs w:val="32"/>
          <w:lang w:val="en-US" w:eastAsia="zh-CN" w:bidi="ar-SA"/>
        </w:rPr>
        <w:t>截止2023年6月，下达松潘县发展和改革局财政预算资金共526.15万元。其中基本支出</w:t>
      </w:r>
      <w:r>
        <w:rPr>
          <w:rFonts w:hint="eastAsia" w:ascii="仿宋_GB2312" w:hAnsi="仿宋_GB2312" w:eastAsia="仿宋_GB2312" w:cs="仿宋_GB2312"/>
          <w:color w:val="000000"/>
          <w:kern w:val="0"/>
          <w:sz w:val="32"/>
          <w:szCs w:val="32"/>
          <w:lang w:val="en-US" w:eastAsia="zh-CN"/>
        </w:rPr>
        <w:t>254.81</w:t>
      </w:r>
      <w:r>
        <w:rPr>
          <w:rFonts w:hint="eastAsia" w:ascii="仿宋_GB2312" w:hAnsi="仿宋_GB2312" w:eastAsia="仿宋_GB2312" w:cs="仿宋_GB2312"/>
          <w:color w:val="000000"/>
          <w:kern w:val="0"/>
          <w:sz w:val="32"/>
          <w:szCs w:val="32"/>
          <w:lang w:val="en-US" w:eastAsia="zh-CN" w:bidi="ar-SA"/>
        </w:rPr>
        <w:t>万元；项目支出：255.26万元。</w:t>
      </w:r>
    </w:p>
    <w:p w14:paraId="59432209">
      <w:pPr>
        <w:widowControl/>
        <w:numPr>
          <w:ilvl w:val="0"/>
          <w:numId w:val="1"/>
        </w:numPr>
        <w:adjustRightInd w:val="0"/>
        <w:snapToGrid w:val="0"/>
        <w:spacing w:line="580" w:lineRule="exact"/>
        <w:ind w:left="0" w:leftChars="0" w:firstLine="720" w:firstLineChars="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部门财政资金支出情况。</w:t>
      </w:r>
    </w:p>
    <w:p w14:paraId="568596CC">
      <w:pPr>
        <w:keepNext w:val="0"/>
        <w:keepLines w:val="0"/>
        <w:widowControl/>
        <w:suppressLineNumbers w:val="0"/>
        <w:shd w:val="clear" w:fill="FFFFFF"/>
        <w:snapToGrid w:val="0"/>
        <w:spacing w:before="0" w:beforeAutospacing="0" w:after="0" w:afterAutospacing="0" w:line="580" w:lineRule="exact"/>
        <w:ind w:left="0" w:right="0" w:firstLine="320" w:firstLineChars="100"/>
        <w:jc w:val="left"/>
        <w:rPr>
          <w:rFonts w:hint="eastAsia" w:ascii="仿宋_GB2312" w:hAnsi="仿宋_GB2312" w:eastAsia="仿宋_GB2312" w:cs="仿宋_GB2312"/>
          <w:color w:val="000000"/>
          <w:sz w:val="32"/>
          <w:szCs w:val="32"/>
          <w:shd w:val="clear" w:fill="FFFFFF"/>
          <w:lang w:eastAsia="zh-CN"/>
        </w:rPr>
      </w:pPr>
      <w:r>
        <w:rPr>
          <w:rFonts w:hint="eastAsia" w:ascii="仿宋_GB2312" w:hAnsi="仿宋_GB2312" w:eastAsia="仿宋_GB2312" w:cs="仿宋_GB2312"/>
          <w:color w:val="000000"/>
          <w:kern w:val="0"/>
          <w:sz w:val="32"/>
          <w:szCs w:val="32"/>
          <w:shd w:val="clear" w:fill="FFFFFF"/>
          <w:lang w:val="en-US" w:eastAsia="zh-CN" w:bidi="ar"/>
        </w:rPr>
        <w:t>2022年部门预算基本支出预算总数381.62万元，其中：人员支出361.33万元，公用支出20.29万元。2022年部门决算基本支出数为451.32万元，其中人员支出：431.86万元，公用支出19.46万元.</w:t>
      </w:r>
      <w:r>
        <w:rPr>
          <w:rFonts w:hint="eastAsia" w:ascii="仿宋_GB2312" w:hAnsi="仿宋_GB2312" w:eastAsia="仿宋_GB2312" w:cs="仿宋_GB2312"/>
          <w:color w:val="000000"/>
          <w:sz w:val="32"/>
          <w:szCs w:val="32"/>
          <w:shd w:val="clear" w:fill="FFFFFF"/>
          <w:lang w:val="en-US"/>
        </w:rPr>
        <w:t>202</w:t>
      </w:r>
      <w:r>
        <w:rPr>
          <w:rFonts w:hint="eastAsia" w:ascii="仿宋_GB2312" w:hAnsi="仿宋_GB2312" w:eastAsia="仿宋_GB2312" w:cs="仿宋_GB2312"/>
          <w:color w:val="000000"/>
          <w:sz w:val="32"/>
          <w:szCs w:val="32"/>
          <w:shd w:val="clear" w:fill="FFFFFF"/>
          <w:lang w:val="en-US" w:eastAsia="zh-CN"/>
        </w:rPr>
        <w:t>2</w:t>
      </w:r>
      <w:r>
        <w:rPr>
          <w:rFonts w:hint="eastAsia" w:ascii="仿宋_GB2312" w:hAnsi="仿宋_GB2312" w:eastAsia="仿宋_GB2312" w:cs="仿宋_GB2312"/>
          <w:color w:val="000000"/>
          <w:sz w:val="32"/>
          <w:szCs w:val="32"/>
          <w:shd w:val="clear" w:fill="FFFFFF"/>
          <w:lang w:eastAsia="zh-CN"/>
        </w:rPr>
        <w:t>年部门预算项目支出预算总数</w:t>
      </w:r>
      <w:r>
        <w:rPr>
          <w:rFonts w:hint="eastAsia" w:ascii="仿宋_GB2312" w:hAnsi="仿宋_GB2312" w:eastAsia="仿宋_GB2312" w:cs="仿宋_GB2312"/>
          <w:color w:val="000000"/>
          <w:sz w:val="32"/>
          <w:szCs w:val="32"/>
          <w:shd w:val="clear" w:fill="FFFFFF"/>
          <w:lang w:val="en-US" w:eastAsia="zh-CN"/>
        </w:rPr>
        <w:t>849.28</w:t>
      </w:r>
      <w:r>
        <w:rPr>
          <w:rFonts w:hint="eastAsia" w:ascii="仿宋_GB2312" w:hAnsi="仿宋_GB2312" w:eastAsia="仿宋_GB2312" w:cs="仿宋_GB2312"/>
          <w:color w:val="000000"/>
          <w:sz w:val="32"/>
          <w:szCs w:val="32"/>
          <w:shd w:val="clear" w:fill="FFFFFF"/>
          <w:lang w:eastAsia="zh-CN"/>
        </w:rPr>
        <w:t>万元，其中：其中项目</w:t>
      </w:r>
      <w:r>
        <w:rPr>
          <w:rFonts w:hint="eastAsia" w:ascii="仿宋_GB2312" w:hAnsi="仿宋_GB2312" w:eastAsia="仿宋_GB2312" w:cs="仿宋_GB2312"/>
          <w:color w:val="000000"/>
          <w:sz w:val="32"/>
          <w:szCs w:val="32"/>
          <w:shd w:val="clear" w:fill="FFFFFF"/>
          <w:lang w:val="en-US" w:eastAsia="zh-CN"/>
        </w:rPr>
        <w:t>基建类为383.95</w:t>
      </w:r>
      <w:r>
        <w:rPr>
          <w:rFonts w:hint="eastAsia" w:ascii="仿宋_GB2312" w:hAnsi="仿宋_GB2312" w:eastAsia="仿宋_GB2312" w:cs="仿宋_GB2312"/>
          <w:color w:val="000000"/>
          <w:sz w:val="32"/>
          <w:szCs w:val="32"/>
          <w:shd w:val="clear" w:fill="FFFFFF"/>
          <w:lang w:eastAsia="zh-CN"/>
        </w:rPr>
        <w:t>万元。</w:t>
      </w:r>
      <w:r>
        <w:rPr>
          <w:rFonts w:hint="eastAsia" w:ascii="仿宋_GB2312" w:hAnsi="仿宋_GB2312" w:eastAsia="仿宋_GB2312" w:cs="仿宋_GB2312"/>
          <w:color w:val="000000"/>
          <w:sz w:val="32"/>
          <w:szCs w:val="32"/>
          <w:shd w:val="clear" w:fill="FFFFFF"/>
          <w:lang w:val="en-US"/>
        </w:rPr>
        <w:t>202</w:t>
      </w:r>
      <w:r>
        <w:rPr>
          <w:rFonts w:hint="eastAsia" w:ascii="仿宋_GB2312" w:hAnsi="仿宋_GB2312" w:eastAsia="仿宋_GB2312" w:cs="仿宋_GB2312"/>
          <w:color w:val="000000"/>
          <w:sz w:val="32"/>
          <w:szCs w:val="32"/>
          <w:shd w:val="clear" w:fill="FFFFFF"/>
          <w:lang w:val="en-US" w:eastAsia="zh-CN"/>
        </w:rPr>
        <w:t>2</w:t>
      </w:r>
      <w:r>
        <w:rPr>
          <w:rFonts w:hint="eastAsia" w:ascii="仿宋_GB2312" w:hAnsi="仿宋_GB2312" w:eastAsia="仿宋_GB2312" w:cs="仿宋_GB2312"/>
          <w:color w:val="000000"/>
          <w:sz w:val="32"/>
          <w:szCs w:val="32"/>
          <w:shd w:val="clear" w:fill="FFFFFF"/>
          <w:lang w:eastAsia="zh-CN"/>
        </w:rPr>
        <w:t>年部门决算项目支出总数</w:t>
      </w:r>
      <w:r>
        <w:rPr>
          <w:rFonts w:hint="eastAsia" w:ascii="仿宋_GB2312" w:hAnsi="仿宋_GB2312" w:eastAsia="仿宋_GB2312" w:cs="仿宋_GB2312"/>
          <w:color w:val="000000"/>
          <w:sz w:val="32"/>
          <w:szCs w:val="32"/>
          <w:shd w:val="clear" w:fill="FFFFFF"/>
          <w:lang w:val="en-US" w:eastAsia="zh-CN"/>
        </w:rPr>
        <w:t>849.28</w:t>
      </w:r>
      <w:r>
        <w:rPr>
          <w:rFonts w:hint="eastAsia" w:ascii="仿宋_GB2312" w:hAnsi="仿宋_GB2312" w:eastAsia="仿宋_GB2312" w:cs="仿宋_GB2312"/>
          <w:color w:val="000000"/>
          <w:sz w:val="32"/>
          <w:szCs w:val="32"/>
          <w:shd w:val="clear" w:fill="FFFFFF"/>
          <w:lang w:eastAsia="zh-CN"/>
        </w:rPr>
        <w:t>万元，其中：一般行政管理事务项目经费：</w:t>
      </w:r>
      <w:r>
        <w:rPr>
          <w:rFonts w:hint="eastAsia" w:ascii="仿宋_GB2312" w:hAnsi="仿宋_GB2312" w:eastAsia="仿宋_GB2312" w:cs="仿宋_GB2312"/>
          <w:color w:val="000000"/>
          <w:sz w:val="32"/>
          <w:szCs w:val="32"/>
          <w:shd w:val="clear" w:fill="FFFFFF"/>
          <w:lang w:val="en-US" w:eastAsia="zh-CN"/>
        </w:rPr>
        <w:t>42</w:t>
      </w:r>
      <w:r>
        <w:rPr>
          <w:rFonts w:hint="eastAsia" w:ascii="仿宋_GB2312" w:hAnsi="仿宋_GB2312" w:eastAsia="仿宋_GB2312" w:cs="仿宋_GB2312"/>
          <w:color w:val="000000"/>
          <w:sz w:val="32"/>
          <w:szCs w:val="32"/>
          <w:shd w:val="clear" w:fill="FFFFFF"/>
          <w:lang w:eastAsia="zh-CN"/>
        </w:rPr>
        <w:t>万元，</w:t>
      </w:r>
      <w:r>
        <w:rPr>
          <w:rFonts w:hint="eastAsia" w:ascii="仿宋_GB2312" w:hAnsi="仿宋_GB2312" w:eastAsia="仿宋_GB2312" w:cs="仿宋_GB2312"/>
          <w:color w:val="000000"/>
          <w:sz w:val="32"/>
          <w:szCs w:val="32"/>
          <w:shd w:val="clear" w:fill="FFFFFF"/>
          <w:lang w:val="en-US" w:eastAsia="zh-CN"/>
        </w:rPr>
        <w:t>粮油物资储备</w:t>
      </w:r>
      <w:r>
        <w:rPr>
          <w:rFonts w:hint="eastAsia" w:ascii="仿宋_GB2312" w:hAnsi="仿宋_GB2312" w:eastAsia="仿宋_GB2312" w:cs="仿宋_GB2312"/>
          <w:color w:val="000000"/>
          <w:sz w:val="32"/>
          <w:szCs w:val="32"/>
          <w:shd w:val="clear" w:fill="FFFFFF"/>
          <w:lang w:eastAsia="zh-CN"/>
        </w:rPr>
        <w:t>项目：</w:t>
      </w:r>
      <w:r>
        <w:rPr>
          <w:rFonts w:hint="eastAsia" w:ascii="仿宋_GB2312" w:hAnsi="仿宋_GB2312" w:eastAsia="仿宋_GB2312" w:cs="仿宋_GB2312"/>
          <w:color w:val="000000"/>
          <w:sz w:val="32"/>
          <w:szCs w:val="32"/>
          <w:shd w:val="clear" w:fill="FFFFFF"/>
          <w:lang w:val="en-US" w:eastAsia="zh-CN"/>
        </w:rPr>
        <w:t>10</w:t>
      </w:r>
      <w:r>
        <w:rPr>
          <w:rFonts w:hint="eastAsia" w:ascii="仿宋_GB2312" w:hAnsi="仿宋_GB2312" w:eastAsia="仿宋_GB2312" w:cs="仿宋_GB2312"/>
          <w:color w:val="000000"/>
          <w:sz w:val="32"/>
          <w:szCs w:val="32"/>
          <w:shd w:val="clear" w:fill="FFFFFF"/>
          <w:lang w:eastAsia="zh-CN"/>
        </w:rPr>
        <w:t>万元，农林水支出：</w:t>
      </w:r>
      <w:r>
        <w:rPr>
          <w:rFonts w:hint="eastAsia" w:ascii="仿宋_GB2312" w:hAnsi="仿宋_GB2312" w:eastAsia="仿宋_GB2312" w:cs="仿宋_GB2312"/>
          <w:color w:val="000000"/>
          <w:sz w:val="32"/>
          <w:szCs w:val="32"/>
          <w:shd w:val="clear" w:fill="FFFFFF"/>
          <w:lang w:val="en-US" w:eastAsia="zh-CN"/>
        </w:rPr>
        <w:t>797.28</w:t>
      </w:r>
      <w:r>
        <w:rPr>
          <w:rFonts w:hint="eastAsia" w:ascii="仿宋_GB2312" w:hAnsi="仿宋_GB2312" w:eastAsia="仿宋_GB2312" w:cs="仿宋_GB2312"/>
          <w:color w:val="000000"/>
          <w:sz w:val="32"/>
          <w:szCs w:val="32"/>
          <w:shd w:val="clear" w:fill="FFFFFF"/>
          <w:lang w:eastAsia="zh-CN"/>
        </w:rPr>
        <w:t>万元。</w:t>
      </w:r>
    </w:p>
    <w:p w14:paraId="5C216BC1">
      <w:pPr>
        <w:widowControl/>
        <w:numPr>
          <w:ilvl w:val="0"/>
          <w:numId w:val="0"/>
        </w:numPr>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三、部门整体预算绩效管理情况（根据适用指标体系进行调整</w:t>
      </w:r>
      <w:r>
        <w:rPr>
          <w:rFonts w:hint="eastAsia" w:ascii="仿宋_GB2312" w:hAnsi="仿宋_GB2312" w:eastAsia="仿宋_GB2312" w:cs="仿宋_GB2312"/>
          <w:color w:val="000000"/>
          <w:kern w:val="0"/>
          <w:sz w:val="32"/>
          <w:szCs w:val="32"/>
          <w:shd w:val="clear" w:color="auto" w:fill="FFFFFF"/>
          <w:lang w:eastAsia="zh-CN"/>
        </w:rPr>
        <w:t>，涉及有专项预算的部门，专项预算项目自评报告根据要求另行单独报送</w:t>
      </w:r>
      <w:r>
        <w:rPr>
          <w:rFonts w:hint="eastAsia" w:ascii="仿宋_GB2312" w:hAnsi="仿宋_GB2312" w:eastAsia="仿宋_GB2312" w:cs="仿宋_GB2312"/>
          <w:color w:val="000000"/>
          <w:kern w:val="0"/>
          <w:sz w:val="32"/>
          <w:szCs w:val="32"/>
          <w:shd w:val="clear" w:color="auto" w:fill="FFFFFF"/>
        </w:rPr>
        <w:t>）</w:t>
      </w:r>
    </w:p>
    <w:p w14:paraId="5887B75B">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（一）部门预算管理。</w:t>
      </w:r>
    </w:p>
    <w:p w14:paraId="619A45BC">
      <w:pPr>
        <w:keepNext w:val="0"/>
        <w:keepLines w:val="0"/>
        <w:pageBreakBefore w:val="0"/>
        <w:kinsoku/>
        <w:wordWrap/>
        <w:overflowPunct/>
        <w:topLinePunct w:val="0"/>
        <w:autoSpaceDE/>
        <w:autoSpaceDN/>
        <w:bidi w:val="0"/>
        <w:spacing w:beforeAutospacing="0" w:afterAutospacing="0" w:line="576" w:lineRule="exact"/>
        <w:ind w:right="0" w:rightChars="0"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县财政及时足额下达年初预算，上级部门下达转移支付专项资金指标后，也能及时将资金落实给部门，为部门的业务工作顺利开展提供了强有力的财力保障。</w:t>
      </w:r>
    </w:p>
    <w:p w14:paraId="6F451808">
      <w:pPr>
        <w:keepNext w:val="0"/>
        <w:keepLines w:val="0"/>
        <w:pageBreakBefore w:val="0"/>
        <w:kinsoku/>
        <w:wordWrap/>
        <w:overflowPunct/>
        <w:topLinePunct w:val="0"/>
        <w:autoSpaceDE/>
        <w:autoSpaceDN/>
        <w:bidi w:val="0"/>
        <w:snapToGrid w:val="0"/>
        <w:spacing w:beforeAutospacing="0" w:afterAutospacing="0" w:line="576"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总收入</w:t>
      </w:r>
      <w:r>
        <w:rPr>
          <w:rFonts w:hint="eastAsia" w:ascii="仿宋_GB2312" w:hAnsi="仿宋_GB2312" w:eastAsia="仿宋_GB2312" w:cs="仿宋_GB2312"/>
          <w:color w:val="auto"/>
          <w:sz w:val="32"/>
          <w:szCs w:val="32"/>
          <w:lang w:val="en-US" w:eastAsia="zh-CN"/>
        </w:rPr>
        <w:t>1300.61</w:t>
      </w:r>
      <w:r>
        <w:rPr>
          <w:rFonts w:hint="eastAsia" w:ascii="仿宋_GB2312" w:hAnsi="仿宋_GB2312" w:eastAsia="仿宋_GB2312" w:cs="仿宋_GB2312"/>
          <w:color w:val="000000"/>
          <w:sz w:val="32"/>
          <w:szCs w:val="32"/>
          <w:lang w:val="en-US" w:eastAsia="zh-CN"/>
        </w:rPr>
        <w:t>万元、</w:t>
      </w:r>
      <w:r>
        <w:rPr>
          <w:rFonts w:hint="eastAsia" w:ascii="仿宋_GB2312" w:hAnsi="仿宋_GB2312" w:eastAsia="仿宋_GB2312" w:cs="仿宋_GB2312"/>
          <w:color w:val="auto"/>
          <w:sz w:val="32"/>
          <w:szCs w:val="32"/>
        </w:rPr>
        <w:t>总支出</w:t>
      </w:r>
      <w:r>
        <w:rPr>
          <w:rFonts w:hint="eastAsia" w:ascii="仿宋_GB2312" w:hAnsi="仿宋_GB2312" w:eastAsia="仿宋_GB2312" w:cs="仿宋_GB2312"/>
          <w:color w:val="000000"/>
          <w:sz w:val="32"/>
          <w:szCs w:val="32"/>
          <w:lang w:val="en-US" w:eastAsia="zh-CN"/>
        </w:rPr>
        <w:t>1300.61</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其中：</w:t>
      </w:r>
      <w:r>
        <w:rPr>
          <w:rFonts w:hint="eastAsia" w:ascii="仿宋_GB2312" w:hAnsi="仿宋_GB2312" w:eastAsia="仿宋_GB2312" w:cs="仿宋_GB2312"/>
          <w:color w:val="auto"/>
          <w:sz w:val="32"/>
          <w:szCs w:val="32"/>
          <w:lang w:eastAsia="zh-CN"/>
        </w:rPr>
        <w:t>工资福利支出</w:t>
      </w:r>
      <w:r>
        <w:rPr>
          <w:rFonts w:hint="eastAsia" w:ascii="仿宋_GB2312" w:hAnsi="仿宋_GB2312" w:eastAsia="仿宋_GB2312" w:cs="仿宋_GB2312"/>
          <w:color w:val="auto"/>
          <w:sz w:val="32"/>
          <w:szCs w:val="32"/>
          <w:lang w:val="en-US" w:eastAsia="zh-CN"/>
        </w:rPr>
        <w:t>423.46</w:t>
      </w:r>
      <w:r>
        <w:rPr>
          <w:rFonts w:hint="eastAsia" w:ascii="仿宋_GB2312" w:hAnsi="仿宋_GB2312" w:eastAsia="仿宋_GB2312" w:cs="仿宋_GB2312"/>
          <w:color w:val="auto"/>
          <w:sz w:val="32"/>
          <w:szCs w:val="32"/>
        </w:rPr>
        <w:t>万元、占总支出的</w:t>
      </w:r>
      <w:r>
        <w:rPr>
          <w:rFonts w:hint="eastAsia" w:ascii="仿宋_GB2312" w:hAnsi="仿宋_GB2312" w:eastAsia="仿宋_GB2312" w:cs="仿宋_GB2312"/>
          <w:color w:val="auto"/>
          <w:sz w:val="32"/>
          <w:szCs w:val="32"/>
          <w:lang w:val="en-US" w:eastAsia="zh-CN"/>
        </w:rPr>
        <w:t>32.56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商品和服务支出</w:t>
      </w:r>
      <w:r>
        <w:rPr>
          <w:rFonts w:hint="eastAsia" w:ascii="仿宋_GB2312" w:hAnsi="仿宋_GB2312" w:eastAsia="仿宋_GB2312" w:cs="仿宋_GB2312"/>
          <w:color w:val="auto"/>
          <w:sz w:val="32"/>
          <w:szCs w:val="32"/>
          <w:lang w:val="en-US" w:eastAsia="zh-CN"/>
        </w:rPr>
        <w:t>19.46</w:t>
      </w:r>
      <w:r>
        <w:rPr>
          <w:rFonts w:hint="eastAsia" w:ascii="仿宋_GB2312" w:hAnsi="仿宋_GB2312" w:eastAsia="仿宋_GB2312" w:cs="仿宋_GB2312"/>
          <w:color w:val="auto"/>
          <w:sz w:val="32"/>
          <w:szCs w:val="32"/>
        </w:rPr>
        <w:t>万元、占总支出的</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个人和家庭的补助</w:t>
      </w:r>
      <w:r>
        <w:rPr>
          <w:rFonts w:hint="eastAsia" w:ascii="仿宋_GB2312" w:hAnsi="仿宋_GB2312" w:eastAsia="仿宋_GB2312" w:cs="仿宋_GB2312"/>
          <w:color w:val="auto"/>
          <w:sz w:val="32"/>
          <w:szCs w:val="32"/>
          <w:lang w:val="en-US" w:eastAsia="zh-CN"/>
        </w:rPr>
        <w:t>8.41万元</w:t>
      </w:r>
      <w:r>
        <w:rPr>
          <w:rFonts w:hint="eastAsia" w:ascii="仿宋_GB2312" w:hAnsi="仿宋_GB2312" w:eastAsia="仿宋_GB2312" w:cs="仿宋_GB2312"/>
          <w:color w:val="auto"/>
          <w:sz w:val="32"/>
          <w:szCs w:val="32"/>
        </w:rPr>
        <w:t>、占总支出的</w:t>
      </w:r>
      <w:r>
        <w:rPr>
          <w:rFonts w:hint="eastAsia" w:ascii="仿宋_GB2312" w:hAnsi="仿宋_GB2312" w:eastAsia="仿宋_GB2312" w:cs="仿宋_GB2312"/>
          <w:color w:val="auto"/>
          <w:sz w:val="32"/>
          <w:szCs w:val="32"/>
          <w:lang w:val="en-US" w:eastAsia="zh-CN"/>
        </w:rPr>
        <w:t>0.65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其他资本性支出</w:t>
      </w:r>
      <w:r>
        <w:rPr>
          <w:rFonts w:hint="eastAsia" w:ascii="仿宋_GB2312" w:hAnsi="仿宋_GB2312" w:eastAsia="仿宋_GB2312" w:cs="仿宋_GB2312"/>
          <w:color w:val="auto"/>
          <w:sz w:val="32"/>
          <w:szCs w:val="32"/>
          <w:lang w:val="en-US" w:eastAsia="zh-CN"/>
        </w:rPr>
        <w:t>849.28</w:t>
      </w:r>
      <w:r>
        <w:rPr>
          <w:rFonts w:hint="eastAsia" w:ascii="仿宋_GB2312" w:hAnsi="仿宋_GB2312" w:eastAsia="仿宋_GB2312" w:cs="仿宋_GB2312"/>
          <w:color w:val="auto"/>
          <w:sz w:val="32"/>
          <w:szCs w:val="32"/>
        </w:rPr>
        <w:t>万元，占总支出的</w:t>
      </w:r>
      <w:r>
        <w:rPr>
          <w:rFonts w:hint="eastAsia" w:ascii="仿宋_GB2312" w:hAnsi="仿宋_GB2312" w:eastAsia="仿宋_GB2312" w:cs="仿宋_GB2312"/>
          <w:color w:val="auto"/>
          <w:sz w:val="32"/>
          <w:szCs w:val="32"/>
          <w:lang w:val="en-US" w:eastAsia="zh-CN"/>
        </w:rPr>
        <w:t>65.3</w:t>
      </w:r>
      <w:r>
        <w:rPr>
          <w:rFonts w:hint="eastAsia" w:ascii="仿宋_GB2312" w:hAnsi="仿宋_GB2312" w:eastAsia="仿宋_GB2312" w:cs="仿宋_GB2312"/>
          <w:color w:val="auto"/>
          <w:sz w:val="32"/>
          <w:szCs w:val="32"/>
        </w:rPr>
        <w:t>%。</w:t>
      </w:r>
    </w:p>
    <w:p w14:paraId="275F191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kern w:val="0"/>
          <w:sz w:val="32"/>
          <w:szCs w:val="32"/>
          <w:lang w:val="en-US" w:eastAsia="zh-CN"/>
        </w:rPr>
        <w:t>2023年1至6月松潘县发展和改革局总收入</w:t>
      </w:r>
      <w:r>
        <w:rPr>
          <w:rFonts w:hint="eastAsia" w:ascii="仿宋_GB2312" w:hAnsi="仿宋_GB2312" w:eastAsia="仿宋_GB2312" w:cs="仿宋_GB2312"/>
          <w:color w:val="000000"/>
          <w:kern w:val="0"/>
          <w:sz w:val="32"/>
          <w:szCs w:val="32"/>
          <w:lang w:val="en-US" w:eastAsia="zh-CN" w:bidi="ar-SA"/>
        </w:rPr>
        <w:t>510.07万元、</w:t>
      </w:r>
      <w:r>
        <w:rPr>
          <w:rFonts w:hint="eastAsia" w:ascii="仿宋_GB2312" w:hAnsi="仿宋_GB2312" w:eastAsia="仿宋_GB2312" w:cs="仿宋_GB2312"/>
          <w:color w:val="000000"/>
          <w:kern w:val="0"/>
          <w:sz w:val="32"/>
          <w:szCs w:val="32"/>
          <w:lang w:val="en-US" w:eastAsia="zh-CN"/>
        </w:rPr>
        <w:t>支出510.07万元：工资福利支出157.43万元、占总支出的30.86%；养老保险等支出49.59万元、占总支出的9.72%，五险支出30.64万元、占总支出的6%；日常公用经费支出17.15万元、占总支出的3.36%；项目支出255.26万元。占总支出的50.04%。</w:t>
      </w:r>
    </w:p>
    <w:p w14:paraId="03E7D9C7">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（二）结果应用情况。</w:t>
      </w:r>
    </w:p>
    <w:p w14:paraId="5BAA391F">
      <w:pPr>
        <w:pStyle w:val="11"/>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我单位无政府性债务</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非税收收入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政府采购严格按照相关采购规定执行。</w:t>
      </w:r>
    </w:p>
    <w:p w14:paraId="5BC2079B">
      <w:pPr>
        <w:pStyle w:val="11"/>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资产管理严格按照资产管理制度执行，</w:t>
      </w:r>
      <w:r>
        <w:rPr>
          <w:rFonts w:hint="eastAsia" w:ascii="仿宋_GB2312" w:hAnsi="仿宋_GB2312" w:eastAsia="仿宋_GB2312" w:cs="仿宋_GB2312"/>
          <w:color w:val="000000"/>
          <w:sz w:val="32"/>
          <w:szCs w:val="32"/>
        </w:rPr>
        <w:t>严格执行</w:t>
      </w:r>
      <w:r>
        <w:rPr>
          <w:rFonts w:hint="eastAsia" w:ascii="仿宋_GB2312" w:hAnsi="仿宋_GB2312" w:eastAsia="仿宋_GB2312" w:cs="仿宋_GB2312"/>
          <w:color w:val="000000"/>
          <w:sz w:val="32"/>
          <w:szCs w:val="32"/>
          <w:lang w:eastAsia="zh-CN"/>
        </w:rPr>
        <w:t>法律法规</w:t>
      </w:r>
      <w:r>
        <w:rPr>
          <w:rFonts w:hint="eastAsia" w:ascii="仿宋_GB2312" w:hAnsi="仿宋_GB2312" w:eastAsia="仿宋_GB2312" w:cs="仿宋_GB2312"/>
          <w:color w:val="000000"/>
          <w:sz w:val="32"/>
          <w:szCs w:val="32"/>
        </w:rPr>
        <w:t>和有关规章制度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与行政单位履行职能需要相适应</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科学合理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充分发挥资产使用效益</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勤俭节约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从严控制。</w:t>
      </w:r>
    </w:p>
    <w:p w14:paraId="3C83D621">
      <w:pPr>
        <w:pStyle w:val="11"/>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建立单位内控制度，</w:t>
      </w:r>
      <w:r>
        <w:rPr>
          <w:rFonts w:hint="eastAsia" w:ascii="仿宋_GB2312" w:hAnsi="仿宋_GB2312" w:eastAsia="仿宋_GB2312" w:cs="仿宋_GB2312"/>
          <w:sz w:val="32"/>
          <w:szCs w:val="32"/>
        </w:rPr>
        <w:t>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4EC9529F">
      <w:pPr>
        <w:pStyle w:val="11"/>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将同级财政部门批复的本部门预决算报表及相关说明全部在政府门户网站公开，</w:t>
      </w:r>
      <w:r>
        <w:rPr>
          <w:rFonts w:hint="eastAsia" w:ascii="仿宋_GB2312" w:hAnsi="仿宋_GB2312" w:eastAsia="仿宋_GB2312" w:cs="仿宋_GB2312"/>
          <w:color w:val="000000"/>
          <w:sz w:val="32"/>
          <w:szCs w:val="32"/>
        </w:rPr>
        <w:t>包括部门收支总体情况和财政拨款收支情况，公开公示了我部门“三公”经费财政拨款预决算总额和分项数额。本部门公开预决算的同时，一并公开了本部门的职责、机构设置情况、预决算收支增减变化、机关运行经费安排以及政府采购等情况的说明，并对专业性较强的名词进行解释</w:t>
      </w:r>
    </w:p>
    <w:p w14:paraId="5A80AFF8">
      <w:pPr>
        <w:widowControl/>
        <w:adjustRightInd w:val="0"/>
        <w:snapToGrid w:val="0"/>
        <w:spacing w:line="580" w:lineRule="exact"/>
        <w:contextualSpacing/>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四、评价结论及建议</w:t>
      </w:r>
    </w:p>
    <w:p w14:paraId="79E5116A">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（一）评价结论。</w:t>
      </w:r>
    </w:p>
    <w:p w14:paraId="72D6046C">
      <w:pPr>
        <w:keepNext w:val="0"/>
        <w:keepLines w:val="0"/>
        <w:pageBreakBefore w:val="0"/>
        <w:widowControl/>
        <w:kinsoku/>
        <w:wordWrap/>
        <w:overflowPunct/>
        <w:topLinePunct w:val="0"/>
        <w:autoSpaceDE/>
        <w:autoSpaceDN/>
        <w:bidi w:val="0"/>
        <w:spacing w:beforeAutospacing="0" w:afterAutospacing="0" w:line="576" w:lineRule="exact"/>
        <w:ind w:right="0" w:righ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2022</w:t>
      </w:r>
      <w:r>
        <w:rPr>
          <w:rFonts w:hint="eastAsia" w:ascii="仿宋_GB2312" w:hAnsi="仿宋_GB2312" w:eastAsia="仿宋_GB2312" w:cs="仿宋_GB2312"/>
          <w:color w:val="000000"/>
          <w:sz w:val="32"/>
          <w:szCs w:val="32"/>
        </w:rPr>
        <w:t>年我部门预算执行整体情况正常，按照各项工作有序开展的进度，财政资金收支情况同时也按进度执行。</w:t>
      </w:r>
    </w:p>
    <w:p w14:paraId="57E8E5E1">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（二）存在问题。</w:t>
      </w:r>
    </w:p>
    <w:p w14:paraId="4CAD515F">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sz w:val="32"/>
          <w:szCs w:val="32"/>
        </w:rPr>
        <w:t>单位无专业财务人员</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财务工作越来越繁重复杂，影响了本单位财务收支工作。</w:t>
      </w:r>
    </w:p>
    <w:p w14:paraId="3FB24A2A">
      <w:pPr>
        <w:widowControl/>
        <w:numPr>
          <w:ilvl w:val="0"/>
          <w:numId w:val="1"/>
        </w:numPr>
        <w:adjustRightInd w:val="0"/>
        <w:snapToGrid w:val="0"/>
        <w:spacing w:line="580" w:lineRule="exact"/>
        <w:ind w:left="0" w:leftChars="0" w:firstLine="720" w:firstLineChars="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改进建议。</w:t>
      </w:r>
    </w:p>
    <w:p w14:paraId="29FF942A">
      <w:pPr>
        <w:keepNext w:val="0"/>
        <w:keepLines w:val="0"/>
        <w:pageBreakBefore w:val="0"/>
        <w:widowControl/>
        <w:kinsoku/>
        <w:wordWrap/>
        <w:overflowPunct/>
        <w:topLinePunct w:val="0"/>
        <w:autoSpaceDE/>
        <w:autoSpaceDN/>
        <w:bidi w:val="0"/>
        <w:adjustRightInd w:val="0"/>
        <w:snapToGrid w:val="0"/>
        <w:spacing w:beforeAutospacing="0" w:afterAutospacing="0" w:line="576" w:lineRule="exact"/>
        <w:ind w:left="0" w:leftChars="0" w:right="0" w:rightChars="0" w:firstLine="720"/>
        <w:jc w:val="left"/>
        <w:textAlignment w:val="auto"/>
        <w:outlineLvl w:val="9"/>
        <w:rPr>
          <w:rFonts w:hint="eastAsia" w:ascii="仿宋_GB2312" w:hAnsi="仿宋_GB2312" w:eastAsia="仿宋_GB2312" w:cs="仿宋_GB2312"/>
          <w:color w:val="000000"/>
          <w:kern w:val="0"/>
          <w:sz w:val="32"/>
          <w:szCs w:val="32"/>
          <w:lang w:val="zh-CN"/>
        </w:rPr>
      </w:pPr>
      <w:r>
        <w:rPr>
          <w:rFonts w:hint="eastAsia" w:ascii="仿宋_GB2312" w:hAnsi="仿宋_GB2312" w:eastAsia="仿宋_GB2312" w:cs="仿宋_GB2312"/>
          <w:color w:val="000000"/>
          <w:kern w:val="0"/>
          <w:sz w:val="32"/>
          <w:szCs w:val="32"/>
          <w:lang w:val="zh-CN"/>
        </w:rPr>
        <w:t>我局结合实际就如何继续抓好此项工作拟出如下几点意见：一是健全财务制度。二是提升人员素质，加强工作人员学习培训，提升工作人员业务水平、工作能力与责任心。三是继续加大公开力度，强化监督。</w:t>
      </w:r>
    </w:p>
    <w:p w14:paraId="2F2A5E42">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p>
    <w:p w14:paraId="3670045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b/>
          <w:sz w:val="44"/>
          <w:szCs w:val="44"/>
        </w:rPr>
      </w:pPr>
      <w:r>
        <w:rPr>
          <w:rFonts w:hint="eastAsia" w:ascii="仿宋_GB2312" w:hAnsi="仿宋_GB2312" w:eastAsia="仿宋_GB2312" w:cs="仿宋_GB2312"/>
          <w:b/>
          <w:sz w:val="44"/>
          <w:szCs w:val="44"/>
          <w:lang w:val="en-US" w:eastAsia="zh-CN"/>
        </w:rPr>
        <w:t>松潘县2022年以工代赈示范工程年</w:t>
      </w:r>
      <w:r>
        <w:rPr>
          <w:rFonts w:hint="eastAsia" w:ascii="仿宋_GB2312" w:hAnsi="仿宋_GB2312" w:eastAsia="仿宋_GB2312" w:cs="仿宋_GB2312"/>
          <w:b/>
          <w:sz w:val="44"/>
          <w:szCs w:val="44"/>
        </w:rPr>
        <w:t>度绩效自评报告</w:t>
      </w:r>
    </w:p>
    <w:p w14:paraId="72A2EC6A">
      <w:pPr>
        <w:ind w:firstLine="480" w:firstLineChars="200"/>
        <w:rPr>
          <w:rFonts w:hint="eastAsia" w:ascii="黑体" w:hAnsi="黑体" w:eastAsia="黑体" w:cs="黑体"/>
          <w:bCs/>
          <w:szCs w:val="32"/>
        </w:rPr>
      </w:pPr>
    </w:p>
    <w:p w14:paraId="42496925">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一、绩效目标分解下达情况</w:t>
      </w:r>
    </w:p>
    <w:p w14:paraId="119E9FA3">
      <w:pPr>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松潘县2022年以工代赈示范工程</w:t>
      </w:r>
      <w:r>
        <w:rPr>
          <w:rFonts w:hint="eastAsia" w:ascii="仿宋_GB2312" w:hAnsi="仿宋_GB2312" w:eastAsia="仿宋_GB2312" w:cs="仿宋_GB2312"/>
          <w:sz w:val="32"/>
          <w:szCs w:val="32"/>
          <w:lang w:eastAsia="zh-CN"/>
        </w:rPr>
        <w:t>总投资</w:t>
      </w:r>
      <w:r>
        <w:rPr>
          <w:rFonts w:hint="eastAsia" w:ascii="仿宋_GB2312" w:hAnsi="仿宋_GB2312" w:eastAsia="仿宋_GB2312" w:cs="仿宋_GB2312"/>
          <w:b w:val="0"/>
          <w:bCs/>
          <w:kern w:val="2"/>
          <w:sz w:val="32"/>
          <w:szCs w:val="32"/>
          <w:lang w:val="en-US" w:eastAsia="zh-CN" w:bidi="ar-SA"/>
        </w:rPr>
        <w:t>399万元，其中中央预算内投资资金299万元，地方配套资金100万元，财评价为366.3330万元。</w:t>
      </w:r>
      <w:r>
        <w:rPr>
          <w:rFonts w:hint="eastAsia" w:ascii="仿宋_GB2312" w:hAnsi="仿宋_GB2312" w:eastAsia="仿宋_GB2312" w:cs="仿宋_GB2312"/>
          <w:sz w:val="32"/>
          <w:szCs w:val="32"/>
        </w:rPr>
        <w:tab/>
      </w:r>
    </w:p>
    <w:p w14:paraId="01D3D946">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二、绩效目标完成情况分析</w:t>
      </w:r>
    </w:p>
    <w:p w14:paraId="5EE6CF1D">
      <w:pPr>
        <w:ind w:firstLine="643" w:firstLineChars="200"/>
        <w:outlineLvl w:val="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sz w:val="32"/>
          <w:szCs w:val="32"/>
        </w:rPr>
        <w:t>（一）资金投入情况分析。</w:t>
      </w:r>
      <w:r>
        <w:rPr>
          <w:rFonts w:hint="eastAsia" w:ascii="仿宋_GB2312" w:hAnsi="仿宋_GB2312" w:eastAsia="仿宋_GB2312" w:cs="仿宋_GB2312"/>
          <w:b w:val="0"/>
          <w:bCs/>
          <w:kern w:val="2"/>
          <w:sz w:val="32"/>
          <w:szCs w:val="32"/>
          <w:lang w:val="en-US" w:eastAsia="zh-CN" w:bidi="ar-SA"/>
        </w:rPr>
        <w:t>总投资为399万元，其中中央预算内投资资金299万元，地方配套资金100万元，财评价为366.3330万元，现已支付299万元。</w:t>
      </w:r>
    </w:p>
    <w:p w14:paraId="05E1696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76" w:lineRule="exact"/>
        <w:ind w:left="0" w:right="0"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（二）资金管理情况分析。</w:t>
      </w:r>
      <w:r>
        <w:rPr>
          <w:rFonts w:hint="eastAsia" w:ascii="仿宋_GB2312" w:hAnsi="仿宋_GB2312" w:eastAsia="仿宋_GB2312" w:cs="仿宋_GB2312"/>
          <w:b w:val="0"/>
          <w:bCs/>
          <w:kern w:val="2"/>
          <w:sz w:val="32"/>
          <w:szCs w:val="32"/>
          <w:lang w:val="en-US" w:eastAsia="zh-CN" w:bidi="ar-SA"/>
        </w:rPr>
        <w:t>在资金管理使用上，我单位严格执行《以工代赈资金管理办法》等相关法律法规，按照合同约定条款进行报账。将工程进度和民工工资拨付挂钩，严格按合同规定和工程进度进行，经县级主管部门、监管单位、监理单位签字认可后，报县发改局进行审批，按工程进度的支付工程款。</w:t>
      </w:r>
    </w:p>
    <w:p w14:paraId="68E9E464">
      <w:pPr>
        <w:ind w:firstLine="643" w:firstLineChars="200"/>
        <w:outlineLvl w:val="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）总体绩效目标完成情况分析。</w:t>
      </w:r>
      <w:r>
        <w:rPr>
          <w:rFonts w:hint="eastAsia" w:ascii="仿宋_GB2312" w:hAnsi="仿宋_GB2312" w:eastAsia="仿宋_GB2312" w:cs="仿宋_GB2312"/>
          <w:b w:val="0"/>
          <w:bCs/>
          <w:kern w:val="2"/>
          <w:sz w:val="32"/>
          <w:szCs w:val="32"/>
          <w:lang w:val="en-US" w:eastAsia="zh-CN" w:bidi="ar-SA"/>
        </w:rPr>
        <w:t>现该项目已按批复内容完成：1.1公里道路硬化，宽5米，厚20厘米；4座便民桥，长12米，宽3.5米；600米堡坎，高2米，均宽1米。该工程具有一定的经济效益和社会效益和环境效益。为进一步加快推进我乡埃溪村基础设施建设，从根本上保障群众增收，提高土地利用率，改善群众生活条件，本项目的实施是可以促进产业发展，保障农牧民群众增收，满足人们不断增长的物质文化生活需求，增加当地人民的收入，对巩固脱贫攻坚和乡村振兴有效衔接有促进作用。</w:t>
      </w:r>
    </w:p>
    <w:p w14:paraId="5A7F25A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三、偏离绩效目标的原因和下一步改进措施</w:t>
      </w:r>
    </w:p>
    <w:p w14:paraId="68BD3EC8">
      <w:pPr>
        <w:ind w:firstLine="640" w:firstLineChars="200"/>
        <w:outlineLvl w:val="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该项目建设完工后未及时拨付群众部分劳务报酬。</w:t>
      </w:r>
    </w:p>
    <w:p w14:paraId="1750E66B">
      <w:pPr>
        <w:ind w:firstLine="640" w:firstLineChars="200"/>
        <w:outlineLvl w:val="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我单位已督促项目建设乡镇、村两委，现劳务报酬正在通过“一卡通”发放监管平台进行操作，预计4月20日前将群众劳务报酬通过平台完成发放工作。</w:t>
      </w:r>
    </w:p>
    <w:p w14:paraId="7AE7C262">
      <w:pPr>
        <w:numPr>
          <w:ilvl w:val="0"/>
          <w:numId w:val="2"/>
        </w:num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绩效自评结果拟应用和公开情况</w:t>
      </w:r>
    </w:p>
    <w:p w14:paraId="6D457F4D">
      <w:pPr>
        <w:ind w:firstLine="640" w:firstLineChars="200"/>
        <w:outlineLvl w:val="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该项目严格按照村级、乡级、县级进行公示公告</w:t>
      </w:r>
    </w:p>
    <w:p w14:paraId="5042CEA3">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五、其他需要说明的问题</w:t>
      </w:r>
    </w:p>
    <w:p w14:paraId="3135C79F">
      <w:pPr>
        <w:ind w:firstLine="640" w:firstLineChars="200"/>
        <w:outlineLvl w:val="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 xml:space="preserve">还未进行审计和决算   </w:t>
      </w:r>
    </w:p>
    <w:p w14:paraId="54BB3CA1">
      <w:pPr>
        <w:ind w:firstLine="640" w:firstLineChars="200"/>
        <w:outlineLvl w:val="0"/>
        <w:rPr>
          <w:rFonts w:hint="eastAsia" w:ascii="仿宋_GB2312" w:hAnsi="仿宋_GB2312" w:eastAsia="仿宋_GB2312" w:cs="仿宋_GB2312"/>
          <w:b w:val="0"/>
          <w:bCs/>
          <w:kern w:val="2"/>
          <w:sz w:val="32"/>
          <w:szCs w:val="32"/>
          <w:lang w:val="en-US" w:eastAsia="zh-CN" w:bidi="ar-SA"/>
        </w:rPr>
      </w:pPr>
    </w:p>
    <w:p w14:paraId="6E3787E1">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附表</w:t>
      </w:r>
    </w:p>
    <w:tbl>
      <w:tblPr>
        <w:tblStyle w:val="12"/>
        <w:tblW w:w="10269"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2070"/>
        <w:gridCol w:w="1230"/>
        <w:gridCol w:w="1725"/>
        <w:gridCol w:w="1989"/>
        <w:gridCol w:w="1125"/>
        <w:gridCol w:w="2130"/>
      </w:tblGrid>
      <w:tr w14:paraId="5C679C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tblCellSpacing w:w="0" w:type="dxa"/>
        </w:trPr>
        <w:tc>
          <w:tcPr>
            <w:tcW w:w="10269" w:type="dxa"/>
            <w:gridSpan w:val="6"/>
            <w:shd w:val="clear" w:color="auto" w:fill="auto"/>
            <w:noWrap/>
            <w:vAlign w:val="center"/>
          </w:tcPr>
          <w:p w14:paraId="307CFD7B">
            <w:pPr>
              <w:pStyle w:val="11"/>
              <w:keepNext w:val="0"/>
              <w:keepLines w:val="0"/>
              <w:widowControl/>
              <w:suppressLineNumbers w:val="0"/>
              <w:jc w:val="center"/>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rPr>
              <w:t>2022年100万元以上（含）特定目标类部门预算项目绩效目标自评</w:t>
            </w:r>
          </w:p>
        </w:tc>
      </w:tr>
      <w:tr w14:paraId="2F0FAE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3300" w:type="dxa"/>
            <w:gridSpan w:val="2"/>
            <w:shd w:val="clear" w:color="auto" w:fill="auto"/>
            <w:noWrap/>
            <w:vAlign w:val="center"/>
          </w:tcPr>
          <w:p w14:paraId="6995D22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主管部门及代码</w:t>
            </w:r>
          </w:p>
        </w:tc>
        <w:tc>
          <w:tcPr>
            <w:tcW w:w="3714" w:type="dxa"/>
            <w:gridSpan w:val="2"/>
            <w:shd w:val="clear" w:color="auto" w:fill="auto"/>
            <w:noWrap/>
            <w:vAlign w:val="center"/>
          </w:tcPr>
          <w:p w14:paraId="72F69FC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111001</w:t>
            </w:r>
            <w:r>
              <w:rPr>
                <w:rFonts w:hint="eastAsia" w:ascii="仿宋_GB2312" w:hAnsi="仿宋_GB2312" w:eastAsia="仿宋_GB2312" w:cs="仿宋_GB2312"/>
                <w:sz w:val="32"/>
                <w:szCs w:val="32"/>
              </w:rPr>
              <w:t> </w:t>
            </w:r>
          </w:p>
        </w:tc>
        <w:tc>
          <w:tcPr>
            <w:tcW w:w="1125" w:type="dxa"/>
            <w:shd w:val="clear" w:color="auto" w:fill="auto"/>
            <w:noWrap/>
            <w:vAlign w:val="center"/>
          </w:tcPr>
          <w:p w14:paraId="38E8EA8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实施单位</w:t>
            </w:r>
          </w:p>
        </w:tc>
        <w:tc>
          <w:tcPr>
            <w:tcW w:w="2130" w:type="dxa"/>
            <w:shd w:val="clear" w:color="auto" w:fill="auto"/>
            <w:noWrap/>
            <w:vAlign w:val="center"/>
          </w:tcPr>
          <w:p w14:paraId="1FB7CAA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14:paraId="1D207C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5" w:hRule="atLeast"/>
          <w:tblCellSpacing w:w="0" w:type="dxa"/>
        </w:trPr>
        <w:tc>
          <w:tcPr>
            <w:tcW w:w="3300" w:type="dxa"/>
            <w:gridSpan w:val="2"/>
            <w:vMerge w:val="restart"/>
            <w:shd w:val="clear" w:color="auto" w:fill="auto"/>
            <w:noWrap/>
            <w:vAlign w:val="center"/>
          </w:tcPr>
          <w:p w14:paraId="3FE9B96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项目预算</w:t>
            </w:r>
          </w:p>
          <w:p w14:paraId="210F299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执行情况</w:t>
            </w:r>
          </w:p>
          <w:p w14:paraId="5C7A8E2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（万元）</w:t>
            </w:r>
          </w:p>
        </w:tc>
        <w:tc>
          <w:tcPr>
            <w:tcW w:w="1725" w:type="dxa"/>
            <w:shd w:val="clear" w:color="auto" w:fill="auto"/>
            <w:noWrap/>
            <w:vAlign w:val="center"/>
          </w:tcPr>
          <w:p w14:paraId="739545A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预算数：</w:t>
            </w:r>
          </w:p>
        </w:tc>
        <w:tc>
          <w:tcPr>
            <w:tcW w:w="1989" w:type="dxa"/>
            <w:shd w:val="clear" w:color="auto" w:fill="auto"/>
            <w:noWrap/>
            <w:vAlign w:val="center"/>
          </w:tcPr>
          <w:p w14:paraId="53FAF71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299</w:t>
            </w:r>
            <w:r>
              <w:rPr>
                <w:rFonts w:hint="eastAsia" w:ascii="仿宋_GB2312" w:hAnsi="仿宋_GB2312" w:eastAsia="仿宋_GB2312" w:cs="仿宋_GB2312"/>
                <w:sz w:val="32"/>
                <w:szCs w:val="32"/>
              </w:rPr>
              <w:t> </w:t>
            </w:r>
          </w:p>
        </w:tc>
        <w:tc>
          <w:tcPr>
            <w:tcW w:w="1125" w:type="dxa"/>
            <w:shd w:val="clear" w:color="auto" w:fill="auto"/>
            <w:noWrap/>
            <w:vAlign w:val="center"/>
          </w:tcPr>
          <w:p w14:paraId="207ECAA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执行数：</w:t>
            </w:r>
          </w:p>
        </w:tc>
        <w:tc>
          <w:tcPr>
            <w:tcW w:w="2130" w:type="dxa"/>
            <w:shd w:val="clear" w:color="auto" w:fill="auto"/>
            <w:noWrap/>
            <w:vAlign w:val="center"/>
          </w:tcPr>
          <w:p w14:paraId="066CF6F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299</w:t>
            </w:r>
            <w:r>
              <w:rPr>
                <w:rFonts w:hint="eastAsia" w:ascii="仿宋_GB2312" w:hAnsi="仿宋_GB2312" w:eastAsia="仿宋_GB2312" w:cs="仿宋_GB2312"/>
                <w:sz w:val="32"/>
                <w:szCs w:val="32"/>
              </w:rPr>
              <w:t> </w:t>
            </w:r>
          </w:p>
        </w:tc>
      </w:tr>
      <w:tr w14:paraId="1C4CA4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5" w:hRule="atLeast"/>
          <w:tblCellSpacing w:w="0" w:type="dxa"/>
        </w:trPr>
        <w:tc>
          <w:tcPr>
            <w:tcW w:w="3300" w:type="dxa"/>
            <w:gridSpan w:val="2"/>
            <w:vMerge w:val="continue"/>
            <w:shd w:val="clear" w:color="auto" w:fill="auto"/>
            <w:noWrap/>
            <w:vAlign w:val="center"/>
          </w:tcPr>
          <w:p w14:paraId="4FB2CCDD">
            <w:pPr>
              <w:rPr>
                <w:rFonts w:hint="eastAsia" w:ascii="仿宋_GB2312" w:hAnsi="仿宋_GB2312" w:eastAsia="仿宋_GB2312" w:cs="仿宋_GB2312"/>
                <w:sz w:val="32"/>
                <w:szCs w:val="32"/>
              </w:rPr>
            </w:pPr>
          </w:p>
        </w:tc>
        <w:tc>
          <w:tcPr>
            <w:tcW w:w="1725" w:type="dxa"/>
            <w:shd w:val="clear" w:color="auto" w:fill="auto"/>
            <w:noWrap/>
            <w:vAlign w:val="center"/>
          </w:tcPr>
          <w:p w14:paraId="09AF350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其中：</w:t>
            </w:r>
          </w:p>
          <w:p w14:paraId="372684F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财政拨款</w:t>
            </w:r>
          </w:p>
        </w:tc>
        <w:tc>
          <w:tcPr>
            <w:tcW w:w="1989" w:type="dxa"/>
            <w:shd w:val="clear" w:color="auto" w:fill="auto"/>
            <w:noWrap/>
            <w:vAlign w:val="center"/>
          </w:tcPr>
          <w:p w14:paraId="714BB750">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299</w:t>
            </w:r>
          </w:p>
        </w:tc>
        <w:tc>
          <w:tcPr>
            <w:tcW w:w="1125" w:type="dxa"/>
            <w:shd w:val="clear" w:color="auto" w:fill="auto"/>
            <w:noWrap/>
            <w:vAlign w:val="center"/>
          </w:tcPr>
          <w:p w14:paraId="1ACF738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其中：</w:t>
            </w:r>
          </w:p>
          <w:p w14:paraId="6ADC1218">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财政拨款</w:t>
            </w:r>
          </w:p>
        </w:tc>
        <w:tc>
          <w:tcPr>
            <w:tcW w:w="2130" w:type="dxa"/>
            <w:shd w:val="clear" w:color="auto" w:fill="auto"/>
            <w:noWrap/>
            <w:vAlign w:val="center"/>
          </w:tcPr>
          <w:p w14:paraId="15655E6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299</w:t>
            </w:r>
            <w:r>
              <w:rPr>
                <w:rFonts w:hint="eastAsia" w:ascii="仿宋_GB2312" w:hAnsi="仿宋_GB2312" w:eastAsia="仿宋_GB2312" w:cs="仿宋_GB2312"/>
                <w:sz w:val="32"/>
                <w:szCs w:val="32"/>
              </w:rPr>
              <w:t> </w:t>
            </w:r>
          </w:p>
        </w:tc>
      </w:tr>
      <w:tr w14:paraId="270BE1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300" w:type="dxa"/>
            <w:gridSpan w:val="2"/>
            <w:vMerge w:val="continue"/>
            <w:shd w:val="clear" w:color="auto" w:fill="auto"/>
            <w:noWrap/>
            <w:vAlign w:val="center"/>
          </w:tcPr>
          <w:p w14:paraId="23FF1B82">
            <w:pPr>
              <w:rPr>
                <w:rFonts w:hint="eastAsia" w:ascii="仿宋_GB2312" w:hAnsi="仿宋_GB2312" w:eastAsia="仿宋_GB2312" w:cs="仿宋_GB2312"/>
                <w:sz w:val="32"/>
                <w:szCs w:val="32"/>
              </w:rPr>
            </w:pPr>
          </w:p>
        </w:tc>
        <w:tc>
          <w:tcPr>
            <w:tcW w:w="1725" w:type="dxa"/>
            <w:shd w:val="clear" w:color="auto" w:fill="auto"/>
            <w:noWrap/>
            <w:vAlign w:val="center"/>
          </w:tcPr>
          <w:p w14:paraId="577FC7C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其他资金</w:t>
            </w:r>
          </w:p>
        </w:tc>
        <w:tc>
          <w:tcPr>
            <w:tcW w:w="1989" w:type="dxa"/>
            <w:shd w:val="clear" w:color="auto" w:fill="auto"/>
            <w:noWrap/>
            <w:vAlign w:val="center"/>
          </w:tcPr>
          <w:p w14:paraId="0BCAC67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1125" w:type="dxa"/>
            <w:shd w:val="clear" w:color="auto" w:fill="auto"/>
            <w:noWrap/>
            <w:vAlign w:val="center"/>
          </w:tcPr>
          <w:p w14:paraId="528BB94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其他资金</w:t>
            </w:r>
          </w:p>
        </w:tc>
        <w:tc>
          <w:tcPr>
            <w:tcW w:w="2130" w:type="dxa"/>
            <w:shd w:val="clear" w:color="auto" w:fill="auto"/>
            <w:noWrap/>
            <w:vAlign w:val="center"/>
          </w:tcPr>
          <w:p w14:paraId="0EDB542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14:paraId="761551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2070" w:type="dxa"/>
            <w:vMerge w:val="restart"/>
            <w:shd w:val="clear" w:color="auto" w:fill="auto"/>
            <w:noWrap/>
            <w:vAlign w:val="center"/>
          </w:tcPr>
          <w:p w14:paraId="380F3C87">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年度总体目标</w:t>
            </w:r>
          </w:p>
          <w:p w14:paraId="027F942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完成情况</w:t>
            </w:r>
          </w:p>
        </w:tc>
        <w:tc>
          <w:tcPr>
            <w:tcW w:w="4944" w:type="dxa"/>
            <w:gridSpan w:val="3"/>
            <w:shd w:val="clear" w:color="auto" w:fill="auto"/>
            <w:noWrap/>
            <w:vAlign w:val="center"/>
          </w:tcPr>
          <w:p w14:paraId="1B3824C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预期目标</w:t>
            </w:r>
          </w:p>
        </w:tc>
        <w:tc>
          <w:tcPr>
            <w:tcW w:w="3255" w:type="dxa"/>
            <w:gridSpan w:val="2"/>
            <w:shd w:val="clear" w:color="auto" w:fill="auto"/>
            <w:noWrap/>
            <w:vAlign w:val="center"/>
          </w:tcPr>
          <w:p w14:paraId="65E703D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目标实际完成情况</w:t>
            </w:r>
          </w:p>
        </w:tc>
      </w:tr>
      <w:tr w14:paraId="6D222A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5" w:hRule="atLeast"/>
          <w:tblCellSpacing w:w="0" w:type="dxa"/>
        </w:trPr>
        <w:tc>
          <w:tcPr>
            <w:tcW w:w="2070" w:type="dxa"/>
            <w:vMerge w:val="continue"/>
            <w:shd w:val="clear" w:color="auto" w:fill="auto"/>
            <w:noWrap/>
            <w:vAlign w:val="center"/>
          </w:tcPr>
          <w:p w14:paraId="508524C1">
            <w:pPr>
              <w:rPr>
                <w:rFonts w:hint="eastAsia" w:ascii="仿宋_GB2312" w:hAnsi="仿宋_GB2312" w:eastAsia="仿宋_GB2312" w:cs="仿宋_GB2312"/>
                <w:sz w:val="32"/>
                <w:szCs w:val="32"/>
              </w:rPr>
            </w:pPr>
          </w:p>
        </w:tc>
        <w:tc>
          <w:tcPr>
            <w:tcW w:w="4944" w:type="dxa"/>
            <w:gridSpan w:val="3"/>
            <w:shd w:val="clear" w:color="auto" w:fill="auto"/>
            <w:noWrap/>
            <w:vAlign w:val="center"/>
          </w:tcPr>
          <w:p w14:paraId="18C0C32F">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100%</w:t>
            </w:r>
          </w:p>
        </w:tc>
        <w:tc>
          <w:tcPr>
            <w:tcW w:w="3255" w:type="dxa"/>
            <w:gridSpan w:val="2"/>
            <w:shd w:val="clear" w:color="auto" w:fill="auto"/>
            <w:noWrap/>
            <w:vAlign w:val="center"/>
          </w:tcPr>
          <w:p w14:paraId="4598751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w:t>
            </w:r>
          </w:p>
        </w:tc>
      </w:tr>
      <w:tr w14:paraId="3A734F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90" w:hRule="atLeast"/>
          <w:tblCellSpacing w:w="0" w:type="dxa"/>
        </w:trPr>
        <w:tc>
          <w:tcPr>
            <w:tcW w:w="2070" w:type="dxa"/>
            <w:vMerge w:val="restart"/>
            <w:shd w:val="clear" w:color="auto" w:fill="auto"/>
            <w:noWrap/>
            <w:vAlign w:val="center"/>
          </w:tcPr>
          <w:p w14:paraId="5434FBA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年度绩效指标完成情况</w:t>
            </w:r>
          </w:p>
        </w:tc>
        <w:tc>
          <w:tcPr>
            <w:tcW w:w="1230" w:type="dxa"/>
            <w:shd w:val="clear" w:color="auto" w:fill="auto"/>
            <w:noWrap/>
            <w:vAlign w:val="center"/>
          </w:tcPr>
          <w:p w14:paraId="6584579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一级</w:t>
            </w:r>
          </w:p>
          <w:p w14:paraId="5A085F2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725" w:type="dxa"/>
            <w:shd w:val="clear" w:color="auto" w:fill="auto"/>
            <w:noWrap/>
            <w:vAlign w:val="center"/>
          </w:tcPr>
          <w:p w14:paraId="45D71798">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二级</w:t>
            </w:r>
          </w:p>
          <w:p w14:paraId="10B2A7B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989" w:type="dxa"/>
            <w:shd w:val="clear" w:color="auto" w:fill="auto"/>
            <w:noWrap/>
            <w:vAlign w:val="center"/>
          </w:tcPr>
          <w:p w14:paraId="2191112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三级</w:t>
            </w:r>
          </w:p>
          <w:p w14:paraId="68415FB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125" w:type="dxa"/>
            <w:shd w:val="clear" w:color="auto" w:fill="auto"/>
            <w:noWrap/>
            <w:vAlign w:val="center"/>
          </w:tcPr>
          <w:p w14:paraId="307C286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预期指标值</w:t>
            </w:r>
          </w:p>
        </w:tc>
        <w:tc>
          <w:tcPr>
            <w:tcW w:w="2130" w:type="dxa"/>
            <w:shd w:val="clear" w:color="auto" w:fill="auto"/>
            <w:noWrap/>
            <w:vAlign w:val="center"/>
          </w:tcPr>
          <w:p w14:paraId="482CACE4">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实际完成指标值</w:t>
            </w:r>
          </w:p>
        </w:tc>
      </w:tr>
      <w:tr w14:paraId="2B8528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070" w:type="dxa"/>
            <w:vMerge w:val="continue"/>
            <w:shd w:val="clear" w:color="auto" w:fill="auto"/>
            <w:noWrap/>
            <w:vAlign w:val="center"/>
          </w:tcPr>
          <w:p w14:paraId="068390F5">
            <w:pPr>
              <w:rPr>
                <w:rFonts w:hint="eastAsia" w:ascii="仿宋_GB2312" w:hAnsi="仿宋_GB2312" w:eastAsia="仿宋_GB2312" w:cs="仿宋_GB2312"/>
                <w:sz w:val="32"/>
                <w:szCs w:val="32"/>
              </w:rPr>
            </w:pPr>
          </w:p>
        </w:tc>
        <w:tc>
          <w:tcPr>
            <w:tcW w:w="1230" w:type="dxa"/>
            <w:vMerge w:val="restart"/>
            <w:shd w:val="clear" w:color="auto" w:fill="auto"/>
            <w:noWrap/>
            <w:vAlign w:val="center"/>
          </w:tcPr>
          <w:p w14:paraId="292D175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w:t>
            </w:r>
          </w:p>
          <w:p w14:paraId="1F1DCC4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725" w:type="dxa"/>
            <w:shd w:val="clear" w:color="auto" w:fill="auto"/>
            <w:noWrap/>
            <w:vAlign w:val="center"/>
          </w:tcPr>
          <w:p w14:paraId="54553163">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数量指标</w:t>
            </w:r>
          </w:p>
        </w:tc>
        <w:tc>
          <w:tcPr>
            <w:tcW w:w="1989" w:type="dxa"/>
            <w:shd w:val="clear" w:color="auto" w:fill="auto"/>
            <w:noWrap/>
            <w:vAlign w:val="center"/>
          </w:tcPr>
          <w:p w14:paraId="4030D09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改造、修缮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工程量</w:t>
            </w:r>
          </w:p>
          <w:p w14:paraId="5EAFE188">
            <w:pPr>
              <w:pStyle w:val="11"/>
              <w:keepNext w:val="0"/>
              <w:keepLines w:val="0"/>
              <w:widowControl/>
              <w:suppressLineNumbers w:val="0"/>
              <w:jc w:val="center"/>
              <w:rPr>
                <w:rFonts w:hint="eastAsia" w:ascii="仿宋_GB2312" w:hAnsi="仿宋_GB2312" w:eastAsia="仿宋_GB2312" w:cs="仿宋_GB2312"/>
                <w:sz w:val="32"/>
                <w:szCs w:val="32"/>
              </w:rPr>
            </w:pPr>
          </w:p>
        </w:tc>
        <w:tc>
          <w:tcPr>
            <w:tcW w:w="1125" w:type="dxa"/>
            <w:shd w:val="clear" w:color="auto" w:fill="auto"/>
            <w:noWrap/>
            <w:vAlign w:val="center"/>
          </w:tcPr>
          <w:p w14:paraId="529D66A3">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6个</w:t>
            </w:r>
          </w:p>
        </w:tc>
        <w:tc>
          <w:tcPr>
            <w:tcW w:w="2130" w:type="dxa"/>
            <w:shd w:val="clear" w:color="auto" w:fill="auto"/>
            <w:noWrap/>
            <w:vAlign w:val="center"/>
          </w:tcPr>
          <w:p w14:paraId="3530CA6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6个</w:t>
            </w:r>
            <w:r>
              <w:rPr>
                <w:rFonts w:hint="eastAsia" w:ascii="仿宋_GB2312" w:hAnsi="仿宋_GB2312" w:eastAsia="仿宋_GB2312" w:cs="仿宋_GB2312"/>
                <w:sz w:val="32"/>
                <w:szCs w:val="32"/>
              </w:rPr>
              <w:t> </w:t>
            </w:r>
          </w:p>
        </w:tc>
      </w:tr>
      <w:tr w14:paraId="7E301C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20" w:hRule="atLeast"/>
          <w:tblCellSpacing w:w="0" w:type="dxa"/>
        </w:trPr>
        <w:tc>
          <w:tcPr>
            <w:tcW w:w="2070" w:type="dxa"/>
            <w:vMerge w:val="continue"/>
            <w:shd w:val="clear" w:color="auto" w:fill="auto"/>
            <w:noWrap/>
            <w:vAlign w:val="center"/>
          </w:tcPr>
          <w:p w14:paraId="02D3D062">
            <w:pPr>
              <w:rPr>
                <w:rFonts w:hint="eastAsia" w:ascii="仿宋_GB2312" w:hAnsi="仿宋_GB2312" w:eastAsia="仿宋_GB2312" w:cs="仿宋_GB2312"/>
                <w:sz w:val="32"/>
                <w:szCs w:val="32"/>
              </w:rPr>
            </w:pPr>
          </w:p>
        </w:tc>
        <w:tc>
          <w:tcPr>
            <w:tcW w:w="1230" w:type="dxa"/>
            <w:vMerge w:val="continue"/>
            <w:shd w:val="clear" w:color="auto" w:fill="auto"/>
            <w:noWrap/>
            <w:vAlign w:val="center"/>
          </w:tcPr>
          <w:p w14:paraId="4EC6AC3A">
            <w:pPr>
              <w:rPr>
                <w:rFonts w:hint="eastAsia" w:ascii="仿宋_GB2312" w:hAnsi="仿宋_GB2312" w:eastAsia="仿宋_GB2312" w:cs="仿宋_GB2312"/>
                <w:sz w:val="32"/>
                <w:szCs w:val="32"/>
              </w:rPr>
            </w:pPr>
          </w:p>
        </w:tc>
        <w:tc>
          <w:tcPr>
            <w:tcW w:w="1725" w:type="dxa"/>
            <w:shd w:val="clear" w:color="auto" w:fill="auto"/>
            <w:noWrap/>
            <w:vAlign w:val="center"/>
          </w:tcPr>
          <w:p w14:paraId="5699EBA3">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质量指标</w:t>
            </w:r>
          </w:p>
        </w:tc>
        <w:tc>
          <w:tcPr>
            <w:tcW w:w="1989" w:type="dxa"/>
            <w:shd w:val="clear" w:color="auto" w:fill="auto"/>
            <w:noWrap/>
            <w:vAlign w:val="center"/>
          </w:tcPr>
          <w:p w14:paraId="56F64744">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竣工验收合格率 </w:t>
            </w:r>
          </w:p>
        </w:tc>
        <w:tc>
          <w:tcPr>
            <w:tcW w:w="1125" w:type="dxa"/>
            <w:shd w:val="clear" w:color="auto" w:fill="auto"/>
            <w:noWrap/>
            <w:vAlign w:val="center"/>
          </w:tcPr>
          <w:p w14:paraId="34F0E0C4">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100%</w:t>
            </w:r>
          </w:p>
        </w:tc>
        <w:tc>
          <w:tcPr>
            <w:tcW w:w="2130" w:type="dxa"/>
            <w:shd w:val="clear" w:color="auto" w:fill="auto"/>
            <w:noWrap/>
            <w:vAlign w:val="center"/>
          </w:tcPr>
          <w:p w14:paraId="0E890F2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w:t>
            </w:r>
          </w:p>
        </w:tc>
      </w:tr>
      <w:tr w14:paraId="36B9F3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070" w:type="dxa"/>
            <w:vMerge w:val="continue"/>
            <w:shd w:val="clear" w:color="auto" w:fill="auto"/>
            <w:noWrap/>
            <w:vAlign w:val="center"/>
          </w:tcPr>
          <w:p w14:paraId="11F7FA45">
            <w:pPr>
              <w:rPr>
                <w:rFonts w:hint="eastAsia" w:ascii="仿宋_GB2312" w:hAnsi="仿宋_GB2312" w:eastAsia="仿宋_GB2312" w:cs="仿宋_GB2312"/>
                <w:sz w:val="32"/>
                <w:szCs w:val="32"/>
              </w:rPr>
            </w:pPr>
          </w:p>
        </w:tc>
        <w:tc>
          <w:tcPr>
            <w:tcW w:w="1230" w:type="dxa"/>
            <w:vMerge w:val="continue"/>
            <w:shd w:val="clear" w:color="auto" w:fill="auto"/>
            <w:noWrap/>
            <w:vAlign w:val="center"/>
          </w:tcPr>
          <w:p w14:paraId="34D90CE2">
            <w:pPr>
              <w:rPr>
                <w:rFonts w:hint="eastAsia" w:ascii="仿宋_GB2312" w:hAnsi="仿宋_GB2312" w:eastAsia="仿宋_GB2312" w:cs="仿宋_GB2312"/>
                <w:sz w:val="32"/>
                <w:szCs w:val="32"/>
              </w:rPr>
            </w:pPr>
          </w:p>
        </w:tc>
        <w:tc>
          <w:tcPr>
            <w:tcW w:w="1725" w:type="dxa"/>
            <w:shd w:val="clear" w:color="auto" w:fill="auto"/>
            <w:noWrap/>
            <w:vAlign w:val="center"/>
          </w:tcPr>
          <w:p w14:paraId="3554078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时效指标</w:t>
            </w:r>
          </w:p>
        </w:tc>
        <w:tc>
          <w:tcPr>
            <w:tcW w:w="1989" w:type="dxa"/>
            <w:shd w:val="clear" w:color="auto" w:fill="auto"/>
            <w:noWrap/>
            <w:vAlign w:val="center"/>
          </w:tcPr>
          <w:p w14:paraId="70D2EA6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项目按计划完工率</w:t>
            </w:r>
          </w:p>
        </w:tc>
        <w:tc>
          <w:tcPr>
            <w:tcW w:w="1125" w:type="dxa"/>
            <w:shd w:val="clear" w:color="auto" w:fill="auto"/>
            <w:noWrap/>
            <w:vAlign w:val="center"/>
          </w:tcPr>
          <w:p w14:paraId="6EEDA06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w:t>
            </w:r>
          </w:p>
        </w:tc>
        <w:tc>
          <w:tcPr>
            <w:tcW w:w="2130" w:type="dxa"/>
            <w:shd w:val="clear" w:color="auto" w:fill="auto"/>
            <w:noWrap/>
            <w:vAlign w:val="center"/>
          </w:tcPr>
          <w:p w14:paraId="71CCCCD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w:t>
            </w:r>
          </w:p>
        </w:tc>
      </w:tr>
      <w:tr w14:paraId="21352F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trPr>
        <w:tc>
          <w:tcPr>
            <w:tcW w:w="2070" w:type="dxa"/>
            <w:vMerge w:val="continue"/>
            <w:shd w:val="clear" w:color="auto" w:fill="auto"/>
            <w:noWrap/>
            <w:vAlign w:val="center"/>
          </w:tcPr>
          <w:p w14:paraId="314EF482">
            <w:pPr>
              <w:rPr>
                <w:rFonts w:hint="eastAsia" w:ascii="仿宋_GB2312" w:hAnsi="仿宋_GB2312" w:eastAsia="仿宋_GB2312" w:cs="仿宋_GB2312"/>
                <w:sz w:val="32"/>
                <w:szCs w:val="32"/>
              </w:rPr>
            </w:pPr>
          </w:p>
        </w:tc>
        <w:tc>
          <w:tcPr>
            <w:tcW w:w="1230" w:type="dxa"/>
            <w:vMerge w:val="continue"/>
            <w:shd w:val="clear" w:color="auto" w:fill="auto"/>
            <w:noWrap/>
            <w:vAlign w:val="center"/>
          </w:tcPr>
          <w:p w14:paraId="1CBCFB9A">
            <w:pPr>
              <w:rPr>
                <w:rFonts w:hint="eastAsia" w:ascii="仿宋_GB2312" w:hAnsi="仿宋_GB2312" w:eastAsia="仿宋_GB2312" w:cs="仿宋_GB2312"/>
                <w:sz w:val="32"/>
                <w:szCs w:val="32"/>
              </w:rPr>
            </w:pPr>
          </w:p>
        </w:tc>
        <w:tc>
          <w:tcPr>
            <w:tcW w:w="1725" w:type="dxa"/>
            <w:shd w:val="clear" w:color="auto" w:fill="auto"/>
            <w:noWrap/>
            <w:vAlign w:val="center"/>
          </w:tcPr>
          <w:p w14:paraId="24FDFC9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成本指标</w:t>
            </w:r>
          </w:p>
        </w:tc>
        <w:tc>
          <w:tcPr>
            <w:tcW w:w="1989" w:type="dxa"/>
            <w:shd w:val="clear" w:color="auto" w:fill="auto"/>
            <w:noWrap/>
            <w:vAlign w:val="center"/>
          </w:tcPr>
          <w:p w14:paraId="0FE3FF1F">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超概算项目比例</w:t>
            </w:r>
          </w:p>
        </w:tc>
        <w:tc>
          <w:tcPr>
            <w:tcW w:w="1125" w:type="dxa"/>
            <w:shd w:val="clear" w:color="auto" w:fill="auto"/>
            <w:noWrap/>
            <w:vAlign w:val="center"/>
          </w:tcPr>
          <w:p w14:paraId="23D72762">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100%</w:t>
            </w:r>
          </w:p>
        </w:tc>
        <w:tc>
          <w:tcPr>
            <w:tcW w:w="2130" w:type="dxa"/>
            <w:shd w:val="clear" w:color="auto" w:fill="auto"/>
            <w:noWrap/>
            <w:vAlign w:val="center"/>
          </w:tcPr>
          <w:p w14:paraId="25CDF21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w:t>
            </w:r>
          </w:p>
        </w:tc>
      </w:tr>
      <w:tr w14:paraId="7856F6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blCellSpacing w:w="0" w:type="dxa"/>
        </w:trPr>
        <w:tc>
          <w:tcPr>
            <w:tcW w:w="2070" w:type="dxa"/>
            <w:vMerge w:val="continue"/>
            <w:shd w:val="clear" w:color="auto" w:fill="auto"/>
            <w:noWrap/>
            <w:vAlign w:val="center"/>
          </w:tcPr>
          <w:p w14:paraId="7F753A05">
            <w:pPr>
              <w:rPr>
                <w:rFonts w:hint="eastAsia" w:ascii="仿宋_GB2312" w:hAnsi="仿宋_GB2312" w:eastAsia="仿宋_GB2312" w:cs="仿宋_GB2312"/>
                <w:sz w:val="32"/>
                <w:szCs w:val="32"/>
              </w:rPr>
            </w:pPr>
          </w:p>
        </w:tc>
        <w:tc>
          <w:tcPr>
            <w:tcW w:w="1230" w:type="dxa"/>
            <w:vMerge w:val="restart"/>
            <w:shd w:val="clear" w:color="auto" w:fill="auto"/>
            <w:noWrap/>
            <w:vAlign w:val="center"/>
          </w:tcPr>
          <w:p w14:paraId="6B5A34B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效益</w:t>
            </w:r>
          </w:p>
          <w:p w14:paraId="6CEC71D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725" w:type="dxa"/>
            <w:shd w:val="clear" w:color="auto" w:fill="auto"/>
            <w:noWrap/>
            <w:vAlign w:val="center"/>
          </w:tcPr>
          <w:p w14:paraId="5B08218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经济效益指标</w:t>
            </w:r>
          </w:p>
        </w:tc>
        <w:tc>
          <w:tcPr>
            <w:tcW w:w="1989" w:type="dxa"/>
            <w:shd w:val="clear" w:color="auto" w:fill="auto"/>
            <w:noWrap/>
            <w:vAlign w:val="center"/>
          </w:tcPr>
          <w:p w14:paraId="42EF1B7F">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1125" w:type="dxa"/>
            <w:shd w:val="clear" w:color="auto" w:fill="auto"/>
            <w:noWrap/>
            <w:vAlign w:val="center"/>
          </w:tcPr>
          <w:p w14:paraId="56F14E2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2130" w:type="dxa"/>
            <w:shd w:val="clear" w:color="auto" w:fill="auto"/>
            <w:noWrap/>
            <w:vAlign w:val="center"/>
          </w:tcPr>
          <w:p w14:paraId="212C824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14:paraId="7058A2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blCellSpacing w:w="0" w:type="dxa"/>
        </w:trPr>
        <w:tc>
          <w:tcPr>
            <w:tcW w:w="2070" w:type="dxa"/>
            <w:vMerge w:val="continue"/>
            <w:shd w:val="clear" w:color="auto" w:fill="auto"/>
            <w:noWrap/>
            <w:vAlign w:val="center"/>
          </w:tcPr>
          <w:p w14:paraId="0FAAA25A">
            <w:pPr>
              <w:rPr>
                <w:rFonts w:hint="eastAsia" w:ascii="仿宋_GB2312" w:hAnsi="仿宋_GB2312" w:eastAsia="仿宋_GB2312" w:cs="仿宋_GB2312"/>
                <w:sz w:val="32"/>
                <w:szCs w:val="32"/>
              </w:rPr>
            </w:pPr>
          </w:p>
        </w:tc>
        <w:tc>
          <w:tcPr>
            <w:tcW w:w="1230" w:type="dxa"/>
            <w:vMerge w:val="continue"/>
            <w:shd w:val="clear" w:color="auto" w:fill="auto"/>
            <w:noWrap/>
            <w:vAlign w:val="center"/>
          </w:tcPr>
          <w:p w14:paraId="10E7AD2C">
            <w:pPr>
              <w:rPr>
                <w:rFonts w:hint="eastAsia" w:ascii="仿宋_GB2312" w:hAnsi="仿宋_GB2312" w:eastAsia="仿宋_GB2312" w:cs="仿宋_GB2312"/>
                <w:sz w:val="32"/>
                <w:szCs w:val="32"/>
              </w:rPr>
            </w:pPr>
          </w:p>
        </w:tc>
        <w:tc>
          <w:tcPr>
            <w:tcW w:w="1725" w:type="dxa"/>
            <w:shd w:val="clear" w:color="auto" w:fill="auto"/>
            <w:noWrap/>
            <w:vAlign w:val="center"/>
          </w:tcPr>
          <w:p w14:paraId="6C0C690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社会效益指标</w:t>
            </w:r>
          </w:p>
        </w:tc>
        <w:tc>
          <w:tcPr>
            <w:tcW w:w="1989" w:type="dxa"/>
            <w:shd w:val="clear" w:color="auto" w:fill="auto"/>
            <w:noWrap/>
            <w:vAlign w:val="center"/>
          </w:tcPr>
          <w:p w14:paraId="0836600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项目受益人数</w:t>
            </w:r>
          </w:p>
        </w:tc>
        <w:tc>
          <w:tcPr>
            <w:tcW w:w="1125" w:type="dxa"/>
            <w:shd w:val="clear" w:color="auto" w:fill="auto"/>
            <w:noWrap/>
            <w:vAlign w:val="center"/>
          </w:tcPr>
          <w:p w14:paraId="706F98F9">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1716人</w:t>
            </w:r>
          </w:p>
        </w:tc>
        <w:tc>
          <w:tcPr>
            <w:tcW w:w="2130" w:type="dxa"/>
            <w:shd w:val="clear" w:color="auto" w:fill="auto"/>
            <w:noWrap/>
            <w:vAlign w:val="center"/>
          </w:tcPr>
          <w:p w14:paraId="0FD4B6B7">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1716人</w:t>
            </w:r>
            <w:r>
              <w:rPr>
                <w:rFonts w:hint="eastAsia" w:ascii="仿宋_GB2312" w:hAnsi="仿宋_GB2312" w:eastAsia="仿宋_GB2312" w:cs="仿宋_GB2312"/>
                <w:sz w:val="32"/>
                <w:szCs w:val="32"/>
              </w:rPr>
              <w:t> </w:t>
            </w:r>
          </w:p>
        </w:tc>
      </w:tr>
      <w:tr w14:paraId="258BC8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0" w:hRule="atLeast"/>
          <w:tblCellSpacing w:w="0" w:type="dxa"/>
        </w:trPr>
        <w:tc>
          <w:tcPr>
            <w:tcW w:w="2070" w:type="dxa"/>
            <w:vMerge w:val="continue"/>
            <w:shd w:val="clear" w:color="auto" w:fill="auto"/>
            <w:noWrap/>
            <w:vAlign w:val="center"/>
          </w:tcPr>
          <w:p w14:paraId="537AFF33">
            <w:pPr>
              <w:rPr>
                <w:rFonts w:hint="eastAsia" w:ascii="仿宋_GB2312" w:hAnsi="仿宋_GB2312" w:eastAsia="仿宋_GB2312" w:cs="仿宋_GB2312"/>
                <w:sz w:val="32"/>
                <w:szCs w:val="32"/>
              </w:rPr>
            </w:pPr>
          </w:p>
        </w:tc>
        <w:tc>
          <w:tcPr>
            <w:tcW w:w="1230" w:type="dxa"/>
            <w:vMerge w:val="continue"/>
            <w:shd w:val="clear" w:color="auto" w:fill="auto"/>
            <w:noWrap/>
            <w:vAlign w:val="center"/>
          </w:tcPr>
          <w:p w14:paraId="0BBCE3C6">
            <w:pPr>
              <w:rPr>
                <w:rFonts w:hint="eastAsia" w:ascii="仿宋_GB2312" w:hAnsi="仿宋_GB2312" w:eastAsia="仿宋_GB2312" w:cs="仿宋_GB2312"/>
                <w:sz w:val="32"/>
                <w:szCs w:val="32"/>
              </w:rPr>
            </w:pPr>
          </w:p>
        </w:tc>
        <w:tc>
          <w:tcPr>
            <w:tcW w:w="1725" w:type="dxa"/>
            <w:shd w:val="clear" w:color="auto" w:fill="auto"/>
            <w:noWrap/>
            <w:vAlign w:val="center"/>
          </w:tcPr>
          <w:p w14:paraId="715EA566">
            <w:pPr>
              <w:pStyle w:val="11"/>
              <w:keepNext w:val="0"/>
              <w:keepLines w:val="0"/>
              <w:widowControl/>
              <w:suppressLineNumbers w:val="0"/>
              <w:ind w:left="42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生态效益指标</w:t>
            </w:r>
          </w:p>
        </w:tc>
        <w:tc>
          <w:tcPr>
            <w:tcW w:w="1989" w:type="dxa"/>
            <w:shd w:val="clear" w:color="auto" w:fill="auto"/>
            <w:noWrap/>
            <w:vAlign w:val="center"/>
          </w:tcPr>
          <w:p w14:paraId="561BDCB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1125" w:type="dxa"/>
            <w:shd w:val="clear" w:color="auto" w:fill="auto"/>
            <w:noWrap/>
            <w:vAlign w:val="center"/>
          </w:tcPr>
          <w:p w14:paraId="6FBD730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2130" w:type="dxa"/>
            <w:shd w:val="clear" w:color="auto" w:fill="auto"/>
            <w:noWrap/>
            <w:vAlign w:val="center"/>
          </w:tcPr>
          <w:p w14:paraId="3060408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14:paraId="66118E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trPr>
        <w:tc>
          <w:tcPr>
            <w:tcW w:w="2070" w:type="dxa"/>
            <w:vMerge w:val="continue"/>
            <w:shd w:val="clear" w:color="auto" w:fill="auto"/>
            <w:noWrap/>
            <w:vAlign w:val="center"/>
          </w:tcPr>
          <w:p w14:paraId="6D45B302">
            <w:pPr>
              <w:rPr>
                <w:rFonts w:hint="eastAsia" w:ascii="仿宋_GB2312" w:hAnsi="仿宋_GB2312" w:eastAsia="仿宋_GB2312" w:cs="仿宋_GB2312"/>
                <w:sz w:val="32"/>
                <w:szCs w:val="32"/>
              </w:rPr>
            </w:pPr>
          </w:p>
        </w:tc>
        <w:tc>
          <w:tcPr>
            <w:tcW w:w="1230" w:type="dxa"/>
            <w:vMerge w:val="continue"/>
            <w:shd w:val="clear" w:color="auto" w:fill="auto"/>
            <w:noWrap/>
            <w:vAlign w:val="center"/>
          </w:tcPr>
          <w:p w14:paraId="304181DB">
            <w:pPr>
              <w:rPr>
                <w:rFonts w:hint="eastAsia" w:ascii="仿宋_GB2312" w:hAnsi="仿宋_GB2312" w:eastAsia="仿宋_GB2312" w:cs="仿宋_GB2312"/>
                <w:sz w:val="32"/>
                <w:szCs w:val="32"/>
              </w:rPr>
            </w:pPr>
          </w:p>
        </w:tc>
        <w:tc>
          <w:tcPr>
            <w:tcW w:w="1725" w:type="dxa"/>
            <w:shd w:val="clear" w:color="auto" w:fill="auto"/>
            <w:noWrap/>
            <w:vAlign w:val="center"/>
          </w:tcPr>
          <w:p w14:paraId="55F1517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可持续影响指标</w:t>
            </w:r>
          </w:p>
        </w:tc>
        <w:tc>
          <w:tcPr>
            <w:tcW w:w="1989" w:type="dxa"/>
            <w:shd w:val="clear" w:color="auto" w:fill="auto"/>
            <w:noWrap/>
            <w:vAlign w:val="center"/>
          </w:tcPr>
          <w:p w14:paraId="3DB34AC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1125" w:type="dxa"/>
            <w:shd w:val="clear" w:color="auto" w:fill="auto"/>
            <w:noWrap/>
            <w:vAlign w:val="center"/>
          </w:tcPr>
          <w:p w14:paraId="5700D9E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2130" w:type="dxa"/>
            <w:shd w:val="clear" w:color="auto" w:fill="auto"/>
            <w:noWrap/>
            <w:vAlign w:val="center"/>
          </w:tcPr>
          <w:p w14:paraId="635D819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14:paraId="791502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5" w:hRule="atLeast"/>
          <w:tblCellSpacing w:w="0" w:type="dxa"/>
        </w:trPr>
        <w:tc>
          <w:tcPr>
            <w:tcW w:w="2070" w:type="dxa"/>
            <w:vMerge w:val="continue"/>
            <w:shd w:val="clear" w:color="auto" w:fill="auto"/>
            <w:noWrap/>
            <w:vAlign w:val="center"/>
          </w:tcPr>
          <w:p w14:paraId="3E0128CF">
            <w:pPr>
              <w:rPr>
                <w:rFonts w:hint="eastAsia" w:ascii="仿宋_GB2312" w:hAnsi="仿宋_GB2312" w:eastAsia="仿宋_GB2312" w:cs="仿宋_GB2312"/>
                <w:sz w:val="32"/>
                <w:szCs w:val="32"/>
              </w:rPr>
            </w:pPr>
          </w:p>
        </w:tc>
        <w:tc>
          <w:tcPr>
            <w:tcW w:w="1230" w:type="dxa"/>
            <w:shd w:val="clear" w:color="auto" w:fill="auto"/>
            <w:noWrap/>
            <w:vAlign w:val="center"/>
          </w:tcPr>
          <w:p w14:paraId="1635E68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满意</w:t>
            </w:r>
          </w:p>
          <w:p w14:paraId="13F3ED2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度指标</w:t>
            </w:r>
          </w:p>
        </w:tc>
        <w:tc>
          <w:tcPr>
            <w:tcW w:w="1725" w:type="dxa"/>
            <w:shd w:val="clear" w:color="auto" w:fill="auto"/>
            <w:noWrap/>
            <w:vAlign w:val="center"/>
          </w:tcPr>
          <w:p w14:paraId="212C6F7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满意度</w:t>
            </w:r>
          </w:p>
          <w:p w14:paraId="34DD60E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989" w:type="dxa"/>
            <w:shd w:val="clear" w:color="auto" w:fill="auto"/>
            <w:noWrap/>
            <w:vAlign w:val="center"/>
          </w:tcPr>
          <w:p w14:paraId="20BC047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受益群体满意度</w:t>
            </w:r>
          </w:p>
        </w:tc>
        <w:tc>
          <w:tcPr>
            <w:tcW w:w="1125" w:type="dxa"/>
            <w:shd w:val="clear" w:color="auto" w:fill="auto"/>
            <w:noWrap/>
            <w:vAlign w:val="center"/>
          </w:tcPr>
          <w:p w14:paraId="0986F505">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90%</w:t>
            </w:r>
          </w:p>
        </w:tc>
        <w:tc>
          <w:tcPr>
            <w:tcW w:w="2130" w:type="dxa"/>
            <w:shd w:val="clear" w:color="auto" w:fill="auto"/>
            <w:noWrap/>
            <w:vAlign w:val="center"/>
          </w:tcPr>
          <w:p w14:paraId="4D4E67E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 </w:t>
            </w:r>
          </w:p>
        </w:tc>
      </w:tr>
    </w:tbl>
    <w:p w14:paraId="62B71E8A">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（注：有两个及以上100万元以上（含）特定目标类部门预算项目的，需分别开展绩效目标自评并填写附表）</w:t>
      </w:r>
    </w:p>
    <w:p w14:paraId="1D4F8F07">
      <w:pPr>
        <w:pStyle w:val="7"/>
        <w:bidi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w:t>
      </w:r>
      <w:r>
        <w:rPr>
          <w:rFonts w:hint="eastAsia" w:ascii="仿宋_GB2312" w:hAnsi="仿宋_GB2312" w:eastAsia="仿宋_GB2312" w:cs="仿宋_GB2312"/>
          <w:sz w:val="32"/>
          <w:szCs w:val="32"/>
        </w:rPr>
        <w:t>松潘县发展和改革局 关于松潘县 2022 年以工代赈示范工程年度 绩效自评报告</w:t>
      </w:r>
    </w:p>
    <w:p w14:paraId="5A7705B0">
      <w:pPr>
        <w:pStyle w:val="11"/>
        <w:keepNext w:val="0"/>
        <w:keepLines w:val="0"/>
        <w:widowControl/>
        <w:suppressLineNumbers w:val="0"/>
        <w:spacing w:before="0" w:beforeAutospacing="0"/>
        <w:ind w:lef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一、绩效目标分解下达情况 松潘县 2022 年以工代赈示范工程</w:t>
      </w:r>
      <w:r>
        <w:rPr>
          <w:rFonts w:hint="eastAsia" w:ascii="仿宋_GB2312" w:hAnsi="仿宋_GB2312" w:eastAsia="仿宋_GB2312" w:cs="仿宋_GB2312"/>
          <w:sz w:val="32"/>
          <w:szCs w:val="32"/>
          <w:lang w:eastAsia="zh-CN"/>
        </w:rPr>
        <w:t>总投资</w:t>
      </w:r>
      <w:r>
        <w:rPr>
          <w:rFonts w:hint="eastAsia" w:ascii="仿宋_GB2312" w:hAnsi="仿宋_GB2312" w:eastAsia="仿宋_GB2312" w:cs="仿宋_GB2312"/>
          <w:sz w:val="32"/>
          <w:szCs w:val="32"/>
        </w:rPr>
        <w:t xml:space="preserve"> 550 万 元，其中中央预算内投资资金 500 万元，地方配套资金 50 万元，财评价为 474.224794 万元。 二、绩效目标完成情况分析 （一）资金投入情况分析。总投资为 550 万元，其中中 央预算内投资资金 500 万元，地方配套资金 50 万元，财评 价为 474.224794 万元，现已支付 316.584804 万元；因该项 目竣工验收未通过，部分项目工程款暂未予支付。待项目整 改完成，竣工验收通过后予以拨付剩余资金。 （二）资金管理情况分析。在资金管理使用上，我单位 严格执行《以工代赈资金管理办法》等相关法律法规，按照 合同约定条款进行报账。将工程进度和民工工资拨付挂钩， 严格按合同规定和工程进度进行，经县级主管部门、监管单 位、监理单位签字认可后，报县发改局进行审批，按工程进 度的支付工程款。 （三）总体绩效目标完成情况分析。现该项目已按批复内 容完成：灌溉水渠 10 公里，道路硬化 5 公里。宽 3.5 米，厚 0.2 米，土地整治 500 亩。该工程具有一定的经济效益和社 会效益和环境效益。为进一步加快推进我乡云昌村基础设施 建设，从根本上保障群众增收，提高土地利用率，改善群众 生活条件，本项目的实施是可以促进产业发展，保障农牧民 群众增收，满足人们不断增长的物质文化生活需求，增加当 地人民的收入，对巩固脱贫攻坚和乡村振兴有效衔接有促进 作用。 三、偏离绩效目标的原因和下一步改进措施 该项目建设完工后未及时拨付群众劳务报酬。 我单位已督促项目建设乡镇、村两委，现劳务报酬正在 通过“一卡通”发放监管平台进行操作，预计 4 月 20 日前将群 众劳务报酬通过平台完成发放工作。 四、绩效自评结果拟应用和公开情况 该项目严格按照村级、乡级、县级进行公示公告。 五、其他需要说明的问题 还未进行审计和决算。</w:t>
      </w:r>
      <w:r>
        <w:rPr>
          <w:rFonts w:hint="eastAsia" w:ascii="仿宋_GB2312" w:hAnsi="仿宋_GB2312" w:eastAsia="仿宋_GB2312" w:cs="仿宋_GB2312"/>
          <w:sz w:val="32"/>
          <w:szCs w:val="32"/>
          <w:shd w:val="clear" w:fill="FFFFFF"/>
        </w:rPr>
        <w:t> </w:t>
      </w:r>
    </w:p>
    <w:p w14:paraId="4860EB5E">
      <w:pPr>
        <w:pStyle w:val="11"/>
        <w:keepNext w:val="0"/>
        <w:keepLines w:val="0"/>
        <w:widowControl/>
        <w:suppressLineNumbers w:val="0"/>
        <w:spacing w:before="0" w:beforeAutospacing="0"/>
        <w:ind w:left="0"/>
        <w:jc w:val="left"/>
        <w:rPr>
          <w:rFonts w:hint="eastAsia" w:ascii="仿宋_GB2312" w:hAnsi="仿宋_GB2312" w:eastAsia="仿宋_GB2312" w:cs="仿宋_GB2312"/>
          <w:sz w:val="32"/>
          <w:szCs w:val="32"/>
        </w:rPr>
      </w:pPr>
    </w:p>
    <w:tbl>
      <w:tblPr>
        <w:tblStyle w:val="12"/>
        <w:tblW w:w="13344"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2190"/>
        <w:gridCol w:w="1350"/>
        <w:gridCol w:w="1845"/>
        <w:gridCol w:w="2109"/>
        <w:gridCol w:w="3000"/>
        <w:gridCol w:w="2850"/>
      </w:tblGrid>
      <w:tr w14:paraId="091243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5" w:hRule="atLeast"/>
          <w:tblCellSpacing w:w="0" w:type="dxa"/>
        </w:trPr>
        <w:tc>
          <w:tcPr>
            <w:tcW w:w="13344" w:type="dxa"/>
            <w:gridSpan w:val="6"/>
            <w:shd w:val="clear" w:color="auto" w:fill="auto"/>
            <w:noWrap/>
            <w:vAlign w:val="center"/>
          </w:tcPr>
          <w:p w14:paraId="792DA5D6">
            <w:pPr>
              <w:pStyle w:val="11"/>
              <w:keepNext w:val="0"/>
              <w:keepLines w:val="0"/>
              <w:widowControl/>
              <w:suppressLineNumbers w:val="0"/>
              <w:jc w:val="center"/>
              <w:rPr>
                <w:rFonts w:hint="eastAsia" w:ascii="仿宋_GB2312" w:hAnsi="仿宋_GB2312" w:eastAsia="仿宋_GB2312" w:cs="仿宋_GB2312"/>
                <w:sz w:val="32"/>
                <w:szCs w:val="32"/>
              </w:rPr>
            </w:pPr>
            <w:r>
              <w:rPr>
                <w:rStyle w:val="14"/>
                <w:rFonts w:hint="eastAsia" w:ascii="仿宋_GB2312" w:hAnsi="仿宋_GB2312" w:eastAsia="仿宋_GB2312" w:cs="仿宋_GB2312"/>
                <w:sz w:val="32"/>
                <w:szCs w:val="32"/>
              </w:rPr>
              <w:t>2022年100万元以上（含）特定目标类部门预算项目绩效目标自评</w:t>
            </w:r>
          </w:p>
        </w:tc>
      </w:tr>
      <w:tr w14:paraId="38664F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3540" w:type="dxa"/>
            <w:gridSpan w:val="2"/>
            <w:shd w:val="clear" w:color="auto" w:fill="auto"/>
            <w:noWrap/>
            <w:vAlign w:val="center"/>
          </w:tcPr>
          <w:p w14:paraId="72103CD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主管部门及代码</w:t>
            </w:r>
          </w:p>
        </w:tc>
        <w:tc>
          <w:tcPr>
            <w:tcW w:w="3954" w:type="dxa"/>
            <w:gridSpan w:val="2"/>
            <w:shd w:val="clear" w:color="auto" w:fill="auto"/>
            <w:noWrap/>
            <w:vAlign w:val="center"/>
          </w:tcPr>
          <w:p w14:paraId="57B04A9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111001</w:t>
            </w:r>
            <w:r>
              <w:rPr>
                <w:rFonts w:hint="eastAsia" w:ascii="仿宋_GB2312" w:hAnsi="仿宋_GB2312" w:eastAsia="仿宋_GB2312" w:cs="仿宋_GB2312"/>
                <w:sz w:val="32"/>
                <w:szCs w:val="32"/>
              </w:rPr>
              <w:t> </w:t>
            </w:r>
          </w:p>
        </w:tc>
        <w:tc>
          <w:tcPr>
            <w:tcW w:w="3000" w:type="dxa"/>
            <w:shd w:val="clear" w:color="auto" w:fill="auto"/>
            <w:noWrap/>
            <w:vAlign w:val="center"/>
          </w:tcPr>
          <w:p w14:paraId="4EFABA3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实施单位</w:t>
            </w:r>
          </w:p>
        </w:tc>
        <w:tc>
          <w:tcPr>
            <w:tcW w:w="2850" w:type="dxa"/>
            <w:shd w:val="clear" w:color="auto" w:fill="auto"/>
            <w:noWrap/>
            <w:vAlign w:val="center"/>
          </w:tcPr>
          <w:p w14:paraId="3A19208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14:paraId="64B1DF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5" w:hRule="atLeast"/>
          <w:tblCellSpacing w:w="0" w:type="dxa"/>
        </w:trPr>
        <w:tc>
          <w:tcPr>
            <w:tcW w:w="3540" w:type="dxa"/>
            <w:gridSpan w:val="2"/>
            <w:vMerge w:val="restart"/>
            <w:shd w:val="clear" w:color="auto" w:fill="auto"/>
            <w:noWrap/>
            <w:vAlign w:val="center"/>
          </w:tcPr>
          <w:p w14:paraId="34FC3314">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项目预算</w:t>
            </w:r>
          </w:p>
          <w:p w14:paraId="7B893BE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执行情况</w:t>
            </w:r>
          </w:p>
          <w:p w14:paraId="014E425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（万元）</w:t>
            </w:r>
          </w:p>
        </w:tc>
        <w:tc>
          <w:tcPr>
            <w:tcW w:w="1845" w:type="dxa"/>
            <w:shd w:val="clear" w:color="auto" w:fill="auto"/>
            <w:noWrap/>
            <w:vAlign w:val="center"/>
          </w:tcPr>
          <w:p w14:paraId="04EE542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预算数：</w:t>
            </w:r>
          </w:p>
        </w:tc>
        <w:tc>
          <w:tcPr>
            <w:tcW w:w="2109" w:type="dxa"/>
            <w:shd w:val="clear" w:color="auto" w:fill="auto"/>
            <w:noWrap/>
            <w:vAlign w:val="center"/>
          </w:tcPr>
          <w:p w14:paraId="6FD113CA">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500</w:t>
            </w:r>
          </w:p>
        </w:tc>
        <w:tc>
          <w:tcPr>
            <w:tcW w:w="3000" w:type="dxa"/>
            <w:shd w:val="clear" w:color="auto" w:fill="auto"/>
            <w:noWrap/>
            <w:vAlign w:val="center"/>
          </w:tcPr>
          <w:p w14:paraId="07513F5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执行数：</w:t>
            </w:r>
          </w:p>
        </w:tc>
        <w:tc>
          <w:tcPr>
            <w:tcW w:w="2850" w:type="dxa"/>
            <w:shd w:val="clear" w:color="auto" w:fill="auto"/>
            <w:noWrap/>
            <w:vAlign w:val="center"/>
          </w:tcPr>
          <w:p w14:paraId="0B99D5A5">
            <w:pPr>
              <w:pStyle w:val="11"/>
              <w:keepNext w:val="0"/>
              <w:keepLines w:val="0"/>
              <w:widowControl/>
              <w:suppressLineNumbers w:val="0"/>
              <w:jc w:val="center"/>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383.95</w:t>
            </w:r>
          </w:p>
        </w:tc>
      </w:tr>
      <w:tr w14:paraId="3F1383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5" w:hRule="atLeast"/>
          <w:tblCellSpacing w:w="0" w:type="dxa"/>
        </w:trPr>
        <w:tc>
          <w:tcPr>
            <w:tcW w:w="3540" w:type="dxa"/>
            <w:gridSpan w:val="2"/>
            <w:vMerge w:val="continue"/>
            <w:shd w:val="clear" w:color="auto" w:fill="auto"/>
            <w:noWrap/>
            <w:vAlign w:val="center"/>
          </w:tcPr>
          <w:p w14:paraId="64DA0D7B">
            <w:pPr>
              <w:rPr>
                <w:rFonts w:hint="eastAsia" w:ascii="仿宋_GB2312" w:hAnsi="仿宋_GB2312" w:eastAsia="仿宋_GB2312" w:cs="仿宋_GB2312"/>
                <w:sz w:val="32"/>
                <w:szCs w:val="32"/>
              </w:rPr>
            </w:pPr>
          </w:p>
        </w:tc>
        <w:tc>
          <w:tcPr>
            <w:tcW w:w="1845" w:type="dxa"/>
            <w:shd w:val="clear" w:color="auto" w:fill="auto"/>
            <w:noWrap/>
            <w:vAlign w:val="center"/>
          </w:tcPr>
          <w:p w14:paraId="21CC5CC3">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其中：</w:t>
            </w:r>
          </w:p>
          <w:p w14:paraId="795DF56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财政拨款</w:t>
            </w:r>
          </w:p>
        </w:tc>
        <w:tc>
          <w:tcPr>
            <w:tcW w:w="2109" w:type="dxa"/>
            <w:shd w:val="clear" w:color="auto" w:fill="auto"/>
            <w:noWrap/>
            <w:vAlign w:val="center"/>
          </w:tcPr>
          <w:p w14:paraId="35BBED7F">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500</w:t>
            </w:r>
          </w:p>
        </w:tc>
        <w:tc>
          <w:tcPr>
            <w:tcW w:w="3000" w:type="dxa"/>
            <w:shd w:val="clear" w:color="auto" w:fill="auto"/>
            <w:noWrap/>
            <w:vAlign w:val="center"/>
          </w:tcPr>
          <w:p w14:paraId="65DA1C1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其中：</w:t>
            </w:r>
          </w:p>
          <w:p w14:paraId="0EF51133">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财政拨款</w:t>
            </w:r>
          </w:p>
        </w:tc>
        <w:tc>
          <w:tcPr>
            <w:tcW w:w="2850" w:type="dxa"/>
            <w:shd w:val="clear" w:color="auto" w:fill="auto"/>
            <w:noWrap/>
            <w:vAlign w:val="center"/>
          </w:tcPr>
          <w:p w14:paraId="46ADFFF9">
            <w:pPr>
              <w:pStyle w:val="11"/>
              <w:keepNext w:val="0"/>
              <w:keepLines w:val="0"/>
              <w:widowControl/>
              <w:suppressLineNumbers w:val="0"/>
              <w:jc w:val="center"/>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383.95</w:t>
            </w:r>
          </w:p>
        </w:tc>
      </w:tr>
      <w:tr w14:paraId="668C59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5" w:hRule="atLeast"/>
          <w:tblCellSpacing w:w="0" w:type="dxa"/>
        </w:trPr>
        <w:tc>
          <w:tcPr>
            <w:tcW w:w="3540" w:type="dxa"/>
            <w:gridSpan w:val="2"/>
            <w:vMerge w:val="continue"/>
            <w:shd w:val="clear" w:color="auto" w:fill="auto"/>
            <w:noWrap/>
            <w:vAlign w:val="center"/>
          </w:tcPr>
          <w:p w14:paraId="34686453">
            <w:pPr>
              <w:rPr>
                <w:rFonts w:hint="eastAsia" w:ascii="仿宋_GB2312" w:hAnsi="仿宋_GB2312" w:eastAsia="仿宋_GB2312" w:cs="仿宋_GB2312"/>
                <w:sz w:val="32"/>
                <w:szCs w:val="32"/>
              </w:rPr>
            </w:pPr>
          </w:p>
        </w:tc>
        <w:tc>
          <w:tcPr>
            <w:tcW w:w="1845" w:type="dxa"/>
            <w:shd w:val="clear" w:color="auto" w:fill="auto"/>
            <w:noWrap/>
            <w:vAlign w:val="center"/>
          </w:tcPr>
          <w:p w14:paraId="0DC2EA2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其他资金</w:t>
            </w:r>
          </w:p>
        </w:tc>
        <w:tc>
          <w:tcPr>
            <w:tcW w:w="2109" w:type="dxa"/>
            <w:shd w:val="clear" w:color="auto" w:fill="auto"/>
            <w:noWrap/>
            <w:vAlign w:val="center"/>
          </w:tcPr>
          <w:p w14:paraId="4B890551">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p>
        </w:tc>
        <w:tc>
          <w:tcPr>
            <w:tcW w:w="3000" w:type="dxa"/>
            <w:shd w:val="clear" w:color="auto" w:fill="auto"/>
            <w:noWrap/>
            <w:vAlign w:val="center"/>
          </w:tcPr>
          <w:p w14:paraId="79B386C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其他资金</w:t>
            </w:r>
          </w:p>
        </w:tc>
        <w:tc>
          <w:tcPr>
            <w:tcW w:w="2850" w:type="dxa"/>
            <w:shd w:val="clear" w:color="auto" w:fill="auto"/>
            <w:noWrap/>
            <w:vAlign w:val="center"/>
          </w:tcPr>
          <w:p w14:paraId="7DB5C70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14:paraId="15B819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2190" w:type="dxa"/>
            <w:vMerge w:val="restart"/>
            <w:shd w:val="clear" w:color="auto" w:fill="auto"/>
            <w:noWrap/>
            <w:vAlign w:val="center"/>
          </w:tcPr>
          <w:p w14:paraId="53F3DF1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年度总体目标</w:t>
            </w:r>
          </w:p>
          <w:p w14:paraId="7D36E7E4">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完成情况</w:t>
            </w:r>
          </w:p>
        </w:tc>
        <w:tc>
          <w:tcPr>
            <w:tcW w:w="5304" w:type="dxa"/>
            <w:gridSpan w:val="3"/>
            <w:shd w:val="clear" w:color="auto" w:fill="auto"/>
            <w:noWrap/>
            <w:vAlign w:val="center"/>
          </w:tcPr>
          <w:p w14:paraId="53425438">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预期目标</w:t>
            </w:r>
          </w:p>
        </w:tc>
        <w:tc>
          <w:tcPr>
            <w:tcW w:w="5850" w:type="dxa"/>
            <w:gridSpan w:val="2"/>
            <w:shd w:val="clear" w:color="auto" w:fill="auto"/>
            <w:noWrap/>
            <w:vAlign w:val="center"/>
          </w:tcPr>
          <w:p w14:paraId="2A77362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目标实际完成情况</w:t>
            </w:r>
          </w:p>
        </w:tc>
      </w:tr>
      <w:tr w14:paraId="7FB17E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95" w:hRule="atLeast"/>
          <w:tblCellSpacing w:w="0" w:type="dxa"/>
        </w:trPr>
        <w:tc>
          <w:tcPr>
            <w:tcW w:w="2190" w:type="dxa"/>
            <w:vMerge w:val="continue"/>
            <w:shd w:val="clear" w:color="auto" w:fill="auto"/>
            <w:noWrap/>
            <w:vAlign w:val="center"/>
          </w:tcPr>
          <w:p w14:paraId="06075B3B">
            <w:pPr>
              <w:rPr>
                <w:rFonts w:hint="eastAsia" w:ascii="仿宋_GB2312" w:hAnsi="仿宋_GB2312" w:eastAsia="仿宋_GB2312" w:cs="仿宋_GB2312"/>
                <w:sz w:val="32"/>
                <w:szCs w:val="32"/>
              </w:rPr>
            </w:pPr>
          </w:p>
        </w:tc>
        <w:tc>
          <w:tcPr>
            <w:tcW w:w="5304" w:type="dxa"/>
            <w:gridSpan w:val="3"/>
            <w:shd w:val="clear" w:color="auto" w:fill="auto"/>
            <w:noWrap/>
            <w:vAlign w:val="center"/>
          </w:tcPr>
          <w:p w14:paraId="471FB7F8">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100%</w:t>
            </w:r>
          </w:p>
        </w:tc>
        <w:tc>
          <w:tcPr>
            <w:tcW w:w="5850" w:type="dxa"/>
            <w:gridSpan w:val="2"/>
            <w:shd w:val="clear" w:color="auto" w:fill="auto"/>
            <w:noWrap/>
            <w:vAlign w:val="center"/>
          </w:tcPr>
          <w:p w14:paraId="72EBBEE8">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rPr>
              <w:t> </w:t>
            </w:r>
          </w:p>
        </w:tc>
      </w:tr>
      <w:tr w14:paraId="47E4B6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90" w:hRule="atLeast"/>
          <w:tblCellSpacing w:w="0" w:type="dxa"/>
        </w:trPr>
        <w:tc>
          <w:tcPr>
            <w:tcW w:w="2190" w:type="dxa"/>
            <w:vMerge w:val="restart"/>
            <w:shd w:val="clear" w:color="auto" w:fill="auto"/>
            <w:noWrap/>
            <w:vAlign w:val="center"/>
          </w:tcPr>
          <w:p w14:paraId="05E7517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年度绩效指标完成情况</w:t>
            </w:r>
          </w:p>
        </w:tc>
        <w:tc>
          <w:tcPr>
            <w:tcW w:w="1350" w:type="dxa"/>
            <w:shd w:val="clear" w:color="auto" w:fill="auto"/>
            <w:noWrap/>
            <w:vAlign w:val="center"/>
          </w:tcPr>
          <w:p w14:paraId="33BED594">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一级</w:t>
            </w:r>
          </w:p>
          <w:p w14:paraId="62706C1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845" w:type="dxa"/>
            <w:shd w:val="clear" w:color="auto" w:fill="auto"/>
            <w:noWrap/>
            <w:vAlign w:val="center"/>
          </w:tcPr>
          <w:p w14:paraId="2B40E38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二级</w:t>
            </w:r>
          </w:p>
          <w:p w14:paraId="5A47E38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2109" w:type="dxa"/>
            <w:shd w:val="clear" w:color="auto" w:fill="auto"/>
            <w:noWrap/>
            <w:vAlign w:val="center"/>
          </w:tcPr>
          <w:p w14:paraId="401B91D4">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三级</w:t>
            </w:r>
          </w:p>
          <w:p w14:paraId="5A112EA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3000" w:type="dxa"/>
            <w:shd w:val="clear" w:color="auto" w:fill="auto"/>
            <w:noWrap/>
            <w:vAlign w:val="center"/>
          </w:tcPr>
          <w:p w14:paraId="2E4B06D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预期指标值</w:t>
            </w:r>
          </w:p>
        </w:tc>
        <w:tc>
          <w:tcPr>
            <w:tcW w:w="2850" w:type="dxa"/>
            <w:shd w:val="clear" w:color="auto" w:fill="auto"/>
            <w:noWrap/>
            <w:vAlign w:val="center"/>
          </w:tcPr>
          <w:p w14:paraId="7DA71D8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实际完成指标值</w:t>
            </w:r>
          </w:p>
        </w:tc>
      </w:tr>
      <w:tr w14:paraId="505697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81" w:hRule="atLeast"/>
          <w:tblCellSpacing w:w="0" w:type="dxa"/>
        </w:trPr>
        <w:tc>
          <w:tcPr>
            <w:tcW w:w="2190" w:type="dxa"/>
            <w:vMerge w:val="continue"/>
            <w:shd w:val="clear" w:color="auto" w:fill="auto"/>
            <w:noWrap/>
            <w:vAlign w:val="center"/>
          </w:tcPr>
          <w:p w14:paraId="69835B96">
            <w:pPr>
              <w:rPr>
                <w:rFonts w:hint="eastAsia" w:ascii="仿宋_GB2312" w:hAnsi="仿宋_GB2312" w:eastAsia="仿宋_GB2312" w:cs="仿宋_GB2312"/>
                <w:sz w:val="32"/>
                <w:szCs w:val="32"/>
              </w:rPr>
            </w:pPr>
          </w:p>
        </w:tc>
        <w:tc>
          <w:tcPr>
            <w:tcW w:w="1350" w:type="dxa"/>
            <w:vMerge w:val="restart"/>
            <w:shd w:val="clear" w:color="auto" w:fill="auto"/>
            <w:noWrap/>
            <w:vAlign w:val="center"/>
          </w:tcPr>
          <w:p w14:paraId="1B33C10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w:t>
            </w:r>
          </w:p>
          <w:p w14:paraId="02ADF5C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845" w:type="dxa"/>
            <w:shd w:val="clear" w:color="auto" w:fill="auto"/>
            <w:noWrap/>
            <w:vAlign w:val="center"/>
          </w:tcPr>
          <w:p w14:paraId="6CD077D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数量指标</w:t>
            </w:r>
          </w:p>
        </w:tc>
        <w:tc>
          <w:tcPr>
            <w:tcW w:w="2109" w:type="dxa"/>
            <w:shd w:val="clear" w:color="auto" w:fill="auto"/>
            <w:noWrap/>
            <w:vAlign w:val="center"/>
          </w:tcPr>
          <w:p w14:paraId="176F31B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改造、修缮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工程量</w:t>
            </w:r>
          </w:p>
          <w:p w14:paraId="760A7BF8">
            <w:pPr>
              <w:pStyle w:val="11"/>
              <w:keepNext w:val="0"/>
              <w:keepLines w:val="0"/>
              <w:widowControl/>
              <w:suppressLineNumbers w:val="0"/>
              <w:jc w:val="center"/>
              <w:rPr>
                <w:rFonts w:hint="eastAsia" w:ascii="仿宋_GB2312" w:hAnsi="仿宋_GB2312" w:eastAsia="仿宋_GB2312" w:cs="仿宋_GB2312"/>
                <w:sz w:val="32"/>
                <w:szCs w:val="32"/>
              </w:rPr>
            </w:pPr>
          </w:p>
        </w:tc>
        <w:tc>
          <w:tcPr>
            <w:tcW w:w="3000" w:type="dxa"/>
            <w:shd w:val="clear" w:color="auto" w:fill="auto"/>
            <w:noWrap/>
            <w:vAlign w:val="center"/>
          </w:tcPr>
          <w:p w14:paraId="3FBD26F4">
            <w:pPr>
              <w:pStyle w:val="11"/>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灌溉水渠10公里，道路硬化5公里，宽3.5米，厚0.2米，土地整治500亩。</w:t>
            </w:r>
          </w:p>
        </w:tc>
        <w:tc>
          <w:tcPr>
            <w:tcW w:w="2850" w:type="dxa"/>
            <w:shd w:val="clear" w:color="auto" w:fill="auto"/>
            <w:noWrap/>
            <w:vAlign w:val="center"/>
          </w:tcPr>
          <w:p w14:paraId="0AFD79C2">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灌溉水渠10公里，道路硬化5公里，宽3.5米，厚0.2米，土地整治500亩。</w:t>
            </w:r>
          </w:p>
        </w:tc>
      </w:tr>
      <w:tr w14:paraId="55E65D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20" w:hRule="atLeast"/>
          <w:tblCellSpacing w:w="0" w:type="dxa"/>
        </w:trPr>
        <w:tc>
          <w:tcPr>
            <w:tcW w:w="2190" w:type="dxa"/>
            <w:vMerge w:val="continue"/>
            <w:shd w:val="clear" w:color="auto" w:fill="auto"/>
            <w:noWrap/>
            <w:vAlign w:val="center"/>
          </w:tcPr>
          <w:p w14:paraId="4507776E">
            <w:pPr>
              <w:rPr>
                <w:rFonts w:hint="eastAsia" w:ascii="仿宋_GB2312" w:hAnsi="仿宋_GB2312" w:eastAsia="仿宋_GB2312" w:cs="仿宋_GB2312"/>
                <w:sz w:val="32"/>
                <w:szCs w:val="32"/>
              </w:rPr>
            </w:pPr>
          </w:p>
        </w:tc>
        <w:tc>
          <w:tcPr>
            <w:tcW w:w="1350" w:type="dxa"/>
            <w:vMerge w:val="continue"/>
            <w:shd w:val="clear" w:color="auto" w:fill="auto"/>
            <w:noWrap/>
            <w:vAlign w:val="center"/>
          </w:tcPr>
          <w:p w14:paraId="57EB3BA5">
            <w:pPr>
              <w:rPr>
                <w:rFonts w:hint="eastAsia" w:ascii="仿宋_GB2312" w:hAnsi="仿宋_GB2312" w:eastAsia="仿宋_GB2312" w:cs="仿宋_GB2312"/>
                <w:sz w:val="32"/>
                <w:szCs w:val="32"/>
              </w:rPr>
            </w:pPr>
          </w:p>
        </w:tc>
        <w:tc>
          <w:tcPr>
            <w:tcW w:w="1845" w:type="dxa"/>
            <w:shd w:val="clear" w:color="auto" w:fill="auto"/>
            <w:noWrap/>
            <w:vAlign w:val="center"/>
          </w:tcPr>
          <w:p w14:paraId="5FAEDFB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质量指标</w:t>
            </w:r>
          </w:p>
        </w:tc>
        <w:tc>
          <w:tcPr>
            <w:tcW w:w="2109" w:type="dxa"/>
            <w:shd w:val="clear" w:color="auto" w:fill="auto"/>
            <w:noWrap/>
            <w:vAlign w:val="center"/>
          </w:tcPr>
          <w:p w14:paraId="5D4C1AF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竣工验收合格率 </w:t>
            </w:r>
          </w:p>
        </w:tc>
        <w:tc>
          <w:tcPr>
            <w:tcW w:w="3000" w:type="dxa"/>
            <w:shd w:val="clear" w:color="auto" w:fill="auto"/>
            <w:noWrap/>
            <w:vAlign w:val="center"/>
          </w:tcPr>
          <w:p w14:paraId="5C1739A9">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100%</w:t>
            </w:r>
          </w:p>
        </w:tc>
        <w:tc>
          <w:tcPr>
            <w:tcW w:w="2850" w:type="dxa"/>
            <w:shd w:val="clear" w:color="auto" w:fill="auto"/>
            <w:noWrap/>
            <w:vAlign w:val="center"/>
          </w:tcPr>
          <w:p w14:paraId="74D86530">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70%</w:t>
            </w:r>
          </w:p>
        </w:tc>
      </w:tr>
      <w:tr w14:paraId="4982D4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20" w:hRule="atLeast"/>
          <w:tblCellSpacing w:w="0" w:type="dxa"/>
        </w:trPr>
        <w:tc>
          <w:tcPr>
            <w:tcW w:w="2190" w:type="dxa"/>
            <w:vMerge w:val="continue"/>
            <w:shd w:val="clear" w:color="auto" w:fill="auto"/>
            <w:noWrap/>
            <w:vAlign w:val="center"/>
          </w:tcPr>
          <w:p w14:paraId="0E54241E">
            <w:pPr>
              <w:rPr>
                <w:rFonts w:hint="eastAsia" w:ascii="仿宋_GB2312" w:hAnsi="仿宋_GB2312" w:eastAsia="仿宋_GB2312" w:cs="仿宋_GB2312"/>
                <w:sz w:val="32"/>
                <w:szCs w:val="32"/>
              </w:rPr>
            </w:pPr>
          </w:p>
        </w:tc>
        <w:tc>
          <w:tcPr>
            <w:tcW w:w="1350" w:type="dxa"/>
            <w:vMerge w:val="continue"/>
            <w:shd w:val="clear" w:color="auto" w:fill="auto"/>
            <w:noWrap/>
            <w:vAlign w:val="center"/>
          </w:tcPr>
          <w:p w14:paraId="7F0EA1DD">
            <w:pPr>
              <w:rPr>
                <w:rFonts w:hint="eastAsia" w:ascii="仿宋_GB2312" w:hAnsi="仿宋_GB2312" w:eastAsia="仿宋_GB2312" w:cs="仿宋_GB2312"/>
                <w:sz w:val="32"/>
                <w:szCs w:val="32"/>
              </w:rPr>
            </w:pPr>
          </w:p>
        </w:tc>
        <w:tc>
          <w:tcPr>
            <w:tcW w:w="1845" w:type="dxa"/>
            <w:shd w:val="clear" w:color="auto" w:fill="auto"/>
            <w:noWrap/>
            <w:vAlign w:val="center"/>
          </w:tcPr>
          <w:p w14:paraId="6633239D">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时效指标</w:t>
            </w:r>
          </w:p>
        </w:tc>
        <w:tc>
          <w:tcPr>
            <w:tcW w:w="2109" w:type="dxa"/>
            <w:shd w:val="clear" w:color="auto" w:fill="auto"/>
            <w:noWrap/>
            <w:vAlign w:val="center"/>
          </w:tcPr>
          <w:p w14:paraId="2B4BBD6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项目按计划完工率</w:t>
            </w:r>
          </w:p>
        </w:tc>
        <w:tc>
          <w:tcPr>
            <w:tcW w:w="3000" w:type="dxa"/>
            <w:shd w:val="clear" w:color="auto" w:fill="auto"/>
            <w:noWrap/>
            <w:vAlign w:val="center"/>
          </w:tcPr>
          <w:p w14:paraId="1E0C097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w:t>
            </w:r>
          </w:p>
        </w:tc>
        <w:tc>
          <w:tcPr>
            <w:tcW w:w="2850" w:type="dxa"/>
            <w:shd w:val="clear" w:color="auto" w:fill="auto"/>
            <w:noWrap/>
            <w:vAlign w:val="center"/>
          </w:tcPr>
          <w:p w14:paraId="2C43BB07">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70%</w:t>
            </w:r>
            <w:r>
              <w:rPr>
                <w:rFonts w:hint="eastAsia" w:ascii="仿宋_GB2312" w:hAnsi="仿宋_GB2312" w:eastAsia="仿宋_GB2312" w:cs="仿宋_GB2312"/>
                <w:sz w:val="32"/>
                <w:szCs w:val="32"/>
              </w:rPr>
              <w:t> </w:t>
            </w:r>
          </w:p>
        </w:tc>
      </w:tr>
      <w:tr w14:paraId="2A8C7A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blCellSpacing w:w="0" w:type="dxa"/>
        </w:trPr>
        <w:tc>
          <w:tcPr>
            <w:tcW w:w="2190" w:type="dxa"/>
            <w:vMerge w:val="continue"/>
            <w:shd w:val="clear" w:color="auto" w:fill="auto"/>
            <w:noWrap/>
            <w:vAlign w:val="center"/>
          </w:tcPr>
          <w:p w14:paraId="23F45BCF">
            <w:pPr>
              <w:rPr>
                <w:rFonts w:hint="eastAsia" w:ascii="仿宋_GB2312" w:hAnsi="仿宋_GB2312" w:eastAsia="仿宋_GB2312" w:cs="仿宋_GB2312"/>
                <w:sz w:val="32"/>
                <w:szCs w:val="32"/>
              </w:rPr>
            </w:pPr>
          </w:p>
        </w:tc>
        <w:tc>
          <w:tcPr>
            <w:tcW w:w="1350" w:type="dxa"/>
            <w:vMerge w:val="continue"/>
            <w:shd w:val="clear" w:color="auto" w:fill="auto"/>
            <w:noWrap/>
            <w:vAlign w:val="center"/>
          </w:tcPr>
          <w:p w14:paraId="0034646D">
            <w:pPr>
              <w:rPr>
                <w:rFonts w:hint="eastAsia" w:ascii="仿宋_GB2312" w:hAnsi="仿宋_GB2312" w:eastAsia="仿宋_GB2312" w:cs="仿宋_GB2312"/>
                <w:sz w:val="32"/>
                <w:szCs w:val="32"/>
              </w:rPr>
            </w:pPr>
          </w:p>
        </w:tc>
        <w:tc>
          <w:tcPr>
            <w:tcW w:w="1845" w:type="dxa"/>
            <w:shd w:val="clear" w:color="auto" w:fill="auto"/>
            <w:noWrap/>
            <w:vAlign w:val="center"/>
          </w:tcPr>
          <w:p w14:paraId="00DD16F7">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成本指标</w:t>
            </w:r>
          </w:p>
        </w:tc>
        <w:tc>
          <w:tcPr>
            <w:tcW w:w="2109" w:type="dxa"/>
            <w:shd w:val="clear" w:color="auto" w:fill="auto"/>
            <w:noWrap/>
            <w:vAlign w:val="center"/>
          </w:tcPr>
          <w:p w14:paraId="1DDB954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超概算项目比例</w:t>
            </w:r>
          </w:p>
        </w:tc>
        <w:tc>
          <w:tcPr>
            <w:tcW w:w="3000" w:type="dxa"/>
            <w:shd w:val="clear" w:color="auto" w:fill="auto"/>
            <w:noWrap/>
            <w:vAlign w:val="center"/>
          </w:tcPr>
          <w:p w14:paraId="23AEA421">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100%</w:t>
            </w:r>
          </w:p>
        </w:tc>
        <w:tc>
          <w:tcPr>
            <w:tcW w:w="2850" w:type="dxa"/>
            <w:shd w:val="clear" w:color="auto" w:fill="auto"/>
            <w:noWrap/>
            <w:vAlign w:val="center"/>
          </w:tcPr>
          <w:p w14:paraId="157768A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w:t>
            </w:r>
          </w:p>
        </w:tc>
      </w:tr>
      <w:tr w14:paraId="4ECD53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blCellSpacing w:w="0" w:type="dxa"/>
        </w:trPr>
        <w:tc>
          <w:tcPr>
            <w:tcW w:w="2190" w:type="dxa"/>
            <w:vMerge w:val="continue"/>
            <w:shd w:val="clear" w:color="auto" w:fill="auto"/>
            <w:noWrap/>
            <w:vAlign w:val="center"/>
          </w:tcPr>
          <w:p w14:paraId="5B5279F3">
            <w:pPr>
              <w:rPr>
                <w:rFonts w:hint="eastAsia" w:ascii="仿宋_GB2312" w:hAnsi="仿宋_GB2312" w:eastAsia="仿宋_GB2312" w:cs="仿宋_GB2312"/>
                <w:sz w:val="32"/>
                <w:szCs w:val="32"/>
              </w:rPr>
            </w:pPr>
          </w:p>
        </w:tc>
        <w:tc>
          <w:tcPr>
            <w:tcW w:w="1350" w:type="dxa"/>
            <w:vMerge w:val="restart"/>
            <w:shd w:val="clear" w:color="auto" w:fill="auto"/>
            <w:noWrap/>
            <w:vAlign w:val="center"/>
          </w:tcPr>
          <w:p w14:paraId="125F2E01">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效益</w:t>
            </w:r>
          </w:p>
          <w:p w14:paraId="0A2D6F2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1845" w:type="dxa"/>
            <w:shd w:val="clear" w:color="auto" w:fill="auto"/>
            <w:noWrap/>
            <w:vAlign w:val="center"/>
          </w:tcPr>
          <w:p w14:paraId="09A30BBA">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经济效益指标</w:t>
            </w:r>
          </w:p>
        </w:tc>
        <w:tc>
          <w:tcPr>
            <w:tcW w:w="2109" w:type="dxa"/>
            <w:shd w:val="clear" w:color="auto" w:fill="auto"/>
            <w:noWrap/>
            <w:vAlign w:val="center"/>
          </w:tcPr>
          <w:p w14:paraId="5F2A3929">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Cs/>
                <w:sz w:val="32"/>
                <w:szCs w:val="32"/>
                <w:lang w:val="en-US" w:eastAsia="zh-CN"/>
              </w:rPr>
              <w:t>加快整村的经济发展，增加群众的收入</w:t>
            </w:r>
          </w:p>
        </w:tc>
        <w:tc>
          <w:tcPr>
            <w:tcW w:w="3000" w:type="dxa"/>
            <w:shd w:val="clear" w:color="auto" w:fill="auto"/>
            <w:noWrap/>
            <w:vAlign w:val="center"/>
          </w:tcPr>
          <w:p w14:paraId="1A75C644">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有效提高</w:t>
            </w:r>
          </w:p>
        </w:tc>
        <w:tc>
          <w:tcPr>
            <w:tcW w:w="2850" w:type="dxa"/>
            <w:shd w:val="clear" w:color="auto" w:fill="auto"/>
            <w:noWrap/>
            <w:vAlign w:val="center"/>
          </w:tcPr>
          <w:p w14:paraId="555DB28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有效提高</w:t>
            </w:r>
            <w:r>
              <w:rPr>
                <w:rFonts w:hint="eastAsia" w:ascii="仿宋_GB2312" w:hAnsi="仿宋_GB2312" w:eastAsia="仿宋_GB2312" w:cs="仿宋_GB2312"/>
                <w:sz w:val="32"/>
                <w:szCs w:val="32"/>
              </w:rPr>
              <w:t> </w:t>
            </w:r>
          </w:p>
        </w:tc>
      </w:tr>
      <w:tr w14:paraId="596735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blCellSpacing w:w="0" w:type="dxa"/>
        </w:trPr>
        <w:tc>
          <w:tcPr>
            <w:tcW w:w="2190" w:type="dxa"/>
            <w:vMerge w:val="continue"/>
            <w:shd w:val="clear" w:color="auto" w:fill="auto"/>
            <w:noWrap/>
            <w:vAlign w:val="center"/>
          </w:tcPr>
          <w:p w14:paraId="0EF3587A">
            <w:pPr>
              <w:rPr>
                <w:rFonts w:hint="eastAsia" w:ascii="仿宋_GB2312" w:hAnsi="仿宋_GB2312" w:eastAsia="仿宋_GB2312" w:cs="仿宋_GB2312"/>
                <w:sz w:val="32"/>
                <w:szCs w:val="32"/>
              </w:rPr>
            </w:pPr>
          </w:p>
        </w:tc>
        <w:tc>
          <w:tcPr>
            <w:tcW w:w="1350" w:type="dxa"/>
            <w:vMerge w:val="continue"/>
            <w:shd w:val="clear" w:color="auto" w:fill="auto"/>
            <w:noWrap/>
            <w:vAlign w:val="center"/>
          </w:tcPr>
          <w:p w14:paraId="2681355E">
            <w:pPr>
              <w:rPr>
                <w:rFonts w:hint="eastAsia" w:ascii="仿宋_GB2312" w:hAnsi="仿宋_GB2312" w:eastAsia="仿宋_GB2312" w:cs="仿宋_GB2312"/>
                <w:sz w:val="32"/>
                <w:szCs w:val="32"/>
              </w:rPr>
            </w:pPr>
          </w:p>
        </w:tc>
        <w:tc>
          <w:tcPr>
            <w:tcW w:w="1845" w:type="dxa"/>
            <w:shd w:val="clear" w:color="auto" w:fill="auto"/>
            <w:noWrap/>
            <w:vAlign w:val="center"/>
          </w:tcPr>
          <w:p w14:paraId="4E35733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社会效益指标</w:t>
            </w:r>
          </w:p>
        </w:tc>
        <w:tc>
          <w:tcPr>
            <w:tcW w:w="2109" w:type="dxa"/>
            <w:shd w:val="clear" w:color="auto" w:fill="auto"/>
            <w:noWrap/>
            <w:vAlign w:val="center"/>
          </w:tcPr>
          <w:p w14:paraId="19E02B1C">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群众参与项目建设</w:t>
            </w:r>
          </w:p>
        </w:tc>
        <w:tc>
          <w:tcPr>
            <w:tcW w:w="3000" w:type="dxa"/>
            <w:shd w:val="clear" w:color="auto" w:fill="auto"/>
            <w:noWrap/>
            <w:vAlign w:val="center"/>
          </w:tcPr>
          <w:p w14:paraId="02AB1796">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劳</w:t>
            </w:r>
            <w:r>
              <w:rPr>
                <w:rFonts w:hint="eastAsia" w:ascii="仿宋_GB2312" w:hAnsi="仿宋_GB2312" w:eastAsia="仿宋_GB2312" w:cs="仿宋_GB2312"/>
                <w:color w:val="000000"/>
                <w:sz w:val="32"/>
                <w:szCs w:val="32"/>
              </w:rPr>
              <w:t>务工人</w:t>
            </w:r>
            <w:r>
              <w:rPr>
                <w:rFonts w:hint="eastAsia" w:ascii="仿宋_GB2312" w:hAnsi="仿宋_GB2312" w:eastAsia="仿宋_GB2312" w:cs="仿宋_GB2312"/>
                <w:color w:val="000000"/>
                <w:sz w:val="32"/>
                <w:szCs w:val="32"/>
                <w:lang w:val="en-US" w:eastAsia="zh-CN"/>
              </w:rPr>
              <w:t>48人</w:t>
            </w:r>
            <w:r>
              <w:rPr>
                <w:rFonts w:hint="eastAsia" w:ascii="仿宋_GB2312" w:hAnsi="仿宋_GB2312" w:eastAsia="仿宋_GB2312" w:cs="仿宋_GB2312"/>
                <w:sz w:val="32"/>
                <w:szCs w:val="32"/>
              </w:rPr>
              <w:t> </w:t>
            </w:r>
          </w:p>
        </w:tc>
        <w:tc>
          <w:tcPr>
            <w:tcW w:w="2850" w:type="dxa"/>
            <w:shd w:val="clear" w:color="auto" w:fill="auto"/>
            <w:noWrap/>
            <w:vAlign w:val="center"/>
          </w:tcPr>
          <w:p w14:paraId="3F01B63A">
            <w:pPr>
              <w:pStyle w:val="11"/>
              <w:keepNext w:val="0"/>
              <w:keepLines w:val="0"/>
              <w:widowControl/>
              <w:suppressLineNumbers w:val="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劳</w:t>
            </w:r>
            <w:r>
              <w:rPr>
                <w:rFonts w:hint="eastAsia" w:ascii="仿宋_GB2312" w:hAnsi="仿宋_GB2312" w:eastAsia="仿宋_GB2312" w:cs="仿宋_GB2312"/>
                <w:color w:val="000000"/>
                <w:sz w:val="32"/>
                <w:szCs w:val="32"/>
              </w:rPr>
              <w:t>务工人</w:t>
            </w:r>
            <w:r>
              <w:rPr>
                <w:rFonts w:hint="eastAsia" w:ascii="仿宋_GB2312" w:hAnsi="仿宋_GB2312" w:eastAsia="仿宋_GB2312" w:cs="仿宋_GB2312"/>
                <w:color w:val="000000"/>
                <w:sz w:val="32"/>
                <w:szCs w:val="32"/>
                <w:lang w:val="en-US" w:eastAsia="zh-CN"/>
              </w:rPr>
              <w:t>48人</w:t>
            </w:r>
          </w:p>
        </w:tc>
      </w:tr>
      <w:tr w14:paraId="03464A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70" w:hRule="atLeast"/>
          <w:tblCellSpacing w:w="0" w:type="dxa"/>
        </w:trPr>
        <w:tc>
          <w:tcPr>
            <w:tcW w:w="2190" w:type="dxa"/>
            <w:vMerge w:val="continue"/>
            <w:shd w:val="clear" w:color="auto" w:fill="auto"/>
            <w:noWrap/>
            <w:vAlign w:val="center"/>
          </w:tcPr>
          <w:p w14:paraId="6BB4DD1D">
            <w:pPr>
              <w:rPr>
                <w:rFonts w:hint="eastAsia" w:ascii="仿宋_GB2312" w:hAnsi="仿宋_GB2312" w:eastAsia="仿宋_GB2312" w:cs="仿宋_GB2312"/>
                <w:sz w:val="32"/>
                <w:szCs w:val="32"/>
              </w:rPr>
            </w:pPr>
          </w:p>
        </w:tc>
        <w:tc>
          <w:tcPr>
            <w:tcW w:w="1350" w:type="dxa"/>
            <w:vMerge w:val="continue"/>
            <w:shd w:val="clear" w:color="auto" w:fill="auto"/>
            <w:noWrap/>
            <w:vAlign w:val="center"/>
          </w:tcPr>
          <w:p w14:paraId="7A7A581E">
            <w:pPr>
              <w:rPr>
                <w:rFonts w:hint="eastAsia" w:ascii="仿宋_GB2312" w:hAnsi="仿宋_GB2312" w:eastAsia="仿宋_GB2312" w:cs="仿宋_GB2312"/>
                <w:sz w:val="32"/>
                <w:szCs w:val="32"/>
              </w:rPr>
            </w:pPr>
          </w:p>
        </w:tc>
        <w:tc>
          <w:tcPr>
            <w:tcW w:w="1845" w:type="dxa"/>
            <w:shd w:val="clear" w:color="auto" w:fill="auto"/>
            <w:noWrap/>
            <w:vAlign w:val="center"/>
          </w:tcPr>
          <w:p w14:paraId="07FAA589">
            <w:pPr>
              <w:pStyle w:val="11"/>
              <w:keepNext w:val="0"/>
              <w:keepLines w:val="0"/>
              <w:widowControl/>
              <w:suppressLineNumbers w:val="0"/>
              <w:ind w:left="42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生态效益指标</w:t>
            </w:r>
          </w:p>
        </w:tc>
        <w:tc>
          <w:tcPr>
            <w:tcW w:w="2109" w:type="dxa"/>
            <w:shd w:val="clear" w:color="auto" w:fill="auto"/>
            <w:noWrap/>
            <w:vAlign w:val="center"/>
          </w:tcPr>
          <w:p w14:paraId="298809D9">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解决当地群众在家门口就业</w:t>
            </w:r>
            <w:r>
              <w:rPr>
                <w:rFonts w:hint="eastAsia" w:ascii="仿宋_GB2312" w:hAnsi="仿宋_GB2312" w:eastAsia="仿宋_GB2312" w:cs="仿宋_GB2312"/>
                <w:sz w:val="32"/>
                <w:szCs w:val="32"/>
                <w:lang w:val="en-US" w:eastAsia="zh-CN"/>
              </w:rPr>
              <w:t>率</w:t>
            </w:r>
          </w:p>
        </w:tc>
        <w:tc>
          <w:tcPr>
            <w:tcW w:w="3000" w:type="dxa"/>
            <w:shd w:val="clear" w:color="auto" w:fill="auto"/>
            <w:noWrap/>
            <w:vAlign w:val="center"/>
          </w:tcPr>
          <w:p w14:paraId="2105DBF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有效提升</w:t>
            </w:r>
            <w:r>
              <w:rPr>
                <w:rFonts w:hint="eastAsia" w:ascii="仿宋_GB2312" w:hAnsi="仿宋_GB2312" w:eastAsia="仿宋_GB2312" w:cs="仿宋_GB2312"/>
                <w:sz w:val="32"/>
                <w:szCs w:val="32"/>
              </w:rPr>
              <w:t> </w:t>
            </w:r>
          </w:p>
        </w:tc>
        <w:tc>
          <w:tcPr>
            <w:tcW w:w="2850" w:type="dxa"/>
            <w:shd w:val="clear" w:color="auto" w:fill="auto"/>
            <w:noWrap/>
            <w:vAlign w:val="center"/>
          </w:tcPr>
          <w:p w14:paraId="355925F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有效提升</w:t>
            </w:r>
            <w:r>
              <w:rPr>
                <w:rFonts w:hint="eastAsia" w:ascii="仿宋_GB2312" w:hAnsi="仿宋_GB2312" w:eastAsia="仿宋_GB2312" w:cs="仿宋_GB2312"/>
                <w:sz w:val="32"/>
                <w:szCs w:val="32"/>
              </w:rPr>
              <w:t>  </w:t>
            </w:r>
          </w:p>
        </w:tc>
      </w:tr>
      <w:tr w14:paraId="521247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blCellSpacing w:w="0" w:type="dxa"/>
        </w:trPr>
        <w:tc>
          <w:tcPr>
            <w:tcW w:w="2190" w:type="dxa"/>
            <w:vMerge w:val="continue"/>
            <w:shd w:val="clear" w:color="auto" w:fill="auto"/>
            <w:noWrap/>
            <w:vAlign w:val="center"/>
          </w:tcPr>
          <w:p w14:paraId="45462AC4">
            <w:pPr>
              <w:rPr>
                <w:rFonts w:hint="eastAsia" w:ascii="仿宋_GB2312" w:hAnsi="仿宋_GB2312" w:eastAsia="仿宋_GB2312" w:cs="仿宋_GB2312"/>
                <w:sz w:val="32"/>
                <w:szCs w:val="32"/>
              </w:rPr>
            </w:pPr>
          </w:p>
        </w:tc>
        <w:tc>
          <w:tcPr>
            <w:tcW w:w="1350" w:type="dxa"/>
            <w:vMerge w:val="continue"/>
            <w:shd w:val="clear" w:color="auto" w:fill="auto"/>
            <w:noWrap/>
            <w:vAlign w:val="center"/>
          </w:tcPr>
          <w:p w14:paraId="5BAF2AEA">
            <w:pPr>
              <w:rPr>
                <w:rFonts w:hint="eastAsia" w:ascii="仿宋_GB2312" w:hAnsi="仿宋_GB2312" w:eastAsia="仿宋_GB2312" w:cs="仿宋_GB2312"/>
                <w:sz w:val="32"/>
                <w:szCs w:val="32"/>
              </w:rPr>
            </w:pPr>
          </w:p>
        </w:tc>
        <w:tc>
          <w:tcPr>
            <w:tcW w:w="1845" w:type="dxa"/>
            <w:shd w:val="clear" w:color="auto" w:fill="auto"/>
            <w:noWrap/>
            <w:vAlign w:val="center"/>
          </w:tcPr>
          <w:p w14:paraId="1C2BE3D7">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可持续影响指标</w:t>
            </w:r>
          </w:p>
        </w:tc>
        <w:tc>
          <w:tcPr>
            <w:tcW w:w="2109" w:type="dxa"/>
            <w:shd w:val="clear" w:color="auto" w:fill="auto"/>
            <w:noWrap/>
            <w:vAlign w:val="center"/>
          </w:tcPr>
          <w:p w14:paraId="561488E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产业发展效能</w:t>
            </w:r>
          </w:p>
        </w:tc>
        <w:tc>
          <w:tcPr>
            <w:tcW w:w="3000" w:type="dxa"/>
            <w:shd w:val="clear" w:color="auto" w:fill="auto"/>
            <w:noWrap/>
            <w:vAlign w:val="center"/>
          </w:tcPr>
          <w:p w14:paraId="0FD90937">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有效提升</w:t>
            </w:r>
            <w:r>
              <w:rPr>
                <w:rFonts w:hint="eastAsia" w:ascii="仿宋_GB2312" w:hAnsi="仿宋_GB2312" w:eastAsia="仿宋_GB2312" w:cs="仿宋_GB2312"/>
                <w:sz w:val="32"/>
                <w:szCs w:val="32"/>
              </w:rPr>
              <w:t> </w:t>
            </w:r>
          </w:p>
        </w:tc>
        <w:tc>
          <w:tcPr>
            <w:tcW w:w="2850" w:type="dxa"/>
            <w:shd w:val="clear" w:color="auto" w:fill="auto"/>
            <w:noWrap/>
            <w:vAlign w:val="center"/>
          </w:tcPr>
          <w:p w14:paraId="393B8FC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有效提升</w:t>
            </w:r>
            <w:r>
              <w:rPr>
                <w:rFonts w:hint="eastAsia" w:ascii="仿宋_GB2312" w:hAnsi="仿宋_GB2312" w:eastAsia="仿宋_GB2312" w:cs="仿宋_GB2312"/>
                <w:sz w:val="32"/>
                <w:szCs w:val="32"/>
              </w:rPr>
              <w:t> </w:t>
            </w:r>
          </w:p>
        </w:tc>
      </w:tr>
      <w:tr w14:paraId="6792C6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25" w:hRule="atLeast"/>
          <w:tblCellSpacing w:w="0" w:type="dxa"/>
        </w:trPr>
        <w:tc>
          <w:tcPr>
            <w:tcW w:w="2190" w:type="dxa"/>
            <w:vMerge w:val="continue"/>
            <w:shd w:val="clear" w:color="auto" w:fill="auto"/>
            <w:noWrap/>
            <w:vAlign w:val="center"/>
          </w:tcPr>
          <w:p w14:paraId="5A8D1890">
            <w:pPr>
              <w:rPr>
                <w:rFonts w:hint="eastAsia" w:ascii="仿宋_GB2312" w:hAnsi="仿宋_GB2312" w:eastAsia="仿宋_GB2312" w:cs="仿宋_GB2312"/>
                <w:sz w:val="32"/>
                <w:szCs w:val="32"/>
              </w:rPr>
            </w:pPr>
          </w:p>
        </w:tc>
        <w:tc>
          <w:tcPr>
            <w:tcW w:w="1350" w:type="dxa"/>
            <w:shd w:val="clear" w:color="auto" w:fill="auto"/>
            <w:noWrap/>
            <w:vAlign w:val="center"/>
          </w:tcPr>
          <w:p w14:paraId="3C188928">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满意</w:t>
            </w:r>
          </w:p>
          <w:p w14:paraId="2AB969EE">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度指标</w:t>
            </w:r>
          </w:p>
        </w:tc>
        <w:tc>
          <w:tcPr>
            <w:tcW w:w="1845" w:type="dxa"/>
            <w:shd w:val="clear" w:color="auto" w:fill="auto"/>
            <w:noWrap/>
            <w:vAlign w:val="center"/>
          </w:tcPr>
          <w:p w14:paraId="532DF140">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满意度</w:t>
            </w:r>
          </w:p>
          <w:p w14:paraId="5644D846">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w:t>
            </w:r>
          </w:p>
        </w:tc>
        <w:tc>
          <w:tcPr>
            <w:tcW w:w="2109" w:type="dxa"/>
            <w:shd w:val="clear" w:color="auto" w:fill="auto"/>
            <w:noWrap/>
            <w:vAlign w:val="center"/>
          </w:tcPr>
          <w:p w14:paraId="42C4AB75">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受益群体满意度</w:t>
            </w:r>
          </w:p>
        </w:tc>
        <w:tc>
          <w:tcPr>
            <w:tcW w:w="3000" w:type="dxa"/>
            <w:shd w:val="clear" w:color="auto" w:fill="auto"/>
            <w:noWrap/>
            <w:vAlign w:val="center"/>
          </w:tcPr>
          <w:p w14:paraId="3A95B725">
            <w:pPr>
              <w:pStyle w:val="11"/>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98%</w:t>
            </w:r>
          </w:p>
        </w:tc>
        <w:tc>
          <w:tcPr>
            <w:tcW w:w="2850" w:type="dxa"/>
            <w:shd w:val="clear" w:color="auto" w:fill="auto"/>
            <w:noWrap/>
            <w:vAlign w:val="center"/>
          </w:tcPr>
          <w:p w14:paraId="5AC8F26B">
            <w:pPr>
              <w:pStyle w:val="11"/>
              <w:keepNext w:val="0"/>
              <w:keepLines w:val="0"/>
              <w:widowControl/>
              <w:suppressLineNumbers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 </w:t>
            </w:r>
          </w:p>
        </w:tc>
      </w:tr>
    </w:tbl>
    <w:p w14:paraId="3BC65167">
      <w:pPr>
        <w:pStyle w:val="11"/>
        <w:keepNext w:val="0"/>
        <w:keepLines w:val="0"/>
        <w:widowControl/>
        <w:suppressLineNumbers w:val="0"/>
        <w:spacing w:before="0" w:beforeAutospacing="0"/>
        <w:ind w:left="0"/>
        <w:jc w:val="left"/>
      </w:pPr>
      <w:r>
        <w:rPr>
          <w:rFonts w:hint="eastAsia" w:ascii="仿宋_GB2312" w:hAnsi="仿宋_GB2312" w:eastAsia="仿宋_GB2312" w:cs="仿宋_GB2312"/>
          <w:sz w:val="32"/>
          <w:szCs w:val="32"/>
          <w:shd w:val="clear" w:fill="FFFFFF"/>
        </w:rPr>
        <w:t>（注：有两个及以上100万元以上（含）特定目标类部门预算项目的，需分别开展绩效目标自评并填写附表）</w:t>
      </w:r>
    </w:p>
    <w:p w14:paraId="2ED2EA7C">
      <w:pPr>
        <w:pStyle w:val="11"/>
        <w:keepNext w:val="0"/>
        <w:keepLines w:val="0"/>
        <w:widowControl/>
        <w:suppressLineNumbers w:val="0"/>
        <w:spacing w:before="0" w:beforeAutospacing="0"/>
        <w:ind w:left="0"/>
        <w:jc w:val="center"/>
        <w:rPr>
          <w:rFonts w:hint="eastAsia" w:ascii="仿宋_GB2312" w:hAnsi="仿宋_GB2312" w:eastAsia="仿宋_GB2312" w:cs="仿宋_GB2312"/>
          <w:sz w:val="44"/>
          <w:szCs w:val="44"/>
        </w:rPr>
      </w:pPr>
      <w:r>
        <w:rPr>
          <w:rStyle w:val="14"/>
          <w:rFonts w:hint="eastAsia" w:ascii="仿宋_GB2312" w:hAnsi="仿宋_GB2312" w:eastAsia="仿宋_GB2312" w:cs="仿宋_GB2312"/>
          <w:sz w:val="44"/>
          <w:szCs w:val="44"/>
          <w:shd w:val="clear" w:fill="FFFFFF"/>
        </w:rPr>
        <w:t>第五部分 附表</w:t>
      </w:r>
    </w:p>
    <w:p w14:paraId="595E175C">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一、收入支出决算总表</w:t>
      </w:r>
    </w:p>
    <w:p w14:paraId="46CD6A6D">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二、收入决算表</w:t>
      </w:r>
    </w:p>
    <w:p w14:paraId="2EAA1EB1">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三、支出决算表</w:t>
      </w:r>
    </w:p>
    <w:p w14:paraId="50CC62FB">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四、财政拨款收入支出决算总表</w:t>
      </w:r>
    </w:p>
    <w:p w14:paraId="46A6ED11">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五、财政拨款支出决算明细表</w:t>
      </w:r>
    </w:p>
    <w:p w14:paraId="1A864168">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六、一般公共预算财政拨款支出决算表</w:t>
      </w:r>
    </w:p>
    <w:p w14:paraId="564C5CAA">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七、一般公共预算财政拨款支出决算明细表</w:t>
      </w:r>
    </w:p>
    <w:p w14:paraId="363D68F6">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八、一般公共预算财政拨款基本支出决算表</w:t>
      </w:r>
    </w:p>
    <w:p w14:paraId="1BD89BD1">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九、一般公共预算财政拨款项目支出决算表</w:t>
      </w:r>
    </w:p>
    <w:p w14:paraId="79D9374C">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十、政府性基金预算财政拨款收入支出决算表</w:t>
      </w:r>
    </w:p>
    <w:p w14:paraId="0AFBBA46">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十一、国有资本经营预算财政拨款收入支出决算表</w:t>
      </w:r>
    </w:p>
    <w:p w14:paraId="16B14E43">
      <w:pPr>
        <w:pStyle w:val="5"/>
        <w:keepNext w:val="0"/>
        <w:keepLines w:val="0"/>
        <w:widowControl/>
        <w:suppressLineNumbers w:val="0"/>
        <w:spacing w:before="0" w:beforeAutospacing="0"/>
        <w:ind w:left="0"/>
        <w:jc w:val="left"/>
        <w:rPr>
          <w:rFonts w:hint="eastAsia" w:ascii="仿宋_GB2312" w:hAnsi="仿宋_GB2312" w:eastAsia="仿宋_GB2312" w:cs="仿宋_GB2312"/>
        </w:rPr>
      </w:pPr>
      <w:r>
        <w:rPr>
          <w:rFonts w:hint="eastAsia" w:ascii="仿宋_GB2312" w:hAnsi="仿宋_GB2312" w:eastAsia="仿宋_GB2312" w:cs="仿宋_GB2312"/>
          <w:shd w:val="clear" w:fill="FFFFFF"/>
        </w:rPr>
        <w:t>十二、国有资本经营预算财政拨款支出决算表</w:t>
      </w:r>
    </w:p>
    <w:p w14:paraId="7B7EDE94">
      <w:pPr>
        <w:pStyle w:val="5"/>
        <w:keepNext w:val="0"/>
        <w:keepLines w:val="0"/>
        <w:widowControl/>
        <w:suppressLineNumbers w:val="0"/>
        <w:spacing w:before="0" w:beforeAutospacing="0"/>
        <w:ind w:left="0"/>
        <w:jc w:val="left"/>
        <w:rPr>
          <w:rFonts w:hint="eastAsia" w:ascii="仿宋_GB2312" w:hAnsi="仿宋_GB2312" w:eastAsia="仿宋_GB2312" w:cs="仿宋_GB2312"/>
          <w:shd w:val="clear" w:fill="FFFFFF"/>
        </w:rPr>
      </w:pPr>
      <w:r>
        <w:rPr>
          <w:rFonts w:hint="eastAsia" w:ascii="仿宋_GB2312" w:hAnsi="仿宋_GB2312" w:eastAsia="仿宋_GB2312" w:cs="仿宋_GB2312"/>
          <w:shd w:val="clear" w:fill="FFFFFF"/>
        </w:rPr>
        <w:t>十三、财政拨款“三公”经费支出决算表</w:t>
      </w:r>
    </w:p>
    <w:p w14:paraId="39608909">
      <w:pPr>
        <w:pStyle w:val="5"/>
        <w:keepNext w:val="0"/>
        <w:keepLines w:val="0"/>
        <w:widowControl/>
        <w:suppressLineNumbers w:val="0"/>
        <w:spacing w:before="0" w:beforeAutospacing="0"/>
        <w:ind w:left="0"/>
        <w:jc w:val="left"/>
        <w:rPr>
          <w:rFonts w:hint="eastAsia" w:eastAsia="宋体"/>
          <w:lang w:eastAsia="zh-CN"/>
        </w:rPr>
      </w:pPr>
    </w:p>
    <w:sectPr>
      <w:pgSz w:w="11915" w:h="16851"/>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32358"/>
    <w:multiLevelType w:val="singleLevel"/>
    <w:tmpl w:val="9C932358"/>
    <w:lvl w:ilvl="0" w:tentative="0">
      <w:start w:val="4"/>
      <w:numFmt w:val="chineseCounting"/>
      <w:suff w:val="nothing"/>
      <w:lvlText w:val="%1、"/>
      <w:lvlJc w:val="left"/>
      <w:rPr>
        <w:rFonts w:hint="eastAsia"/>
      </w:rPr>
    </w:lvl>
  </w:abstractNum>
  <w:abstractNum w:abstractNumId="1">
    <w:nsid w:val="5B727FEC"/>
    <w:multiLevelType w:val="singleLevel"/>
    <w:tmpl w:val="5B727FEC"/>
    <w:lvl w:ilvl="0" w:tentative="0">
      <w:start w:val="2"/>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xYmIxOGQyMmFkYzIxMGJmYTcyYWQyNzc5MmRhZDEifQ=="/>
  </w:docVars>
  <w:rsids>
    <w:rsidRoot w:val="00000000"/>
    <w:rsid w:val="0826483F"/>
    <w:rsid w:val="0CAF363C"/>
    <w:rsid w:val="0E320AEF"/>
    <w:rsid w:val="111B1F9F"/>
    <w:rsid w:val="118D6DCF"/>
    <w:rsid w:val="1EC15C1E"/>
    <w:rsid w:val="28C82820"/>
    <w:rsid w:val="2B7D0878"/>
    <w:rsid w:val="2C020891"/>
    <w:rsid w:val="3C376F80"/>
    <w:rsid w:val="45883BD7"/>
    <w:rsid w:val="48A46E1B"/>
    <w:rsid w:val="53714FF4"/>
    <w:rsid w:val="53BF6337"/>
    <w:rsid w:val="55DC1BEA"/>
    <w:rsid w:val="5B454BD2"/>
    <w:rsid w:val="5D872A34"/>
    <w:rsid w:val="65FF416A"/>
    <w:rsid w:val="67AF6E73"/>
    <w:rsid w:val="6D4F14FB"/>
    <w:rsid w:val="6E251CD0"/>
    <w:rsid w:val="6F2F0E79"/>
    <w:rsid w:val="70D46E1F"/>
    <w:rsid w:val="718A79D3"/>
    <w:rsid w:val="78E03D39"/>
    <w:rsid w:val="7B4337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Theme="minorEastAsia" w:hAnsiTheme="minorEastAsia" w:eastAsiaTheme="minorEastAsia" w:cstheme="minorEastAsia"/>
      <w:kern w:val="0"/>
      <w:sz w:val="24"/>
      <w:szCs w:val="24"/>
      <w:lang w:val="en-US" w:eastAsia="zh-CN" w:bidi="ar"/>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paragraph" w:styleId="7">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paragraph" w:styleId="8">
    <w:name w:val="heading 5"/>
    <w:basedOn w:val="1"/>
    <w:next w:val="1"/>
    <w:semiHidden/>
    <w:unhideWhenUsed/>
    <w:qFormat/>
    <w:uiPriority w:val="0"/>
    <w:pPr>
      <w:spacing w:before="0" w:beforeAutospacing="1" w:after="0" w:afterAutospacing="1"/>
      <w:jc w:val="left"/>
    </w:pPr>
    <w:rPr>
      <w:rFonts w:hint="eastAsia" w:ascii="宋体" w:hAnsi="宋体" w:eastAsia="宋体" w:cs="宋体"/>
      <w:b/>
      <w:kern w:val="0"/>
      <w:sz w:val="20"/>
      <w:szCs w:val="20"/>
      <w:lang w:val="en-US" w:eastAsia="zh-CN" w:bidi="ar"/>
    </w:rPr>
  </w:style>
  <w:style w:type="paragraph" w:styleId="9">
    <w:name w:val="heading 6"/>
    <w:basedOn w:val="1"/>
    <w:next w:val="1"/>
    <w:semiHidden/>
    <w:unhideWhenUsed/>
    <w:qFormat/>
    <w:uiPriority w:val="0"/>
    <w:pPr>
      <w:spacing w:before="0" w:beforeAutospacing="1" w:after="0" w:afterAutospacing="1"/>
      <w:jc w:val="left"/>
    </w:pPr>
    <w:rPr>
      <w:rFonts w:hint="eastAsia" w:ascii="宋体" w:hAnsi="宋体" w:eastAsia="宋体" w:cs="宋体"/>
      <w:b/>
      <w:kern w:val="0"/>
      <w:sz w:val="15"/>
      <w:szCs w:val="15"/>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spacing w:after="120" w:afterLines="0"/>
      <w:ind w:left="420" w:leftChars="200"/>
    </w:p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61</Pages>
  <Words>27103</Words>
  <Characters>28427</Characters>
  <TotalTime>12</TotalTime>
  <ScaleCrop>false</ScaleCrop>
  <LinksUpToDate>false</LinksUpToDate>
  <CharactersWithSpaces>28796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2023-09-06T08:17:00Z</dcterms:created>
  <dc:creator>Administrator</dc:creator>
  <cp:lastModifiedBy>对影成三人</cp:lastModifiedBy>
  <dcterms:modified xsi:type="dcterms:W3CDTF">2026-09-15T08:50:09Z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5AAAD094E3BF42A8BADE440DAF3B5BF4_12</vt:lpwstr>
  </property>
  <property fmtid="{D5CDD505-2E9C-101B-9397-08002B2CF9AE}" pid="4" name="KSOTemplateDocerSaveRecord">
    <vt:lpwstr>eyJoZGlkIjoiYjA1ZDg3Y2Y1MzJlNDVjZjA5NTk4YjViYTliYmM3NTYiLCJ1c2VySWQiOiIyNDIyNDYwNDUifQ==</vt:lpwstr>
  </property>
</Properties>
</file>