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67B26">
      <w:pPr>
        <w:adjustRightInd w:val="0"/>
        <w:snapToGrid w:val="0"/>
        <w:spacing w:line="360" w:lineRule="auto"/>
        <w:jc w:val="center"/>
        <w:outlineLvl w:val="0"/>
        <w:rPr>
          <w:rFonts w:ascii="方正小标宋简体" w:hAnsi="宋体" w:eastAsia="方正小标宋简体"/>
          <w:color w:val="000000"/>
          <w:sz w:val="72"/>
          <w:szCs w:val="72"/>
        </w:rPr>
      </w:pPr>
      <w:bookmarkStart w:id="0" w:name="_Toc15377425"/>
      <w:bookmarkStart w:id="1" w:name="_Toc13710"/>
      <w:bookmarkStart w:id="2" w:name="_Toc15378441"/>
      <w:bookmarkStart w:id="3" w:name="_Toc15396597"/>
      <w:bookmarkStart w:id="4" w:name="_Toc15396475"/>
      <w:bookmarkStart w:id="5" w:name="_Toc15377193"/>
      <w:bookmarkStart w:id="6" w:name="_Toc14841"/>
      <w:bookmarkStart w:id="7" w:name="_Toc15396599"/>
      <w:bookmarkStart w:id="8" w:name="_Toc15377196"/>
      <w:bookmarkStart w:id="135" w:name="_GoBack"/>
      <w:bookmarkEnd w:id="135"/>
      <w:r>
        <w:rPr>
          <w:rFonts w:hint="eastAsia" w:ascii="黑体" w:hAnsi="黑体" w:eastAsia="黑体"/>
          <w:color w:val="000000"/>
          <w:sz w:val="72"/>
          <w:szCs w:val="72"/>
        </w:rPr>
        <w:t>2020</w:t>
      </w:r>
      <w:r>
        <w:rPr>
          <w:rFonts w:hint="eastAsia" w:ascii="方正小标宋简体" w:hAnsi="宋体" w:eastAsia="方正小标宋简体"/>
          <w:color w:val="000000"/>
          <w:sz w:val="72"/>
          <w:szCs w:val="72"/>
        </w:rPr>
        <w:t>年度</w:t>
      </w:r>
      <w:bookmarkEnd w:id="0"/>
      <w:bookmarkEnd w:id="1"/>
      <w:bookmarkEnd w:id="2"/>
      <w:bookmarkEnd w:id="3"/>
      <w:bookmarkEnd w:id="4"/>
      <w:bookmarkEnd w:id="5"/>
    </w:p>
    <w:p w14:paraId="4CBF400A">
      <w:pPr>
        <w:adjustRightInd w:val="0"/>
        <w:snapToGrid w:val="0"/>
        <w:spacing w:line="360" w:lineRule="auto"/>
        <w:jc w:val="center"/>
        <w:outlineLvl w:val="0"/>
        <w:rPr>
          <w:rFonts w:ascii="方正小标宋简体" w:hAnsi="宋体" w:eastAsia="方正小标宋简体"/>
          <w:color w:val="000000"/>
          <w:sz w:val="72"/>
          <w:szCs w:val="72"/>
        </w:rPr>
      </w:pPr>
      <w:bookmarkStart w:id="9" w:name="_Toc6776"/>
      <w:bookmarkStart w:id="10" w:name="_Toc15396598"/>
      <w:bookmarkStart w:id="11" w:name="_Toc15378442"/>
      <w:bookmarkStart w:id="12" w:name="_Toc15377194"/>
      <w:bookmarkStart w:id="13" w:name="_Toc15377426"/>
      <w:bookmarkStart w:id="14" w:name="_Toc15396476"/>
      <w:r>
        <w:rPr>
          <w:rFonts w:hint="eastAsia" w:ascii="方正小标宋简体" w:hAnsi="宋体" w:eastAsia="方正小标宋简体"/>
          <w:color w:val="000000"/>
          <w:sz w:val="72"/>
          <w:szCs w:val="72"/>
        </w:rPr>
        <w:t>四川省阿坝州</w:t>
      </w:r>
      <w:bookmarkStart w:id="15" w:name="_Toc15306268"/>
      <w:r>
        <w:rPr>
          <w:rFonts w:hint="eastAsia" w:ascii="方正小标宋简体" w:hAnsi="宋体" w:eastAsia="方正小标宋简体"/>
          <w:color w:val="000000"/>
          <w:sz w:val="72"/>
          <w:szCs w:val="72"/>
        </w:rPr>
        <w:t>松潘县民族宗教局部门决算</w:t>
      </w:r>
      <w:bookmarkEnd w:id="9"/>
      <w:bookmarkEnd w:id="10"/>
      <w:bookmarkEnd w:id="11"/>
      <w:bookmarkEnd w:id="12"/>
      <w:bookmarkEnd w:id="13"/>
      <w:bookmarkEnd w:id="14"/>
      <w:bookmarkEnd w:id="15"/>
    </w:p>
    <w:p w14:paraId="60089460">
      <w:pPr>
        <w:widowControl/>
        <w:jc w:val="center"/>
        <w:rPr>
          <w:rFonts w:ascii="方正小标宋简体" w:hAnsi="宋体" w:eastAsia="方正小标宋简体"/>
          <w:color w:val="000000"/>
          <w:sz w:val="36"/>
          <w:szCs w:val="36"/>
        </w:rPr>
      </w:pPr>
    </w:p>
    <w:p w14:paraId="4431116C">
      <w:pPr>
        <w:rPr>
          <w:rFonts w:ascii="方正小标宋简体" w:hAnsi="宋体" w:eastAsia="方正小标宋简体"/>
          <w:sz w:val="36"/>
          <w:szCs w:val="36"/>
        </w:rPr>
      </w:pPr>
    </w:p>
    <w:p w14:paraId="29764150">
      <w:pPr>
        <w:rPr>
          <w:rFonts w:ascii="方正小标宋简体" w:hAnsi="宋体" w:eastAsia="方正小标宋简体"/>
          <w:sz w:val="36"/>
          <w:szCs w:val="36"/>
        </w:rPr>
      </w:pPr>
    </w:p>
    <w:p w14:paraId="38B4752D">
      <w:pPr>
        <w:rPr>
          <w:rFonts w:ascii="方正小标宋简体" w:hAnsi="宋体" w:eastAsia="方正小标宋简体"/>
          <w:sz w:val="36"/>
          <w:szCs w:val="36"/>
        </w:rPr>
      </w:pPr>
    </w:p>
    <w:p w14:paraId="7E001463">
      <w:pPr>
        <w:autoSpaceDE w:val="0"/>
        <w:autoSpaceDN w:val="0"/>
        <w:adjustRightInd w:val="0"/>
        <w:ind w:firstLine="1276"/>
        <w:jc w:val="left"/>
        <w:rPr>
          <w:rFonts w:eastAsia="仿宋_GB2312"/>
          <w:sz w:val="32"/>
          <w:szCs w:val="32"/>
        </w:rPr>
      </w:pPr>
      <w:r>
        <w:rPr>
          <w:rFonts w:hint="eastAsia" w:ascii="仿宋_GB2312" w:hAnsi="Calibri" w:eastAsia="仿宋_GB2312" w:cs="仿宋_GB2312"/>
          <w:sz w:val="32"/>
          <w:szCs w:val="32"/>
        </w:rPr>
        <w:t>保密审查情况：已审查，内容审定</w:t>
      </w:r>
    </w:p>
    <w:p w14:paraId="641B2062">
      <w:pPr>
        <w:autoSpaceDE w:val="0"/>
        <w:autoSpaceDN w:val="0"/>
        <w:adjustRightInd w:val="0"/>
        <w:ind w:firstLine="1276"/>
        <w:jc w:val="left"/>
        <w:rPr>
          <w:rFonts w:eastAsia="仿宋_GB2312"/>
          <w:sz w:val="32"/>
          <w:szCs w:val="32"/>
        </w:rPr>
      </w:pPr>
      <w:r>
        <w:rPr>
          <w:rFonts w:hint="eastAsia" w:ascii="仿宋_GB2312" w:eastAsia="仿宋_GB2312" w:cs="仿宋_GB2312"/>
          <w:sz w:val="32"/>
          <w:szCs w:val="32"/>
        </w:rPr>
        <w:t>部门主要负责人审签情况：已审签</w:t>
      </w:r>
      <w:r>
        <w:rPr>
          <w:rFonts w:hint="eastAsia" w:ascii="仿宋_GB2312" w:hAnsi="Calibri" w:eastAsia="仿宋_GB2312" w:cs="仿宋_GB2312"/>
          <w:sz w:val="32"/>
          <w:szCs w:val="32"/>
        </w:rPr>
        <w:t>，同意对外公开</w:t>
      </w:r>
    </w:p>
    <w:p w14:paraId="7FB64AB5">
      <w:pPr>
        <w:widowControl/>
        <w:jc w:val="center"/>
        <w:rPr>
          <w:rFonts w:ascii="方正小标宋简体" w:hAnsi="宋体" w:eastAsia="方正小标宋简体"/>
          <w:sz w:val="36"/>
          <w:szCs w:val="36"/>
        </w:rPr>
      </w:pPr>
    </w:p>
    <w:p w14:paraId="0F5CEC4E"/>
    <w:p w14:paraId="7AE22B33">
      <w:pPr>
        <w:pStyle w:val="4"/>
        <w:jc w:val="center"/>
        <w:rPr>
          <w:rFonts w:ascii="方正小标宋简体" w:hAnsi="宋体" w:eastAsia="方正小标宋简体"/>
          <w:sz w:val="36"/>
          <w:szCs w:val="36"/>
        </w:rPr>
      </w:pPr>
      <w:r>
        <w:rPr>
          <w:rFonts w:ascii="方正小标宋简体" w:hAnsi="宋体" w:eastAsia="方正小标宋简体"/>
          <w:sz w:val="36"/>
          <w:szCs w:val="36"/>
        </w:rPr>
        <w:br w:type="page"/>
      </w:r>
    </w:p>
    <w:sdt>
      <w:sdtPr>
        <w:rPr>
          <w:rFonts w:ascii="宋体" w:hAnsi="宋体"/>
          <w:b/>
          <w:bCs/>
          <w:sz w:val="48"/>
          <w:szCs w:val="48"/>
        </w:rPr>
        <w:id w:val="147465729"/>
        <w15:color w:val="DBDBDB"/>
        <w:docPartObj>
          <w:docPartGallery w:val="Table of Contents"/>
          <w:docPartUnique/>
        </w:docPartObj>
      </w:sdtPr>
      <w:sdtEndPr>
        <w:rPr>
          <w:rFonts w:ascii="宋体" w:hAnsi="宋体"/>
          <w:b/>
          <w:bCs/>
          <w:sz w:val="48"/>
          <w:szCs w:val="48"/>
        </w:rPr>
      </w:sdtEndPr>
      <w:sdtContent>
        <w:p w14:paraId="51A02C93">
          <w:pPr>
            <w:jc w:val="center"/>
            <w:rPr>
              <w:b/>
              <w:bCs/>
              <w:sz w:val="48"/>
              <w:szCs w:val="48"/>
            </w:rPr>
          </w:pPr>
          <w:r>
            <w:rPr>
              <w:rFonts w:ascii="宋体" w:hAnsi="宋体"/>
              <w:b/>
              <w:bCs/>
              <w:sz w:val="48"/>
              <w:szCs w:val="48"/>
            </w:rPr>
            <w:t>目录</w:t>
          </w:r>
        </w:p>
        <w:p w14:paraId="08DAF6B8">
          <w:pPr>
            <w:pStyle w:val="33"/>
            <w:tabs>
              <w:tab w:val="right" w:leader="dot" w:pos="8306"/>
            </w:tabs>
            <w:rPr>
              <w:b/>
            </w:rPr>
          </w:pPr>
          <w:r>
            <w:fldChar w:fldCharType="begin"/>
          </w:r>
          <w:r>
            <w:instrText xml:space="preserve">TOC \o "1-2" \h \u </w:instrText>
          </w:r>
          <w:r>
            <w:fldChar w:fldCharType="separate"/>
          </w:r>
        </w:p>
        <w:p w14:paraId="5337B939">
          <w:pPr>
            <w:pStyle w:val="33"/>
            <w:tabs>
              <w:tab w:val="right" w:leader="dot" w:pos="8306"/>
            </w:tabs>
            <w:rPr>
              <w:b/>
            </w:rPr>
          </w:pPr>
          <w:r>
            <w:fldChar w:fldCharType="begin"/>
          </w:r>
          <w:r>
            <w:instrText xml:space="preserve"> HYPERLINK \l "_Toc4316" </w:instrText>
          </w:r>
          <w:r>
            <w:fldChar w:fldCharType="separate"/>
          </w:r>
          <w:r>
            <w:rPr>
              <w:rFonts w:hint="eastAsia" w:ascii="黑体" w:hAnsi="黑体" w:eastAsia="黑体"/>
              <w:b/>
            </w:rPr>
            <w:t>第一部分 部门概况</w:t>
          </w:r>
          <w:r>
            <w:rPr>
              <w:b/>
            </w:rPr>
            <w:tab/>
          </w:r>
          <w:r>
            <w:rPr>
              <w:b/>
            </w:rPr>
            <w:fldChar w:fldCharType="begin"/>
          </w:r>
          <w:r>
            <w:rPr>
              <w:b/>
            </w:rPr>
            <w:instrText xml:space="preserve"> PAGEREF _Toc4316 </w:instrText>
          </w:r>
          <w:r>
            <w:rPr>
              <w:b/>
            </w:rPr>
            <w:fldChar w:fldCharType="separate"/>
          </w:r>
          <w:r>
            <w:rPr>
              <w:b/>
            </w:rPr>
            <w:t>3</w:t>
          </w:r>
          <w:r>
            <w:rPr>
              <w:b/>
            </w:rPr>
            <w:fldChar w:fldCharType="end"/>
          </w:r>
          <w:r>
            <w:rPr>
              <w:b/>
            </w:rPr>
            <w:fldChar w:fldCharType="end"/>
          </w:r>
        </w:p>
        <w:p w14:paraId="1BC9AB62">
          <w:pPr>
            <w:pStyle w:val="34"/>
            <w:tabs>
              <w:tab w:val="right" w:leader="dot" w:pos="8306"/>
            </w:tabs>
            <w:ind w:left="420"/>
          </w:pPr>
          <w:r>
            <w:fldChar w:fldCharType="begin"/>
          </w:r>
          <w:r>
            <w:instrText xml:space="preserve"> HYPERLINK \l "_Toc24052" </w:instrText>
          </w:r>
          <w:r>
            <w:fldChar w:fldCharType="separate"/>
          </w:r>
          <w:r>
            <w:rPr>
              <w:rFonts w:hint="eastAsia" w:ascii="黑体" w:hAnsi="黑体" w:eastAsia="黑体"/>
            </w:rPr>
            <w:t>一、基本职能及主要工作</w:t>
          </w:r>
          <w:r>
            <w:tab/>
          </w:r>
          <w:r>
            <w:fldChar w:fldCharType="begin"/>
          </w:r>
          <w:r>
            <w:instrText xml:space="preserve"> PAGEREF _Toc24052 </w:instrText>
          </w:r>
          <w:r>
            <w:fldChar w:fldCharType="separate"/>
          </w:r>
          <w:r>
            <w:t>3</w:t>
          </w:r>
          <w:r>
            <w:fldChar w:fldCharType="end"/>
          </w:r>
          <w:r>
            <w:fldChar w:fldCharType="end"/>
          </w:r>
        </w:p>
        <w:p w14:paraId="22C082C1">
          <w:pPr>
            <w:pStyle w:val="34"/>
            <w:tabs>
              <w:tab w:val="right" w:leader="dot" w:pos="8306"/>
            </w:tabs>
            <w:ind w:left="420"/>
          </w:pPr>
          <w:r>
            <w:fldChar w:fldCharType="begin"/>
          </w:r>
          <w:r>
            <w:instrText xml:space="preserve"> HYPERLINK \l "_Toc18130" </w:instrText>
          </w:r>
          <w:r>
            <w:fldChar w:fldCharType="separate"/>
          </w:r>
          <w:r>
            <w:rPr>
              <w:rFonts w:hint="eastAsia" w:ascii="黑体" w:eastAsia="黑体"/>
            </w:rPr>
            <w:t>二、</w:t>
          </w:r>
          <w:r>
            <w:rPr>
              <w:rFonts w:hint="eastAsia" w:ascii="黑体" w:hAnsi="黑体" w:eastAsia="黑体"/>
            </w:rPr>
            <w:t>机构设置</w:t>
          </w:r>
          <w:r>
            <w:tab/>
          </w:r>
          <w:r>
            <w:fldChar w:fldCharType="begin"/>
          </w:r>
          <w:r>
            <w:instrText xml:space="preserve"> PAGEREF _Toc18130 </w:instrText>
          </w:r>
          <w:r>
            <w:fldChar w:fldCharType="separate"/>
          </w:r>
          <w:r>
            <w:t>3</w:t>
          </w:r>
          <w:r>
            <w:fldChar w:fldCharType="end"/>
          </w:r>
          <w:r>
            <w:fldChar w:fldCharType="end"/>
          </w:r>
        </w:p>
        <w:p w14:paraId="4E64E9C6">
          <w:pPr>
            <w:pStyle w:val="33"/>
            <w:tabs>
              <w:tab w:val="right" w:leader="dot" w:pos="8306"/>
            </w:tabs>
            <w:rPr>
              <w:b/>
            </w:rPr>
          </w:pPr>
          <w:r>
            <w:fldChar w:fldCharType="begin"/>
          </w:r>
          <w:r>
            <w:instrText xml:space="preserve"> HYPERLINK \l "_Toc14583" </w:instrText>
          </w:r>
          <w:r>
            <w:fldChar w:fldCharType="separate"/>
          </w:r>
          <w:r>
            <w:rPr>
              <w:rFonts w:hint="eastAsia" w:ascii="黑体" w:hAnsi="黑体" w:eastAsia="黑体"/>
              <w:b/>
            </w:rPr>
            <w:t>第二部分 2020年度部门决算情况说明</w:t>
          </w:r>
          <w:r>
            <w:rPr>
              <w:b/>
            </w:rPr>
            <w:tab/>
          </w:r>
          <w:r>
            <w:rPr>
              <w:b/>
            </w:rPr>
            <w:fldChar w:fldCharType="begin"/>
          </w:r>
          <w:r>
            <w:rPr>
              <w:b/>
            </w:rPr>
            <w:instrText xml:space="preserve"> PAGEREF _Toc14583 </w:instrText>
          </w:r>
          <w:r>
            <w:rPr>
              <w:b/>
            </w:rPr>
            <w:fldChar w:fldCharType="separate"/>
          </w:r>
          <w:r>
            <w:rPr>
              <w:b/>
            </w:rPr>
            <w:t>6</w:t>
          </w:r>
          <w:r>
            <w:rPr>
              <w:b/>
            </w:rPr>
            <w:fldChar w:fldCharType="end"/>
          </w:r>
          <w:r>
            <w:rPr>
              <w:b/>
            </w:rPr>
            <w:fldChar w:fldCharType="end"/>
          </w:r>
        </w:p>
        <w:p w14:paraId="10692B99">
          <w:pPr>
            <w:pStyle w:val="34"/>
            <w:tabs>
              <w:tab w:val="right" w:leader="dot" w:pos="8306"/>
            </w:tabs>
            <w:ind w:left="420"/>
          </w:pPr>
          <w:r>
            <w:fldChar w:fldCharType="begin"/>
          </w:r>
          <w:r>
            <w:instrText xml:space="preserve"> HYPERLINK \l "_Toc397" </w:instrText>
          </w:r>
          <w:r>
            <w:fldChar w:fldCharType="separate"/>
          </w:r>
          <w:r>
            <w:rPr>
              <w:rFonts w:ascii="黑体" w:hAnsi="黑体" w:eastAsia="黑体"/>
            </w:rPr>
            <w:t xml:space="preserve">一、 </w:t>
          </w:r>
          <w:r>
            <w:rPr>
              <w:rFonts w:hint="eastAsia" w:ascii="黑体" w:hAnsi="黑体" w:eastAsia="黑体"/>
              <w:szCs w:val="32"/>
            </w:rPr>
            <w:t>收</w:t>
          </w:r>
          <w:r>
            <w:rPr>
              <w:rFonts w:hint="eastAsia" w:ascii="黑体" w:hAnsi="黑体" w:eastAsia="黑体"/>
            </w:rPr>
            <w:t>入支出决算总体情况说明</w:t>
          </w:r>
          <w:r>
            <w:tab/>
          </w:r>
          <w:r>
            <w:fldChar w:fldCharType="begin"/>
          </w:r>
          <w:r>
            <w:instrText xml:space="preserve"> PAGEREF _Toc397 </w:instrText>
          </w:r>
          <w:r>
            <w:fldChar w:fldCharType="separate"/>
          </w:r>
          <w:r>
            <w:t>6</w:t>
          </w:r>
          <w:r>
            <w:fldChar w:fldCharType="end"/>
          </w:r>
          <w:r>
            <w:fldChar w:fldCharType="end"/>
          </w:r>
        </w:p>
        <w:p w14:paraId="2DBA37D1">
          <w:pPr>
            <w:pStyle w:val="34"/>
            <w:tabs>
              <w:tab w:val="right" w:leader="dot" w:pos="8306"/>
            </w:tabs>
            <w:ind w:left="420"/>
          </w:pPr>
          <w:r>
            <w:fldChar w:fldCharType="begin"/>
          </w:r>
          <w:r>
            <w:instrText xml:space="preserve"> HYPERLINK \l "_Toc22197" </w:instrText>
          </w:r>
          <w:r>
            <w:fldChar w:fldCharType="separate"/>
          </w:r>
          <w:r>
            <w:rPr>
              <w:rFonts w:ascii="仿宋_GB2312" w:hAnsi="宋体" w:eastAsia="仿宋_GB2312"/>
              <w:szCs w:val="28"/>
            </w:rPr>
            <w:t xml:space="preserve">二、 </w:t>
          </w:r>
          <w:r>
            <w:rPr>
              <w:rFonts w:hint="eastAsia" w:ascii="黑体" w:hAnsi="黑体" w:eastAsia="黑体"/>
              <w:szCs w:val="32"/>
            </w:rPr>
            <w:t>收</w:t>
          </w:r>
          <w:r>
            <w:rPr>
              <w:rFonts w:hint="eastAsia" w:ascii="黑体" w:hAnsi="黑体" w:eastAsia="黑体"/>
            </w:rPr>
            <w:t>入决算情况说明</w:t>
          </w:r>
          <w:r>
            <w:tab/>
          </w:r>
          <w:r>
            <w:fldChar w:fldCharType="begin"/>
          </w:r>
          <w:r>
            <w:instrText xml:space="preserve"> PAGEREF _Toc22197 </w:instrText>
          </w:r>
          <w:r>
            <w:fldChar w:fldCharType="separate"/>
          </w:r>
          <w:r>
            <w:t>6</w:t>
          </w:r>
          <w:r>
            <w:fldChar w:fldCharType="end"/>
          </w:r>
          <w:r>
            <w:fldChar w:fldCharType="end"/>
          </w:r>
        </w:p>
        <w:p w14:paraId="5BFC1F58">
          <w:pPr>
            <w:pStyle w:val="34"/>
            <w:tabs>
              <w:tab w:val="right" w:leader="dot" w:pos="8306"/>
            </w:tabs>
            <w:ind w:left="420"/>
          </w:pPr>
          <w:r>
            <w:fldChar w:fldCharType="begin"/>
          </w:r>
          <w:r>
            <w:instrText xml:space="preserve"> HYPERLINK \l "_Toc25242" </w:instrText>
          </w:r>
          <w:r>
            <w:fldChar w:fldCharType="separate"/>
          </w:r>
          <w:r>
            <w:rPr>
              <w:rFonts w:ascii="黑体" w:hAnsi="黑体" w:eastAsia="黑体"/>
            </w:rPr>
            <w:t xml:space="preserve">三、 </w:t>
          </w:r>
          <w:r>
            <w:rPr>
              <w:rFonts w:hint="eastAsia" w:ascii="黑体" w:hAnsi="黑体" w:eastAsia="黑体"/>
              <w:szCs w:val="32"/>
            </w:rPr>
            <w:t>支</w:t>
          </w:r>
          <w:r>
            <w:rPr>
              <w:rFonts w:hint="eastAsia" w:ascii="黑体" w:hAnsi="黑体" w:eastAsia="黑体"/>
            </w:rPr>
            <w:t>出决算情况说明</w:t>
          </w:r>
          <w:r>
            <w:tab/>
          </w:r>
          <w:r>
            <w:fldChar w:fldCharType="begin"/>
          </w:r>
          <w:r>
            <w:instrText xml:space="preserve"> PAGEREF _Toc25242 </w:instrText>
          </w:r>
          <w:r>
            <w:fldChar w:fldCharType="separate"/>
          </w:r>
          <w:r>
            <w:t>6</w:t>
          </w:r>
          <w:r>
            <w:fldChar w:fldCharType="end"/>
          </w:r>
          <w:r>
            <w:fldChar w:fldCharType="end"/>
          </w:r>
        </w:p>
        <w:p w14:paraId="724B6BAD">
          <w:pPr>
            <w:pStyle w:val="34"/>
            <w:tabs>
              <w:tab w:val="right" w:leader="dot" w:pos="8306"/>
            </w:tabs>
            <w:ind w:left="420"/>
          </w:pPr>
          <w:r>
            <w:fldChar w:fldCharType="begin"/>
          </w:r>
          <w:r>
            <w:instrText xml:space="preserve"> HYPERLINK \l "_Toc6837" </w:instrText>
          </w:r>
          <w:r>
            <w:fldChar w:fldCharType="separate"/>
          </w:r>
          <w:r>
            <w:rPr>
              <w:rFonts w:hint="eastAsia" w:ascii="黑体" w:hAnsi="黑体" w:eastAsia="黑体"/>
              <w:szCs w:val="32"/>
            </w:rPr>
            <w:t>四、财</w:t>
          </w:r>
          <w:r>
            <w:rPr>
              <w:rFonts w:hint="eastAsia" w:ascii="黑体" w:hAnsi="黑体" w:eastAsia="黑体"/>
            </w:rPr>
            <w:t>政拨款收入支出决算总体情况说明</w:t>
          </w:r>
          <w:r>
            <w:tab/>
          </w:r>
          <w:r>
            <w:fldChar w:fldCharType="begin"/>
          </w:r>
          <w:r>
            <w:instrText xml:space="preserve"> PAGEREF _Toc6837 </w:instrText>
          </w:r>
          <w:r>
            <w:fldChar w:fldCharType="separate"/>
          </w:r>
          <w:r>
            <w:t>6</w:t>
          </w:r>
          <w:r>
            <w:fldChar w:fldCharType="end"/>
          </w:r>
          <w:r>
            <w:fldChar w:fldCharType="end"/>
          </w:r>
        </w:p>
        <w:p w14:paraId="526EBD97">
          <w:pPr>
            <w:pStyle w:val="34"/>
            <w:tabs>
              <w:tab w:val="right" w:leader="dot" w:pos="8306"/>
            </w:tabs>
            <w:ind w:left="420"/>
          </w:pPr>
          <w:r>
            <w:fldChar w:fldCharType="begin"/>
          </w:r>
          <w:r>
            <w:instrText xml:space="preserve"> HYPERLINK \l "_Toc15037" </w:instrText>
          </w:r>
          <w:r>
            <w:fldChar w:fldCharType="separate"/>
          </w:r>
          <w:r>
            <w:rPr>
              <w:rFonts w:hint="eastAsia" w:ascii="黑体" w:hAnsi="黑体" w:eastAsia="黑体"/>
              <w:szCs w:val="32"/>
            </w:rPr>
            <w:t>五、一</w:t>
          </w:r>
          <w:r>
            <w:rPr>
              <w:rFonts w:hint="eastAsia" w:ascii="黑体" w:hAnsi="黑体" w:eastAsia="黑体"/>
            </w:rPr>
            <w:t>般公共预算财政拨款支出决算情况说明</w:t>
          </w:r>
          <w:r>
            <w:tab/>
          </w:r>
          <w:r>
            <w:fldChar w:fldCharType="begin"/>
          </w:r>
          <w:r>
            <w:instrText xml:space="preserve"> PAGEREF _Toc15037 </w:instrText>
          </w:r>
          <w:r>
            <w:fldChar w:fldCharType="separate"/>
          </w:r>
          <w:r>
            <w:t>6</w:t>
          </w:r>
          <w:r>
            <w:fldChar w:fldCharType="end"/>
          </w:r>
          <w:r>
            <w:fldChar w:fldCharType="end"/>
          </w:r>
        </w:p>
        <w:p w14:paraId="7D6C1980">
          <w:pPr>
            <w:pStyle w:val="34"/>
            <w:tabs>
              <w:tab w:val="right" w:leader="dot" w:pos="8306"/>
            </w:tabs>
            <w:ind w:left="420"/>
          </w:pPr>
          <w:r>
            <w:fldChar w:fldCharType="begin"/>
          </w:r>
          <w:r>
            <w:instrText xml:space="preserve"> HYPERLINK \l "_Toc28567" </w:instrText>
          </w:r>
          <w:r>
            <w:fldChar w:fldCharType="separate"/>
          </w:r>
          <w:r>
            <w:rPr>
              <w:rFonts w:hint="eastAsia" w:ascii="黑体" w:eastAsia="黑体"/>
              <w:szCs w:val="32"/>
            </w:rPr>
            <w:t>六、</w:t>
          </w:r>
          <w:r>
            <w:rPr>
              <w:rFonts w:hint="eastAsia" w:ascii="黑体" w:hAnsi="黑体" w:eastAsia="黑体"/>
              <w:szCs w:val="32"/>
            </w:rPr>
            <w:t>一</w:t>
          </w:r>
          <w:r>
            <w:rPr>
              <w:rFonts w:hint="eastAsia" w:ascii="黑体" w:hAnsi="黑体" w:eastAsia="黑体"/>
            </w:rPr>
            <w:t>般公共预算财政拨款基本支出决算情况说明</w:t>
          </w:r>
          <w:r>
            <w:tab/>
          </w:r>
          <w:r>
            <w:fldChar w:fldCharType="begin"/>
          </w:r>
          <w:r>
            <w:instrText xml:space="preserve"> PAGEREF _Toc28567 </w:instrText>
          </w:r>
          <w:r>
            <w:fldChar w:fldCharType="separate"/>
          </w:r>
          <w:r>
            <w:t>7</w:t>
          </w:r>
          <w:r>
            <w:fldChar w:fldCharType="end"/>
          </w:r>
          <w:r>
            <w:fldChar w:fldCharType="end"/>
          </w:r>
        </w:p>
        <w:p w14:paraId="371B46ED">
          <w:pPr>
            <w:pStyle w:val="34"/>
            <w:tabs>
              <w:tab w:val="right" w:leader="dot" w:pos="8306"/>
            </w:tabs>
            <w:ind w:left="420"/>
          </w:pPr>
          <w:r>
            <w:fldChar w:fldCharType="begin"/>
          </w:r>
          <w:r>
            <w:instrText xml:space="preserve"> HYPERLINK \l "_Toc344" </w:instrText>
          </w:r>
          <w:r>
            <w:fldChar w:fldCharType="separate"/>
          </w:r>
          <w:r>
            <w:rPr>
              <w:rFonts w:hint="eastAsia" w:ascii="黑体" w:eastAsia="黑体"/>
              <w:szCs w:val="32"/>
            </w:rPr>
            <w:t>七、</w:t>
          </w:r>
          <w:r>
            <w:rPr>
              <w:rFonts w:hint="eastAsia" w:ascii="黑体" w:hAnsi="黑体" w:eastAsia="黑体"/>
            </w:rPr>
            <w:t>“三公”经费财政拨款支出决算情况说明</w:t>
          </w:r>
          <w:r>
            <w:tab/>
          </w:r>
          <w:r>
            <w:fldChar w:fldCharType="begin"/>
          </w:r>
          <w:r>
            <w:instrText xml:space="preserve"> PAGEREF _Toc344 </w:instrText>
          </w:r>
          <w:r>
            <w:fldChar w:fldCharType="separate"/>
          </w:r>
          <w:r>
            <w:t>8</w:t>
          </w:r>
          <w:r>
            <w:fldChar w:fldCharType="end"/>
          </w:r>
          <w:r>
            <w:fldChar w:fldCharType="end"/>
          </w:r>
        </w:p>
        <w:p w14:paraId="2C7CBCA7">
          <w:pPr>
            <w:pStyle w:val="34"/>
            <w:tabs>
              <w:tab w:val="right" w:leader="dot" w:pos="8306"/>
            </w:tabs>
            <w:ind w:left="420"/>
          </w:pPr>
          <w:r>
            <w:fldChar w:fldCharType="begin"/>
          </w:r>
          <w:r>
            <w:instrText xml:space="preserve"> HYPERLINK \l "_Toc2841" </w:instrText>
          </w:r>
          <w:r>
            <w:fldChar w:fldCharType="separate"/>
          </w:r>
          <w:r>
            <w:rPr>
              <w:rFonts w:hint="eastAsia" w:ascii="黑体" w:eastAsia="黑体"/>
              <w:szCs w:val="32"/>
            </w:rPr>
            <w:t>八、</w:t>
          </w:r>
          <w:r>
            <w:rPr>
              <w:rFonts w:hint="eastAsia" w:ascii="黑体" w:hAnsi="黑体" w:eastAsia="黑体"/>
            </w:rPr>
            <w:t>政府性基金预算支出决算情况说明</w:t>
          </w:r>
          <w:r>
            <w:tab/>
          </w:r>
          <w:r>
            <w:fldChar w:fldCharType="begin"/>
          </w:r>
          <w:r>
            <w:instrText xml:space="preserve"> PAGEREF _Toc2841 </w:instrText>
          </w:r>
          <w:r>
            <w:fldChar w:fldCharType="separate"/>
          </w:r>
          <w:r>
            <w:t>9</w:t>
          </w:r>
          <w:r>
            <w:fldChar w:fldCharType="end"/>
          </w:r>
          <w:r>
            <w:fldChar w:fldCharType="end"/>
          </w:r>
        </w:p>
        <w:p w14:paraId="485E223E">
          <w:pPr>
            <w:pStyle w:val="34"/>
            <w:tabs>
              <w:tab w:val="right" w:leader="dot" w:pos="8306"/>
            </w:tabs>
            <w:ind w:left="420"/>
          </w:pPr>
          <w:r>
            <w:fldChar w:fldCharType="begin"/>
          </w:r>
          <w:r>
            <w:instrText xml:space="preserve"> HYPERLINK \l "_Toc5113" </w:instrText>
          </w:r>
          <w:r>
            <w:fldChar w:fldCharType="separate"/>
          </w:r>
          <w:r>
            <w:rPr>
              <w:rFonts w:hint="eastAsia" w:ascii="黑体" w:hAnsi="黑体" w:eastAsia="黑体"/>
            </w:rPr>
            <w:t>九、 国有资本经营预算支出决算情况说明</w:t>
          </w:r>
          <w:r>
            <w:tab/>
          </w:r>
          <w:r>
            <w:fldChar w:fldCharType="begin"/>
          </w:r>
          <w:r>
            <w:instrText xml:space="preserve"> PAGEREF _Toc5113 </w:instrText>
          </w:r>
          <w:r>
            <w:fldChar w:fldCharType="separate"/>
          </w:r>
          <w:r>
            <w:t>9</w:t>
          </w:r>
          <w:r>
            <w:fldChar w:fldCharType="end"/>
          </w:r>
          <w:r>
            <w:fldChar w:fldCharType="end"/>
          </w:r>
        </w:p>
        <w:p w14:paraId="5E547A9D">
          <w:pPr>
            <w:pStyle w:val="34"/>
            <w:tabs>
              <w:tab w:val="right" w:leader="dot" w:pos="8306"/>
            </w:tabs>
            <w:ind w:left="420"/>
          </w:pPr>
          <w:r>
            <w:fldChar w:fldCharType="begin"/>
          </w:r>
          <w:r>
            <w:instrText xml:space="preserve"> HYPERLINK \l "_Toc25247" </w:instrText>
          </w:r>
          <w:r>
            <w:fldChar w:fldCharType="separate"/>
          </w:r>
          <w:r>
            <w:rPr>
              <w:rFonts w:hint="eastAsia" w:ascii="黑体" w:hAnsi="黑体" w:eastAsia="黑体"/>
              <w:szCs w:val="32"/>
            </w:rPr>
            <w:t>十</w:t>
          </w:r>
          <w:r>
            <w:rPr>
              <w:rFonts w:hint="eastAsia" w:ascii="黑体" w:hAnsi="黑体" w:eastAsia="黑体"/>
            </w:rPr>
            <w:t>、其他重要事项的情况说明</w:t>
          </w:r>
          <w:r>
            <w:tab/>
          </w:r>
          <w:r>
            <w:fldChar w:fldCharType="begin"/>
          </w:r>
          <w:r>
            <w:instrText xml:space="preserve"> PAGEREF _Toc25247 </w:instrText>
          </w:r>
          <w:r>
            <w:fldChar w:fldCharType="separate"/>
          </w:r>
          <w:r>
            <w:t>9</w:t>
          </w:r>
          <w:r>
            <w:fldChar w:fldCharType="end"/>
          </w:r>
          <w:r>
            <w:fldChar w:fldCharType="end"/>
          </w:r>
        </w:p>
        <w:p w14:paraId="69F0CDEC">
          <w:pPr>
            <w:pStyle w:val="33"/>
            <w:tabs>
              <w:tab w:val="right" w:leader="dot" w:pos="8306"/>
            </w:tabs>
            <w:rPr>
              <w:b/>
            </w:rPr>
          </w:pPr>
          <w:r>
            <w:fldChar w:fldCharType="begin"/>
          </w:r>
          <w:r>
            <w:instrText xml:space="preserve"> HYPERLINK \l "_Toc26571" </w:instrText>
          </w:r>
          <w:r>
            <w:fldChar w:fldCharType="separate"/>
          </w:r>
          <w:r>
            <w:rPr>
              <w:rFonts w:hint="eastAsia" w:ascii="黑体" w:hAnsi="黑体" w:eastAsia="黑体"/>
              <w:b/>
            </w:rPr>
            <w:t xml:space="preserve">第三部分 </w:t>
          </w:r>
          <w:r>
            <w:rPr>
              <w:rFonts w:hint="eastAsia" w:ascii="黑体" w:hAnsi="黑体" w:eastAsia="黑体"/>
              <w:b/>
              <w:szCs w:val="44"/>
            </w:rPr>
            <w:t>名</w:t>
          </w:r>
          <w:r>
            <w:rPr>
              <w:rFonts w:hint="eastAsia" w:ascii="黑体" w:hAnsi="黑体" w:eastAsia="黑体"/>
              <w:b/>
            </w:rPr>
            <w:t>词解释</w:t>
          </w:r>
          <w:r>
            <w:rPr>
              <w:b/>
            </w:rPr>
            <w:tab/>
          </w:r>
          <w:r>
            <w:rPr>
              <w:b/>
            </w:rPr>
            <w:fldChar w:fldCharType="begin"/>
          </w:r>
          <w:r>
            <w:rPr>
              <w:b/>
            </w:rPr>
            <w:instrText xml:space="preserve"> PAGEREF _Toc26571 </w:instrText>
          </w:r>
          <w:r>
            <w:rPr>
              <w:b/>
            </w:rPr>
            <w:fldChar w:fldCharType="separate"/>
          </w:r>
          <w:r>
            <w:rPr>
              <w:b/>
            </w:rPr>
            <w:t>11</w:t>
          </w:r>
          <w:r>
            <w:rPr>
              <w:b/>
            </w:rPr>
            <w:fldChar w:fldCharType="end"/>
          </w:r>
          <w:r>
            <w:rPr>
              <w:b/>
            </w:rPr>
            <w:fldChar w:fldCharType="end"/>
          </w:r>
        </w:p>
        <w:p w14:paraId="5618BE5C">
          <w:pPr>
            <w:pStyle w:val="33"/>
            <w:tabs>
              <w:tab w:val="right" w:leader="dot" w:pos="8306"/>
            </w:tabs>
            <w:rPr>
              <w:b/>
            </w:rPr>
          </w:pPr>
          <w:r>
            <w:fldChar w:fldCharType="begin"/>
          </w:r>
          <w:r>
            <w:instrText xml:space="preserve"> HYPERLINK \l "_Toc15906" </w:instrText>
          </w:r>
          <w:r>
            <w:fldChar w:fldCharType="separate"/>
          </w:r>
          <w:r>
            <w:rPr>
              <w:rFonts w:hint="eastAsia" w:ascii="黑体" w:hAnsi="黑体" w:eastAsia="黑体"/>
              <w:b/>
              <w:szCs w:val="44"/>
            </w:rPr>
            <w:t>第</w:t>
          </w:r>
          <w:r>
            <w:rPr>
              <w:rFonts w:hint="eastAsia" w:ascii="黑体" w:hAnsi="黑体" w:eastAsia="黑体"/>
              <w:b/>
            </w:rPr>
            <w:t>四部分 附件</w:t>
          </w:r>
          <w:r>
            <w:rPr>
              <w:b/>
            </w:rPr>
            <w:tab/>
          </w:r>
          <w:r>
            <w:rPr>
              <w:b/>
            </w:rPr>
            <w:fldChar w:fldCharType="begin"/>
          </w:r>
          <w:r>
            <w:rPr>
              <w:b/>
            </w:rPr>
            <w:instrText xml:space="preserve"> PAGEREF _Toc15906 </w:instrText>
          </w:r>
          <w:r>
            <w:rPr>
              <w:b/>
            </w:rPr>
            <w:fldChar w:fldCharType="separate"/>
          </w:r>
          <w:r>
            <w:rPr>
              <w:b/>
            </w:rPr>
            <w:t>13</w:t>
          </w:r>
          <w:r>
            <w:rPr>
              <w:b/>
            </w:rPr>
            <w:fldChar w:fldCharType="end"/>
          </w:r>
          <w:r>
            <w:rPr>
              <w:b/>
            </w:rPr>
            <w:fldChar w:fldCharType="end"/>
          </w:r>
        </w:p>
        <w:p w14:paraId="0E4BB148">
          <w:pPr>
            <w:pStyle w:val="33"/>
            <w:tabs>
              <w:tab w:val="right" w:leader="dot" w:pos="8306"/>
            </w:tabs>
            <w:rPr>
              <w:b/>
            </w:rPr>
          </w:pPr>
          <w:r>
            <w:fldChar w:fldCharType="begin"/>
          </w:r>
          <w:r>
            <w:instrText xml:space="preserve"> HYPERLINK \l "_Toc7676" </w:instrText>
          </w:r>
          <w:r>
            <w:fldChar w:fldCharType="separate"/>
          </w:r>
          <w:r>
            <w:rPr>
              <w:rFonts w:hint="eastAsia" w:ascii="黑体" w:hAnsi="黑体" w:eastAsia="黑体" w:cs="黑体"/>
              <w:b/>
              <w:szCs w:val="32"/>
            </w:rPr>
            <w:t>附件1</w:t>
          </w:r>
          <w:r>
            <w:rPr>
              <w:b/>
            </w:rPr>
            <w:tab/>
          </w:r>
          <w:r>
            <w:rPr>
              <w:b/>
            </w:rPr>
            <w:fldChar w:fldCharType="begin"/>
          </w:r>
          <w:r>
            <w:rPr>
              <w:b/>
            </w:rPr>
            <w:instrText xml:space="preserve"> PAGEREF _Toc7676 </w:instrText>
          </w:r>
          <w:r>
            <w:rPr>
              <w:b/>
            </w:rPr>
            <w:fldChar w:fldCharType="separate"/>
          </w:r>
          <w:r>
            <w:rPr>
              <w:b/>
            </w:rPr>
            <w:t>13</w:t>
          </w:r>
          <w:r>
            <w:rPr>
              <w:b/>
            </w:rPr>
            <w:fldChar w:fldCharType="end"/>
          </w:r>
          <w:r>
            <w:rPr>
              <w:b/>
            </w:rPr>
            <w:fldChar w:fldCharType="end"/>
          </w:r>
        </w:p>
        <w:p w14:paraId="08DCD32D">
          <w:pPr>
            <w:pStyle w:val="33"/>
            <w:tabs>
              <w:tab w:val="right" w:leader="dot" w:pos="8306"/>
            </w:tabs>
            <w:rPr>
              <w:b/>
            </w:rPr>
          </w:pPr>
          <w:r>
            <w:fldChar w:fldCharType="begin"/>
          </w:r>
          <w:r>
            <w:instrText xml:space="preserve"> HYPERLINK \l "_Toc22651" </w:instrText>
          </w:r>
          <w:r>
            <w:fldChar w:fldCharType="separate"/>
          </w:r>
          <w:r>
            <w:rPr>
              <w:rFonts w:hint="eastAsia" w:ascii="黑体" w:hAnsi="黑体" w:eastAsia="黑体"/>
              <w:b/>
              <w:szCs w:val="44"/>
            </w:rPr>
            <w:t>第</w:t>
          </w:r>
          <w:r>
            <w:rPr>
              <w:rFonts w:hint="eastAsia" w:ascii="黑体" w:hAnsi="黑体" w:eastAsia="黑体"/>
              <w:b/>
            </w:rPr>
            <w:t>五部分 附表</w:t>
          </w:r>
          <w:r>
            <w:rPr>
              <w:b/>
            </w:rPr>
            <w:tab/>
          </w:r>
          <w:r>
            <w:rPr>
              <w:b/>
            </w:rPr>
            <w:fldChar w:fldCharType="begin"/>
          </w:r>
          <w:r>
            <w:rPr>
              <w:b/>
            </w:rPr>
            <w:instrText xml:space="preserve"> PAGEREF _Toc22651 </w:instrText>
          </w:r>
          <w:r>
            <w:rPr>
              <w:b/>
            </w:rPr>
            <w:fldChar w:fldCharType="separate"/>
          </w:r>
          <w:r>
            <w:rPr>
              <w:b/>
            </w:rPr>
            <w:t>18</w:t>
          </w:r>
          <w:r>
            <w:rPr>
              <w:b/>
            </w:rPr>
            <w:fldChar w:fldCharType="end"/>
          </w:r>
          <w:r>
            <w:rPr>
              <w:b/>
            </w:rPr>
            <w:fldChar w:fldCharType="end"/>
          </w:r>
        </w:p>
        <w:p w14:paraId="1A9E2BC8">
          <w:pPr>
            <w:pStyle w:val="34"/>
            <w:tabs>
              <w:tab w:val="right" w:leader="dot" w:pos="8306"/>
            </w:tabs>
            <w:ind w:left="420"/>
          </w:pPr>
          <w:r>
            <w:fldChar w:fldCharType="begin"/>
          </w:r>
          <w:r>
            <w:instrText xml:space="preserve"> HYPERLINK \l "_Toc21192" </w:instrText>
          </w:r>
          <w:r>
            <w:fldChar w:fldCharType="separate"/>
          </w:r>
          <w:r>
            <w:rPr>
              <w:rFonts w:hint="eastAsia" w:ascii="仿宋" w:hAnsi="仿宋" w:eastAsia="仿宋"/>
            </w:rPr>
            <w:t>一、收入支出决算总表</w:t>
          </w:r>
          <w:r>
            <w:tab/>
          </w:r>
          <w:r>
            <w:fldChar w:fldCharType="begin"/>
          </w:r>
          <w:r>
            <w:instrText xml:space="preserve"> PAGEREF _Toc21192 </w:instrText>
          </w:r>
          <w:r>
            <w:fldChar w:fldCharType="separate"/>
          </w:r>
          <w:r>
            <w:t>18</w:t>
          </w:r>
          <w:r>
            <w:fldChar w:fldCharType="end"/>
          </w:r>
          <w:r>
            <w:fldChar w:fldCharType="end"/>
          </w:r>
        </w:p>
        <w:p w14:paraId="4102679B">
          <w:pPr>
            <w:pStyle w:val="34"/>
            <w:tabs>
              <w:tab w:val="right" w:leader="dot" w:pos="8306"/>
            </w:tabs>
            <w:ind w:left="420"/>
          </w:pPr>
          <w:r>
            <w:fldChar w:fldCharType="begin"/>
          </w:r>
          <w:r>
            <w:instrText xml:space="preserve"> HYPERLINK \l "_Toc32439" </w:instrText>
          </w:r>
          <w:r>
            <w:fldChar w:fldCharType="separate"/>
          </w:r>
          <w:r>
            <w:rPr>
              <w:rFonts w:hint="eastAsia" w:ascii="仿宋" w:hAnsi="仿宋" w:eastAsia="仿宋"/>
            </w:rPr>
            <w:t>二、收入决算表</w:t>
          </w:r>
          <w:r>
            <w:tab/>
          </w:r>
          <w:r>
            <w:fldChar w:fldCharType="begin"/>
          </w:r>
          <w:r>
            <w:instrText xml:space="preserve"> PAGEREF _Toc32439 </w:instrText>
          </w:r>
          <w:r>
            <w:fldChar w:fldCharType="separate"/>
          </w:r>
          <w:r>
            <w:t>18</w:t>
          </w:r>
          <w:r>
            <w:fldChar w:fldCharType="end"/>
          </w:r>
          <w:r>
            <w:fldChar w:fldCharType="end"/>
          </w:r>
        </w:p>
        <w:p w14:paraId="144D77E2">
          <w:pPr>
            <w:pStyle w:val="34"/>
            <w:tabs>
              <w:tab w:val="right" w:leader="dot" w:pos="8306"/>
            </w:tabs>
            <w:ind w:left="420"/>
          </w:pPr>
          <w:r>
            <w:fldChar w:fldCharType="begin"/>
          </w:r>
          <w:r>
            <w:instrText xml:space="preserve"> HYPERLINK \l "_Toc8660" </w:instrText>
          </w:r>
          <w:r>
            <w:fldChar w:fldCharType="separate"/>
          </w:r>
          <w:r>
            <w:rPr>
              <w:rFonts w:hint="eastAsia" w:ascii="仿宋" w:hAnsi="仿宋" w:eastAsia="仿宋"/>
            </w:rPr>
            <w:t>三、支出决算表</w:t>
          </w:r>
          <w:r>
            <w:tab/>
          </w:r>
          <w:r>
            <w:fldChar w:fldCharType="begin"/>
          </w:r>
          <w:r>
            <w:instrText xml:space="preserve"> PAGEREF _Toc8660 </w:instrText>
          </w:r>
          <w:r>
            <w:fldChar w:fldCharType="separate"/>
          </w:r>
          <w:r>
            <w:t>18</w:t>
          </w:r>
          <w:r>
            <w:fldChar w:fldCharType="end"/>
          </w:r>
          <w:r>
            <w:fldChar w:fldCharType="end"/>
          </w:r>
        </w:p>
        <w:p w14:paraId="7AFCD305">
          <w:pPr>
            <w:pStyle w:val="34"/>
            <w:tabs>
              <w:tab w:val="right" w:leader="dot" w:pos="8306"/>
            </w:tabs>
            <w:ind w:left="420"/>
          </w:pPr>
          <w:r>
            <w:fldChar w:fldCharType="begin"/>
          </w:r>
          <w:r>
            <w:instrText xml:space="preserve"> HYPERLINK \l "_Toc7535" </w:instrText>
          </w:r>
          <w:r>
            <w:fldChar w:fldCharType="separate"/>
          </w:r>
          <w:r>
            <w:rPr>
              <w:rFonts w:hint="eastAsia" w:ascii="仿宋" w:hAnsi="仿宋" w:eastAsia="仿宋"/>
            </w:rPr>
            <w:t>四、财政拨款收入支出决算总表</w:t>
          </w:r>
          <w:r>
            <w:tab/>
          </w:r>
          <w:r>
            <w:fldChar w:fldCharType="begin"/>
          </w:r>
          <w:r>
            <w:instrText xml:space="preserve"> PAGEREF _Toc7535 </w:instrText>
          </w:r>
          <w:r>
            <w:fldChar w:fldCharType="separate"/>
          </w:r>
          <w:r>
            <w:t>18</w:t>
          </w:r>
          <w:r>
            <w:fldChar w:fldCharType="end"/>
          </w:r>
          <w:r>
            <w:fldChar w:fldCharType="end"/>
          </w:r>
        </w:p>
        <w:p w14:paraId="50385051">
          <w:pPr>
            <w:pStyle w:val="34"/>
            <w:tabs>
              <w:tab w:val="right" w:leader="dot" w:pos="8306"/>
            </w:tabs>
            <w:ind w:left="420"/>
          </w:pPr>
          <w:r>
            <w:fldChar w:fldCharType="begin"/>
          </w:r>
          <w:r>
            <w:instrText xml:space="preserve"> HYPERLINK \l "_Toc11964" </w:instrText>
          </w:r>
          <w:r>
            <w:fldChar w:fldCharType="separate"/>
          </w:r>
          <w:r>
            <w:rPr>
              <w:rFonts w:hint="eastAsia" w:ascii="仿宋" w:hAnsi="仿宋" w:eastAsia="仿宋"/>
            </w:rPr>
            <w:t>五、财政拨款支出决算明细表</w:t>
          </w:r>
          <w:r>
            <w:tab/>
          </w:r>
          <w:r>
            <w:fldChar w:fldCharType="begin"/>
          </w:r>
          <w:r>
            <w:instrText xml:space="preserve"> PAGEREF _Toc11964 </w:instrText>
          </w:r>
          <w:r>
            <w:fldChar w:fldCharType="separate"/>
          </w:r>
          <w:r>
            <w:t>18</w:t>
          </w:r>
          <w:r>
            <w:fldChar w:fldCharType="end"/>
          </w:r>
          <w:r>
            <w:fldChar w:fldCharType="end"/>
          </w:r>
        </w:p>
        <w:p w14:paraId="1B6E03AD">
          <w:pPr>
            <w:pStyle w:val="34"/>
            <w:tabs>
              <w:tab w:val="right" w:leader="dot" w:pos="8306"/>
            </w:tabs>
            <w:ind w:left="420"/>
          </w:pPr>
          <w:r>
            <w:fldChar w:fldCharType="begin"/>
          </w:r>
          <w:r>
            <w:instrText xml:space="preserve"> HYPERLINK \l "_Toc5540" </w:instrText>
          </w:r>
          <w:r>
            <w:fldChar w:fldCharType="separate"/>
          </w:r>
          <w:r>
            <w:rPr>
              <w:rFonts w:hint="eastAsia" w:ascii="仿宋" w:hAnsi="仿宋" w:eastAsia="仿宋"/>
            </w:rPr>
            <w:t>六、一般公共预算财政拨款支出决算表</w:t>
          </w:r>
          <w:r>
            <w:tab/>
          </w:r>
          <w:r>
            <w:fldChar w:fldCharType="begin"/>
          </w:r>
          <w:r>
            <w:instrText xml:space="preserve"> PAGEREF _Toc5540 </w:instrText>
          </w:r>
          <w:r>
            <w:fldChar w:fldCharType="separate"/>
          </w:r>
          <w:r>
            <w:t>18</w:t>
          </w:r>
          <w:r>
            <w:fldChar w:fldCharType="end"/>
          </w:r>
          <w:r>
            <w:fldChar w:fldCharType="end"/>
          </w:r>
        </w:p>
        <w:p w14:paraId="668FCBED">
          <w:pPr>
            <w:pStyle w:val="34"/>
            <w:tabs>
              <w:tab w:val="right" w:leader="dot" w:pos="8306"/>
            </w:tabs>
            <w:ind w:left="420"/>
          </w:pPr>
          <w:r>
            <w:fldChar w:fldCharType="begin"/>
          </w:r>
          <w:r>
            <w:instrText xml:space="preserve"> HYPERLINK \l "_Toc23277" </w:instrText>
          </w:r>
          <w:r>
            <w:fldChar w:fldCharType="separate"/>
          </w:r>
          <w:r>
            <w:rPr>
              <w:rFonts w:hint="eastAsia" w:ascii="仿宋" w:hAnsi="仿宋" w:eastAsia="仿宋"/>
            </w:rPr>
            <w:t>七、一般公共预算财政拨款支出决算明细表</w:t>
          </w:r>
          <w:r>
            <w:tab/>
          </w:r>
          <w:r>
            <w:fldChar w:fldCharType="begin"/>
          </w:r>
          <w:r>
            <w:instrText xml:space="preserve"> PAGEREF _Toc23277 </w:instrText>
          </w:r>
          <w:r>
            <w:fldChar w:fldCharType="separate"/>
          </w:r>
          <w:r>
            <w:t>18</w:t>
          </w:r>
          <w:r>
            <w:fldChar w:fldCharType="end"/>
          </w:r>
          <w:r>
            <w:fldChar w:fldCharType="end"/>
          </w:r>
        </w:p>
        <w:p w14:paraId="358F3943">
          <w:pPr>
            <w:pStyle w:val="34"/>
            <w:tabs>
              <w:tab w:val="right" w:leader="dot" w:pos="8306"/>
            </w:tabs>
            <w:ind w:left="420"/>
          </w:pPr>
          <w:r>
            <w:fldChar w:fldCharType="begin"/>
          </w:r>
          <w:r>
            <w:instrText xml:space="preserve"> HYPERLINK \l "_Toc32193" </w:instrText>
          </w:r>
          <w:r>
            <w:fldChar w:fldCharType="separate"/>
          </w:r>
          <w:r>
            <w:rPr>
              <w:rFonts w:hint="eastAsia" w:ascii="仿宋" w:hAnsi="仿宋" w:eastAsia="仿宋"/>
            </w:rPr>
            <w:t>八、一般公共预算财政拨款基本支出决算表</w:t>
          </w:r>
          <w:r>
            <w:tab/>
          </w:r>
          <w:r>
            <w:fldChar w:fldCharType="begin"/>
          </w:r>
          <w:r>
            <w:instrText xml:space="preserve"> PAGEREF _Toc32193 </w:instrText>
          </w:r>
          <w:r>
            <w:fldChar w:fldCharType="separate"/>
          </w:r>
          <w:r>
            <w:t>18</w:t>
          </w:r>
          <w:r>
            <w:fldChar w:fldCharType="end"/>
          </w:r>
          <w:r>
            <w:fldChar w:fldCharType="end"/>
          </w:r>
        </w:p>
        <w:p w14:paraId="529483F9">
          <w:pPr>
            <w:pStyle w:val="34"/>
            <w:tabs>
              <w:tab w:val="right" w:leader="dot" w:pos="8306"/>
            </w:tabs>
            <w:ind w:left="420"/>
          </w:pPr>
          <w:r>
            <w:fldChar w:fldCharType="begin"/>
          </w:r>
          <w:r>
            <w:instrText xml:space="preserve"> HYPERLINK \l "_Toc23338" </w:instrText>
          </w:r>
          <w:r>
            <w:fldChar w:fldCharType="separate"/>
          </w:r>
          <w:r>
            <w:rPr>
              <w:rFonts w:hint="eastAsia" w:ascii="仿宋" w:hAnsi="仿宋" w:eastAsia="仿宋"/>
            </w:rPr>
            <w:t>九、一般公共预算财政拨款项目支出决算表</w:t>
          </w:r>
          <w:r>
            <w:tab/>
          </w:r>
          <w:r>
            <w:fldChar w:fldCharType="begin"/>
          </w:r>
          <w:r>
            <w:instrText xml:space="preserve"> PAGEREF _Toc23338 </w:instrText>
          </w:r>
          <w:r>
            <w:fldChar w:fldCharType="separate"/>
          </w:r>
          <w:r>
            <w:t>18</w:t>
          </w:r>
          <w:r>
            <w:fldChar w:fldCharType="end"/>
          </w:r>
          <w:r>
            <w:fldChar w:fldCharType="end"/>
          </w:r>
        </w:p>
        <w:p w14:paraId="2697CFFC">
          <w:pPr>
            <w:pStyle w:val="34"/>
            <w:tabs>
              <w:tab w:val="right" w:leader="dot" w:pos="8306"/>
            </w:tabs>
            <w:ind w:left="420"/>
          </w:pPr>
          <w:r>
            <w:fldChar w:fldCharType="begin"/>
          </w:r>
          <w:r>
            <w:instrText xml:space="preserve"> HYPERLINK \l "_Toc22388" </w:instrText>
          </w:r>
          <w:r>
            <w:fldChar w:fldCharType="separate"/>
          </w:r>
          <w:r>
            <w:rPr>
              <w:rFonts w:hint="eastAsia" w:ascii="仿宋" w:hAnsi="仿宋" w:eastAsia="仿宋"/>
            </w:rPr>
            <w:t>十、一般公共预算财政拨款“三公”经费支出决算表</w:t>
          </w:r>
          <w:r>
            <w:tab/>
          </w:r>
          <w:r>
            <w:fldChar w:fldCharType="begin"/>
          </w:r>
          <w:r>
            <w:instrText xml:space="preserve"> PAGEREF _Toc22388 </w:instrText>
          </w:r>
          <w:r>
            <w:fldChar w:fldCharType="separate"/>
          </w:r>
          <w:r>
            <w:t>18</w:t>
          </w:r>
          <w:r>
            <w:fldChar w:fldCharType="end"/>
          </w:r>
          <w:r>
            <w:fldChar w:fldCharType="end"/>
          </w:r>
        </w:p>
        <w:p w14:paraId="2912B8EF">
          <w:pPr>
            <w:pStyle w:val="34"/>
            <w:tabs>
              <w:tab w:val="right" w:leader="dot" w:pos="8306"/>
            </w:tabs>
            <w:ind w:left="420"/>
          </w:pPr>
          <w:r>
            <w:fldChar w:fldCharType="begin"/>
          </w:r>
          <w:r>
            <w:instrText xml:space="preserve"> HYPERLINK \l "_Toc12919" </w:instrText>
          </w:r>
          <w:r>
            <w:fldChar w:fldCharType="separate"/>
          </w:r>
          <w:r>
            <w:rPr>
              <w:rFonts w:hint="eastAsia" w:ascii="仿宋" w:hAnsi="仿宋" w:eastAsia="仿宋"/>
            </w:rPr>
            <w:t>十一、政府性基金预算财政拨款收入支出决算表</w:t>
          </w:r>
          <w:r>
            <w:tab/>
          </w:r>
          <w:r>
            <w:fldChar w:fldCharType="begin"/>
          </w:r>
          <w:r>
            <w:instrText xml:space="preserve"> PAGEREF _Toc12919 </w:instrText>
          </w:r>
          <w:r>
            <w:fldChar w:fldCharType="separate"/>
          </w:r>
          <w:r>
            <w:t>18</w:t>
          </w:r>
          <w:r>
            <w:fldChar w:fldCharType="end"/>
          </w:r>
          <w:r>
            <w:fldChar w:fldCharType="end"/>
          </w:r>
        </w:p>
        <w:p w14:paraId="4E4D801D">
          <w:pPr>
            <w:pStyle w:val="34"/>
            <w:tabs>
              <w:tab w:val="right" w:leader="dot" w:pos="8306"/>
            </w:tabs>
            <w:ind w:left="420"/>
          </w:pPr>
          <w:r>
            <w:fldChar w:fldCharType="begin"/>
          </w:r>
          <w:r>
            <w:instrText xml:space="preserve"> HYPERLINK \l "_Toc18807" </w:instrText>
          </w:r>
          <w:r>
            <w:fldChar w:fldCharType="separate"/>
          </w:r>
          <w:r>
            <w:rPr>
              <w:rFonts w:hint="eastAsia" w:ascii="仿宋" w:hAnsi="仿宋" w:eastAsia="仿宋"/>
            </w:rPr>
            <w:t>十二、政府性基金预算财政拨款“三公”经费支出决算表</w:t>
          </w:r>
          <w:r>
            <w:tab/>
          </w:r>
          <w:r>
            <w:fldChar w:fldCharType="begin"/>
          </w:r>
          <w:r>
            <w:instrText xml:space="preserve"> PAGEREF _Toc18807 </w:instrText>
          </w:r>
          <w:r>
            <w:fldChar w:fldCharType="separate"/>
          </w:r>
          <w:r>
            <w:t>18</w:t>
          </w:r>
          <w:r>
            <w:fldChar w:fldCharType="end"/>
          </w:r>
          <w:r>
            <w:fldChar w:fldCharType="end"/>
          </w:r>
        </w:p>
        <w:p w14:paraId="0E38C9D5">
          <w:pPr>
            <w:pStyle w:val="34"/>
            <w:tabs>
              <w:tab w:val="right" w:leader="dot" w:pos="8306"/>
            </w:tabs>
            <w:ind w:left="420"/>
          </w:pPr>
          <w:r>
            <w:fldChar w:fldCharType="begin"/>
          </w:r>
          <w:r>
            <w:instrText xml:space="preserve"> HYPERLINK \l "_Toc1354" </w:instrText>
          </w:r>
          <w:r>
            <w:fldChar w:fldCharType="separate"/>
          </w:r>
          <w:r>
            <w:rPr>
              <w:rFonts w:hint="eastAsia" w:ascii="仿宋" w:hAnsi="仿宋" w:eastAsia="仿宋"/>
            </w:rPr>
            <w:t>十三、国有资本经营预算财政拨款收入支出决算表</w:t>
          </w:r>
          <w:r>
            <w:tab/>
          </w:r>
          <w:r>
            <w:fldChar w:fldCharType="begin"/>
          </w:r>
          <w:r>
            <w:instrText xml:space="preserve"> PAGEREF _Toc1354 </w:instrText>
          </w:r>
          <w:r>
            <w:fldChar w:fldCharType="separate"/>
          </w:r>
          <w:r>
            <w:t>18</w:t>
          </w:r>
          <w:r>
            <w:fldChar w:fldCharType="end"/>
          </w:r>
          <w:r>
            <w:fldChar w:fldCharType="end"/>
          </w:r>
        </w:p>
        <w:p w14:paraId="33A39612">
          <w:pPr>
            <w:ind w:firstLine="420" w:firstLineChars="200"/>
            <w:rPr>
              <w:b/>
            </w:rPr>
          </w:pPr>
          <w:r>
            <w:fldChar w:fldCharType="begin"/>
          </w:r>
          <w:r>
            <w:instrText xml:space="preserve"> HYPERLINK \l "_Toc1354" </w:instrText>
          </w:r>
          <w:r>
            <w:fldChar w:fldCharType="separate"/>
          </w:r>
          <w:r>
            <w:rPr>
              <w:rFonts w:hint="eastAsia" w:ascii="仿宋" w:hAnsi="仿宋" w:eastAsia="仿宋"/>
            </w:rPr>
            <w:t>十四、国有资本经营预算财政拨款支出决算表.................................</w:t>
          </w:r>
          <w:r>
            <w:fldChar w:fldCharType="begin"/>
          </w:r>
          <w:r>
            <w:instrText xml:space="preserve"> PAGEREF _Toc1354 </w:instrText>
          </w:r>
          <w:r>
            <w:fldChar w:fldCharType="separate"/>
          </w:r>
          <w:r>
            <w:t>18</w:t>
          </w:r>
          <w:r>
            <w:fldChar w:fldCharType="end"/>
          </w:r>
          <w:r>
            <w:fldChar w:fldCharType="end"/>
          </w:r>
          <w:r>
            <w:rPr>
              <w:b/>
            </w:rPr>
            <w:fldChar w:fldCharType="end"/>
          </w:r>
        </w:p>
        <w:p w14:paraId="25C0F207"/>
      </w:sdtContent>
    </w:sdt>
    <w:p w14:paraId="7611C6F0">
      <w:pPr>
        <w:pStyle w:val="4"/>
        <w:jc w:val="center"/>
        <w:rPr>
          <w:rFonts w:ascii="黑体" w:eastAsia="黑体"/>
          <w:color w:val="000000"/>
          <w:sz w:val="32"/>
          <w:szCs w:val="32"/>
        </w:rPr>
      </w:pPr>
      <w:bookmarkStart w:id="16" w:name="_Toc4316"/>
      <w:r>
        <w:rPr>
          <w:rFonts w:hint="eastAsia" w:ascii="黑体" w:hAnsi="黑体" w:eastAsia="黑体"/>
          <w:b w:val="0"/>
        </w:rPr>
        <w:t xml:space="preserve">第一部分 </w:t>
      </w:r>
      <w:r>
        <w:rPr>
          <w:rStyle w:val="27"/>
          <w:rFonts w:hint="eastAsia" w:ascii="黑体" w:hAnsi="黑体" w:eastAsia="黑体"/>
          <w:b w:val="0"/>
          <w:bCs w:val="0"/>
        </w:rPr>
        <w:t>部门概况</w:t>
      </w:r>
      <w:bookmarkEnd w:id="6"/>
      <w:bookmarkEnd w:id="7"/>
      <w:bookmarkEnd w:id="8"/>
      <w:bookmarkEnd w:id="16"/>
    </w:p>
    <w:p w14:paraId="2309E192">
      <w:pPr>
        <w:pStyle w:val="5"/>
        <w:rPr>
          <w:rStyle w:val="28"/>
          <w:rFonts w:ascii="仿宋" w:hAnsi="仿宋" w:eastAsia="仿宋"/>
          <w:b w:val="0"/>
          <w:bCs w:val="0"/>
        </w:rPr>
      </w:pPr>
      <w:bookmarkStart w:id="17" w:name="_Toc17594"/>
      <w:bookmarkStart w:id="18" w:name="_Toc24052"/>
      <w:bookmarkStart w:id="19" w:name="_Toc15377197"/>
      <w:bookmarkStart w:id="20" w:name="_Toc15396600"/>
      <w:r>
        <w:rPr>
          <w:rFonts w:hint="eastAsia" w:ascii="黑体" w:hAnsi="黑体" w:eastAsia="黑体"/>
          <w:b w:val="0"/>
          <w:color w:val="000000"/>
        </w:rPr>
        <w:t>一、基</w:t>
      </w:r>
      <w:r>
        <w:rPr>
          <w:rStyle w:val="28"/>
          <w:rFonts w:hint="eastAsia" w:ascii="黑体" w:hAnsi="黑体" w:eastAsia="黑体"/>
          <w:b w:val="0"/>
          <w:bCs w:val="0"/>
        </w:rPr>
        <w:t>本职能及主要工作</w:t>
      </w:r>
      <w:bookmarkEnd w:id="17"/>
      <w:bookmarkEnd w:id="18"/>
      <w:bookmarkEnd w:id="19"/>
      <w:bookmarkEnd w:id="20"/>
    </w:p>
    <w:p w14:paraId="4D1F6598">
      <w:pPr>
        <w:ind w:firstLine="562" w:firstLineChars="200"/>
        <w:rPr>
          <w:rFonts w:ascii="仿宋_GB2312" w:hAnsi="宋体" w:eastAsia="仿宋_GB2312"/>
          <w:b/>
          <w:sz w:val="28"/>
          <w:szCs w:val="28"/>
        </w:rPr>
      </w:pPr>
      <w:bookmarkStart w:id="21" w:name="_Toc15377200"/>
      <w:bookmarkStart w:id="22" w:name="_Toc15396601"/>
      <w:r>
        <w:rPr>
          <w:rFonts w:hint="eastAsia" w:ascii="仿宋_GB2312" w:hAnsi="宋体" w:eastAsia="仿宋_GB2312"/>
          <w:b/>
          <w:sz w:val="28"/>
          <w:szCs w:val="28"/>
        </w:rPr>
        <w:t>（一）主要职能</w:t>
      </w:r>
      <w:bookmarkStart w:id="23" w:name="_Toc18130"/>
      <w:bookmarkStart w:id="24" w:name="_Toc17579"/>
    </w:p>
    <w:p w14:paraId="488963F7">
      <w:pPr>
        <w:ind w:firstLine="560" w:firstLineChars="200"/>
        <w:rPr>
          <w:rStyle w:val="28"/>
          <w:b w:val="0"/>
          <w:bCs w:val="0"/>
        </w:rPr>
      </w:pPr>
      <w:r>
        <w:rPr>
          <w:rFonts w:hint="eastAsia" w:ascii="仿宋_GB2312" w:hAnsi="宋体" w:eastAsia="仿宋_GB2312"/>
          <w:sz w:val="28"/>
          <w:szCs w:val="28"/>
        </w:rPr>
        <w:t>1、贯彻执行党和政府关于民族工作的方针、政策、当好县委、县政府民族工作方面的参谋助手。</w:t>
      </w:r>
      <w:r>
        <w:rPr>
          <w:rFonts w:hint="eastAsia" w:ascii="仿宋_GB2312" w:hAnsi="宋体" w:eastAsia="仿宋_GB2312"/>
          <w:sz w:val="28"/>
          <w:szCs w:val="28"/>
        </w:rPr>
        <w:br w:type="textWrapping"/>
      </w:r>
      <w:r>
        <w:rPr>
          <w:rFonts w:hint="eastAsia" w:ascii="仿宋_GB2312" w:hAnsi="宋体" w:eastAsia="仿宋_GB2312"/>
          <w:sz w:val="28"/>
          <w:szCs w:val="28"/>
        </w:rPr>
        <w:t xml:space="preserve">    2、组织开展民族理论、民族政策和民族问题等重大课题的调查研究，提出有关民族工作的方针、政策和发展战略；开展民族政策、法规的宣传教育并监督贯彻执行。</w:t>
      </w:r>
      <w:r>
        <w:rPr>
          <w:rFonts w:hint="eastAsia" w:ascii="仿宋_GB2312" w:hAnsi="宋体" w:eastAsia="仿宋_GB2312"/>
          <w:sz w:val="28"/>
          <w:szCs w:val="28"/>
        </w:rPr>
        <w:br w:type="textWrapping"/>
      </w:r>
      <w:r>
        <w:rPr>
          <w:rFonts w:hint="eastAsia" w:ascii="仿宋_GB2312" w:hAnsi="宋体" w:eastAsia="仿宋_GB2312"/>
          <w:sz w:val="28"/>
          <w:szCs w:val="28"/>
        </w:rPr>
        <w:t xml:space="preserve">    3、监督实施民族区域自治制度，监督办理少数民族权益保障事宜，依法保护少数民族合法权益。</w:t>
      </w:r>
      <w:r>
        <w:rPr>
          <w:rFonts w:hint="eastAsia" w:ascii="仿宋_GB2312" w:hAnsi="宋体" w:eastAsia="仿宋_GB2312"/>
          <w:sz w:val="28"/>
          <w:szCs w:val="28"/>
        </w:rPr>
        <w:br w:type="textWrapping"/>
      </w:r>
      <w:r>
        <w:rPr>
          <w:rFonts w:hint="eastAsia" w:ascii="仿宋_GB2312" w:hAnsi="宋体" w:eastAsia="仿宋_GB2312"/>
          <w:sz w:val="28"/>
          <w:szCs w:val="28"/>
        </w:rPr>
        <w:t xml:space="preserve">    4、研究拟定协调民族关系的原则、方法，协调处理民族关系中的重大事宜，促进各民族间的平等团结、互助合作，维护社会稳定和国家统一:组织承办民族团结进步表彰活动。</w:t>
      </w:r>
      <w:r>
        <w:rPr>
          <w:rFonts w:hint="eastAsia" w:ascii="仿宋_GB2312" w:hAnsi="宋体" w:eastAsia="仿宋_GB2312"/>
          <w:sz w:val="28"/>
          <w:szCs w:val="28"/>
        </w:rPr>
        <w:br w:type="textWrapping"/>
      </w:r>
      <w:r>
        <w:rPr>
          <w:rFonts w:hint="eastAsia" w:ascii="仿宋_GB2312" w:hAnsi="宋体" w:eastAsia="仿宋_GB2312"/>
          <w:sz w:val="28"/>
          <w:szCs w:val="28"/>
        </w:rPr>
        <w:t xml:space="preserve">    5、分析民族地区经济运行情况，协助拟定我县民族地区改革开放、经济发展规划；研究提出民族地区经济发展的有关问题和特殊政策及措施；组织协调民族地区科技发展、经济技术协作和民族贸易、民族特需用品的生产；研究提出少数民族和民族地区有关专项资金的分配与使用意见；配合承办民族地区扶贫开发事宜。</w:t>
      </w:r>
      <w:r>
        <w:rPr>
          <w:rFonts w:hint="eastAsia" w:ascii="仿宋_GB2312" w:hAnsi="宋体" w:eastAsia="仿宋_GB2312"/>
          <w:sz w:val="28"/>
          <w:szCs w:val="28"/>
        </w:rPr>
        <w:br w:type="textWrapping"/>
      </w:r>
      <w:r>
        <w:rPr>
          <w:rFonts w:hint="eastAsia" w:ascii="仿宋_GB2312" w:hAnsi="宋体" w:eastAsia="仿宋_GB2312"/>
          <w:sz w:val="28"/>
          <w:szCs w:val="28"/>
        </w:rPr>
        <w:t xml:space="preserve">   6、在国家有关方针、政策和专项规划指导下，研究少数民族和民族地区教育、文化、科技、卫生、体育、新闻出版等方面的特殊问题并提出相关意见，承办相应事务。</w:t>
      </w:r>
      <w:r>
        <w:rPr>
          <w:rFonts w:hint="eastAsia" w:ascii="仿宋_GB2312" w:hAnsi="宋体" w:eastAsia="仿宋_GB2312"/>
          <w:sz w:val="28"/>
          <w:szCs w:val="28"/>
        </w:rPr>
        <w:br w:type="textWrapping"/>
      </w:r>
      <w:r>
        <w:rPr>
          <w:rFonts w:hint="eastAsia" w:ascii="仿宋_GB2312" w:hAnsi="宋体" w:eastAsia="仿宋_GB2312"/>
          <w:sz w:val="28"/>
          <w:szCs w:val="28"/>
        </w:rPr>
        <w:t xml:space="preserve">    7、管理少数民族语言文字工作，指导少数民族语言文字的翻译、出版和民族古籍的搜集、整理、出版工作。</w:t>
      </w:r>
      <w:r>
        <w:rPr>
          <w:rFonts w:hint="eastAsia" w:ascii="仿宋_GB2312" w:hAnsi="宋体" w:eastAsia="仿宋_GB2312"/>
          <w:sz w:val="28"/>
          <w:szCs w:val="28"/>
        </w:rPr>
        <w:br w:type="textWrapping"/>
      </w:r>
      <w:r>
        <w:rPr>
          <w:rFonts w:hint="eastAsia" w:ascii="仿宋_GB2312" w:hAnsi="宋体" w:eastAsia="仿宋_GB2312"/>
          <w:sz w:val="28"/>
          <w:szCs w:val="28"/>
        </w:rPr>
        <w:t xml:space="preserve">    8、协助有关部门做好民族地区干部队伍建设的调查研究和少数民族干部的推荐、培养、教育和使用等工作。</w:t>
      </w:r>
      <w:r>
        <w:rPr>
          <w:rFonts w:hint="eastAsia" w:ascii="仿宋_GB2312" w:hAnsi="宋体" w:eastAsia="仿宋_GB2312"/>
          <w:sz w:val="28"/>
          <w:szCs w:val="28"/>
        </w:rPr>
        <w:br w:type="textWrapping"/>
      </w:r>
      <w:r>
        <w:rPr>
          <w:rFonts w:hint="eastAsia" w:ascii="仿宋_GB2312" w:hAnsi="宋体" w:eastAsia="仿宋_GB2312"/>
          <w:sz w:val="28"/>
          <w:szCs w:val="28"/>
        </w:rPr>
        <w:t xml:space="preserve">    9、组织协调民族工作领域有关对外交流与合作，协助开展少数民族和民族地区对外宣传工作</w:t>
      </w:r>
      <w:r>
        <w:rPr>
          <w:rFonts w:hint="eastAsia" w:ascii="仿宋_GB2312" w:hAnsi="宋体" w:eastAsia="仿宋_GB2312"/>
          <w:sz w:val="28"/>
          <w:szCs w:val="28"/>
        </w:rPr>
        <w:br w:type="textWrapping"/>
      </w:r>
      <w:r>
        <w:rPr>
          <w:rFonts w:hint="eastAsia" w:ascii="仿宋_GB2312" w:hAnsi="宋体" w:eastAsia="仿宋_GB2312"/>
          <w:sz w:val="28"/>
          <w:szCs w:val="28"/>
        </w:rPr>
        <w:t xml:space="preserve">   10、组织对全县少数民族人状况、妇女儿童状况和散杂居少数民族情况的调查研究，配合有关部门做好相关事宜。</w:t>
      </w:r>
      <w:r>
        <w:rPr>
          <w:rFonts w:hint="eastAsia" w:ascii="仿宋_GB2312" w:hAnsi="宋体" w:eastAsia="仿宋_GB2312"/>
          <w:sz w:val="28"/>
          <w:szCs w:val="28"/>
        </w:rPr>
        <w:br w:type="textWrapping"/>
      </w:r>
      <w:r>
        <w:rPr>
          <w:rFonts w:hint="eastAsia" w:ascii="仿宋_GB2312" w:hAnsi="宋体" w:eastAsia="仿宋_GB2312"/>
          <w:sz w:val="28"/>
          <w:szCs w:val="28"/>
        </w:rPr>
        <w:t xml:space="preserve">    11、 对县级有关部门和各乡、镇、居委会民族工作进行业务指导，加强同民族乡的联系。</w:t>
      </w:r>
      <w:r>
        <w:rPr>
          <w:rFonts w:hint="eastAsia" w:ascii="仿宋_GB2312" w:hAnsi="宋体" w:eastAsia="仿宋_GB2312"/>
          <w:sz w:val="28"/>
          <w:szCs w:val="28"/>
        </w:rPr>
        <w:br w:type="textWrapping"/>
      </w:r>
      <w:r>
        <w:rPr>
          <w:rFonts w:hint="eastAsia" w:ascii="仿宋_GB2312" w:hAnsi="宋体" w:eastAsia="仿宋_GB2312"/>
          <w:sz w:val="28"/>
          <w:szCs w:val="28"/>
        </w:rPr>
        <w:t xml:space="preserve">    12、承办县委、县政府交办的其他事项。 </w:t>
      </w:r>
      <w:r>
        <w:rPr>
          <w:rFonts w:hint="eastAsia" w:ascii="仿宋_GB2312" w:hAnsi="宋体" w:eastAsia="仿宋_GB2312"/>
          <w:sz w:val="28"/>
          <w:szCs w:val="28"/>
        </w:rPr>
        <w:br w:type="textWrapping"/>
      </w:r>
      <w:r>
        <w:rPr>
          <w:rFonts w:hint="eastAsia" w:ascii="仿宋_GB2312" w:hAnsi="宋体" w:eastAsia="仿宋_GB2312"/>
          <w:b/>
          <w:sz w:val="28"/>
          <w:szCs w:val="28"/>
        </w:rPr>
        <w:t>二、机构设置</w:t>
      </w:r>
      <w:bookmarkEnd w:id="21"/>
      <w:bookmarkEnd w:id="22"/>
      <w:bookmarkEnd w:id="23"/>
      <w:bookmarkEnd w:id="24"/>
    </w:p>
    <w:p w14:paraId="59CCDC36">
      <w:pPr>
        <w:ind w:firstLine="560" w:firstLineChars="200"/>
        <w:rPr>
          <w:rFonts w:ascii="仿宋_GB2312" w:hAnsi="宋体" w:eastAsia="仿宋_GB2312"/>
          <w:sz w:val="28"/>
          <w:szCs w:val="28"/>
        </w:rPr>
      </w:pPr>
      <w:bookmarkStart w:id="25" w:name="_Toc15378450"/>
      <w:bookmarkStart w:id="26" w:name="_Toc15306277"/>
      <w:bookmarkStart w:id="27" w:name="_Toc15377203"/>
      <w:bookmarkStart w:id="28" w:name="_Toc15377434"/>
      <w:r>
        <w:rPr>
          <w:rFonts w:hint="eastAsia" w:ascii="仿宋_GB2312" w:hAnsi="宋体" w:eastAsia="仿宋_GB2312"/>
          <w:sz w:val="28"/>
          <w:szCs w:val="28"/>
        </w:rPr>
        <w:t>根据上述职责，松潘县民族宗教局设6个内设机构：</w:t>
      </w:r>
    </w:p>
    <w:bookmarkEnd w:id="25"/>
    <w:bookmarkEnd w:id="26"/>
    <w:bookmarkEnd w:id="27"/>
    <w:bookmarkEnd w:id="28"/>
    <w:p w14:paraId="2328E986">
      <w:pPr>
        <w:ind w:firstLine="560" w:firstLineChars="200"/>
        <w:rPr>
          <w:rFonts w:ascii="仿宋_GB2312" w:hAnsi="宋体" w:eastAsia="仿宋_GB2312"/>
          <w:sz w:val="28"/>
          <w:szCs w:val="28"/>
        </w:rPr>
      </w:pPr>
      <w:r>
        <w:rPr>
          <w:rFonts w:hint="eastAsia" w:ascii="仿宋_GB2312" w:hAnsi="宋体" w:eastAsia="仿宋_GB2312"/>
          <w:sz w:val="28"/>
          <w:szCs w:val="28"/>
        </w:rPr>
        <w:t>1.办公室:负责内外联络和综合协调工作，办公室日常工作。</w:t>
      </w:r>
      <w:r>
        <w:rPr>
          <w:rFonts w:hint="eastAsia" w:ascii="仿宋_GB2312" w:hAnsi="宋体" w:eastAsia="仿宋_GB2312"/>
          <w:sz w:val="28"/>
          <w:szCs w:val="28"/>
        </w:rPr>
        <w:br w:type="textWrapping"/>
      </w:r>
      <w:r>
        <w:rPr>
          <w:rFonts w:hint="eastAsia" w:ascii="仿宋_GB2312" w:hAnsi="宋体" w:eastAsia="仿宋_GB2312"/>
          <w:sz w:val="28"/>
          <w:szCs w:val="28"/>
        </w:rPr>
        <w:t xml:space="preserve">    2、藏传佛教事务管理股:负责掌握藏传佛教基本情况，管理我县藏传佛教事务工作。</w:t>
      </w:r>
      <w:r>
        <w:rPr>
          <w:rFonts w:hint="eastAsia" w:ascii="仿宋_GB2312" w:hAnsi="宋体" w:eastAsia="仿宋_GB2312"/>
          <w:sz w:val="28"/>
          <w:szCs w:val="28"/>
        </w:rPr>
        <w:br w:type="textWrapping"/>
      </w:r>
      <w:r>
        <w:rPr>
          <w:rFonts w:hint="eastAsia" w:ascii="仿宋_GB2312" w:hAnsi="宋体" w:eastAsia="仿宋_GB2312"/>
          <w:sz w:val="28"/>
          <w:szCs w:val="28"/>
        </w:rPr>
        <w:t xml:space="preserve">    3、伊斯兰教事务管理股:负责掌握伊斯兰教基本情况，管理我县伊斯兰教事务工作。</w:t>
      </w:r>
      <w:r>
        <w:rPr>
          <w:rFonts w:hint="eastAsia" w:ascii="仿宋_GB2312" w:hAnsi="宋体" w:eastAsia="仿宋_GB2312"/>
          <w:sz w:val="28"/>
          <w:szCs w:val="28"/>
        </w:rPr>
        <w:br w:type="textWrapping"/>
      </w:r>
      <w:r>
        <w:rPr>
          <w:rFonts w:hint="eastAsia" w:ascii="仿宋_GB2312" w:hAnsi="宋体" w:eastAsia="仿宋_GB2312"/>
          <w:sz w:val="28"/>
          <w:szCs w:val="28"/>
        </w:rPr>
        <w:t xml:space="preserve">    4、政策法规股(行政执法大队):制定民族宗教方面的学习和宣传教育规划，组织、指导、检查民族宗教法律、法规和政策的学习宣传和贯彻实施;负责民族宗教法律、法规和政策的培训工作;承办民族宗教政策方面的文章、材料、书刊及音像制品的审阅和审核;贯彻执行我国民族宗教方面的对外方针、政策和法规，组织调研我县民族宗教状况，对影响社会稳定的重大问题提出意见和措施;检查民族宗教专项资金管理使用情况;协同有关部门处理涉外工作中民族宗教方面的问题。</w:t>
      </w:r>
      <w:r>
        <w:rPr>
          <w:rFonts w:hint="eastAsia" w:ascii="仿宋_GB2312" w:hAnsi="宋体" w:eastAsia="仿宋_GB2312"/>
          <w:sz w:val="28"/>
          <w:szCs w:val="28"/>
        </w:rPr>
        <w:br w:type="textWrapping"/>
      </w:r>
      <w:r>
        <w:rPr>
          <w:rFonts w:hint="eastAsia" w:ascii="仿宋_GB2312" w:hAnsi="宋体" w:eastAsia="仿宋_GB2312"/>
          <w:sz w:val="28"/>
          <w:szCs w:val="28"/>
        </w:rPr>
        <w:t xml:space="preserve">    5、民族事务管理股:处理相关民族事务，指导、检查民族政策的落实情况，协调处理维护少数民族合法权益相关事务，加强民族团结进步教育，加强民族乡的建设。负责少数民族发展资金和机动资金的使用和监督管理。</w:t>
      </w:r>
      <w:r>
        <w:rPr>
          <w:rFonts w:hint="eastAsia" w:ascii="仿宋_GB2312" w:hAnsi="宋体" w:eastAsia="仿宋_GB2312"/>
          <w:sz w:val="28"/>
          <w:szCs w:val="28"/>
        </w:rPr>
        <w:br w:type="textWrapping"/>
      </w:r>
      <w:r>
        <w:rPr>
          <w:rFonts w:hint="eastAsia" w:ascii="仿宋_GB2312" w:hAnsi="宋体" w:eastAsia="仿宋_GB2312"/>
          <w:sz w:val="28"/>
          <w:szCs w:val="28"/>
        </w:rPr>
        <w:t xml:space="preserve">    6、两项资金管理股:负责编制全县两项资金项目的规划与年度计划，监督管理两项资金的使用和项目实施情况。</w:t>
      </w:r>
    </w:p>
    <w:p w14:paraId="73936E5A">
      <w:pPr>
        <w:widowControl/>
        <w:jc w:val="left"/>
        <w:rPr>
          <w:rFonts w:ascii="仿宋" w:hAnsi="仿宋" w:eastAsia="仿宋"/>
          <w:color w:val="000000"/>
          <w:kern w:val="0"/>
          <w:sz w:val="32"/>
          <w:szCs w:val="32"/>
        </w:rPr>
      </w:pPr>
      <w:r>
        <w:rPr>
          <w:rFonts w:ascii="仿宋" w:hAnsi="仿宋" w:eastAsia="仿宋"/>
          <w:color w:val="000000"/>
          <w:sz w:val="32"/>
          <w:szCs w:val="32"/>
        </w:rPr>
        <w:br w:type="page"/>
      </w:r>
    </w:p>
    <w:p w14:paraId="79FD6721">
      <w:pPr>
        <w:pStyle w:val="4"/>
        <w:ind w:right="440"/>
        <w:jc w:val="right"/>
        <w:rPr>
          <w:rStyle w:val="27"/>
          <w:rFonts w:ascii="黑体" w:hAnsi="黑体" w:eastAsia="黑体"/>
          <w:b w:val="0"/>
          <w:bCs w:val="0"/>
        </w:rPr>
      </w:pPr>
      <w:bookmarkStart w:id="29" w:name="_Toc15377204"/>
      <w:bookmarkStart w:id="30" w:name="_Toc15396602"/>
      <w:bookmarkStart w:id="31" w:name="_Toc8043"/>
      <w:bookmarkStart w:id="32" w:name="_Toc14583"/>
      <w:r>
        <w:rPr>
          <w:rFonts w:hint="eastAsia" w:ascii="黑体" w:hAnsi="黑体" w:eastAsia="黑体"/>
          <w:b w:val="0"/>
          <w:color w:val="000000"/>
        </w:rPr>
        <w:t>第二部分</w:t>
      </w:r>
      <w:r>
        <w:rPr>
          <w:rFonts w:hint="eastAsia" w:ascii="黑体" w:hAnsi="黑体" w:eastAsia="黑体"/>
          <w:color w:val="000000"/>
        </w:rPr>
        <w:t xml:space="preserve"> </w:t>
      </w:r>
      <w:r>
        <w:rPr>
          <w:rStyle w:val="27"/>
          <w:rFonts w:hint="eastAsia" w:ascii="黑体" w:hAnsi="黑体" w:eastAsia="黑体"/>
          <w:b w:val="0"/>
          <w:bCs w:val="0"/>
        </w:rPr>
        <w:t>2020年度部门决算情况说明</w:t>
      </w:r>
      <w:bookmarkEnd w:id="29"/>
      <w:bookmarkEnd w:id="30"/>
      <w:bookmarkEnd w:id="31"/>
      <w:bookmarkEnd w:id="32"/>
    </w:p>
    <w:p w14:paraId="096A67AF"/>
    <w:p w14:paraId="52186071">
      <w:pPr>
        <w:pStyle w:val="26"/>
        <w:numPr>
          <w:ilvl w:val="0"/>
          <w:numId w:val="1"/>
        </w:numPr>
        <w:spacing w:line="600" w:lineRule="exact"/>
        <w:ind w:firstLineChars="0"/>
        <w:outlineLvl w:val="1"/>
        <w:rPr>
          <w:rStyle w:val="28"/>
          <w:rFonts w:ascii="黑体" w:hAnsi="黑体" w:eastAsia="黑体"/>
          <w:b w:val="0"/>
        </w:rPr>
      </w:pPr>
      <w:bookmarkStart w:id="33" w:name="_Toc3560"/>
      <w:bookmarkStart w:id="34" w:name="_Toc15396603"/>
      <w:bookmarkStart w:id="35" w:name="_Toc15377205"/>
      <w:bookmarkStart w:id="36" w:name="_Toc397"/>
      <w:r>
        <w:rPr>
          <w:rFonts w:hint="eastAsia" w:ascii="黑体" w:hAnsi="黑体" w:eastAsia="黑体"/>
          <w:color w:val="000000"/>
          <w:sz w:val="32"/>
          <w:szCs w:val="32"/>
        </w:rPr>
        <w:t>收</w:t>
      </w:r>
      <w:r>
        <w:rPr>
          <w:rStyle w:val="28"/>
          <w:rFonts w:hint="eastAsia" w:ascii="黑体" w:hAnsi="黑体" w:eastAsia="黑体"/>
          <w:b w:val="0"/>
        </w:rPr>
        <w:t>入支出决算总体情况说明</w:t>
      </w:r>
      <w:bookmarkEnd w:id="33"/>
      <w:bookmarkEnd w:id="34"/>
      <w:bookmarkEnd w:id="35"/>
      <w:bookmarkEnd w:id="36"/>
    </w:p>
    <w:p w14:paraId="0C38ADEA">
      <w:pPr>
        <w:pStyle w:val="26"/>
        <w:spacing w:line="600" w:lineRule="exact"/>
        <w:ind w:firstLine="560"/>
        <w:outlineLvl w:val="1"/>
        <w:rPr>
          <w:rStyle w:val="28"/>
          <w:rFonts w:ascii="黑体" w:hAnsi="黑体" w:eastAsia="黑体"/>
          <w:b w:val="0"/>
        </w:rPr>
      </w:pPr>
      <w:bookmarkStart w:id="37" w:name="_Toc22197"/>
      <w:bookmarkStart w:id="38" w:name="_Toc15396604"/>
      <w:bookmarkStart w:id="39" w:name="_Toc15377206"/>
      <w:bookmarkStart w:id="40" w:name="_Toc23270"/>
      <w:r>
        <w:rPr>
          <w:rFonts w:hint="eastAsia" w:ascii="仿宋_GB2312" w:hAnsi="宋体" w:eastAsia="仿宋_GB2312"/>
          <w:color w:val="000000"/>
          <w:sz w:val="28"/>
          <w:szCs w:val="28"/>
        </w:rPr>
        <w:t xml:space="preserve">2020年松潘县民宗局本年收入合计1949.36万元，其中：财政拨款收入1949.36万元，占100%； </w:t>
      </w:r>
      <w:r>
        <w:rPr>
          <w:rFonts w:hint="eastAsia" w:ascii="仿宋_GB2312" w:hAnsi="宋体" w:eastAsia="仿宋_GB2312"/>
          <w:color w:val="000000"/>
          <w:sz w:val="28"/>
          <w:szCs w:val="28"/>
        </w:rPr>
        <w:br w:type="textWrapping"/>
      </w:r>
      <w:r>
        <w:rPr>
          <w:rFonts w:hint="eastAsia" w:ascii="仿宋_GB2312" w:hAnsi="宋体" w:eastAsia="仿宋_GB2312"/>
          <w:color w:val="000000"/>
          <w:sz w:val="28"/>
          <w:szCs w:val="28"/>
        </w:rPr>
        <w:t>　　2020年松潘县民宗局本年支出合计2099.41万元，其中：基本支出326.85万元，占16%；项目支出1772.57万元，占84%。</w:t>
      </w:r>
      <w:r>
        <w:rPr>
          <w:rFonts w:hint="eastAsia" w:ascii="仿宋_GB2312" w:hAnsi="宋体" w:eastAsia="仿宋_GB2312"/>
          <w:color w:val="000000"/>
          <w:sz w:val="28"/>
          <w:szCs w:val="28"/>
        </w:rPr>
        <w:br w:type="textWrapping"/>
      </w:r>
      <w:r>
        <w:rPr>
          <w:rFonts w:hint="eastAsia" w:ascii="仿宋_GB2312" w:hAnsi="宋体" w:eastAsia="仿宋_GB2312"/>
          <w:color w:val="000000"/>
          <w:sz w:val="28"/>
          <w:szCs w:val="28"/>
        </w:rPr>
        <w:t xml:space="preserve">    </w:t>
      </w:r>
      <w:r>
        <w:rPr>
          <w:rStyle w:val="28"/>
          <w:rFonts w:hint="eastAsia" w:ascii="黑体" w:hAnsi="黑体" w:eastAsia="黑体"/>
          <w:b w:val="0"/>
        </w:rPr>
        <w:t>二、收入决算情况说明</w:t>
      </w:r>
      <w:bookmarkEnd w:id="37"/>
      <w:bookmarkEnd w:id="38"/>
      <w:bookmarkEnd w:id="39"/>
      <w:bookmarkEnd w:id="40"/>
    </w:p>
    <w:p w14:paraId="75749BD5">
      <w:pPr>
        <w:widowControl/>
        <w:spacing w:line="576" w:lineRule="exact"/>
        <w:ind w:firstLine="560" w:firstLineChars="200"/>
        <w:jc w:val="left"/>
        <w:rPr>
          <w:rFonts w:ascii="仿宋_GB2312" w:hAnsi="宋体" w:eastAsia="仿宋_GB2312"/>
          <w:color w:val="000000"/>
          <w:sz w:val="28"/>
          <w:szCs w:val="28"/>
        </w:rPr>
      </w:pPr>
      <w:bookmarkStart w:id="41" w:name="_Toc15377207"/>
      <w:bookmarkStart w:id="42" w:name="_Toc25242"/>
      <w:bookmarkStart w:id="43" w:name="_Toc18527"/>
      <w:bookmarkStart w:id="44" w:name="_Toc15396605"/>
      <w:r>
        <w:rPr>
          <w:rFonts w:hint="eastAsia" w:ascii="仿宋_GB2312" w:hAnsi="宋体" w:eastAsia="仿宋_GB2312"/>
          <w:color w:val="000000"/>
          <w:sz w:val="28"/>
          <w:szCs w:val="28"/>
        </w:rPr>
        <w:t>松潘县民宗局2020年度财政拨款收入总决算1949.36万元，2019年度财政拨款收支总决算2699.56万元。与2019年相比，财政拨款收入减少750.20万元，减少28%。</w:t>
      </w:r>
    </w:p>
    <w:p w14:paraId="158B3291">
      <w:pPr>
        <w:pStyle w:val="26"/>
        <w:spacing w:line="600" w:lineRule="exact"/>
        <w:ind w:left="640" w:firstLine="0" w:firstLineChars="0"/>
        <w:outlineLvl w:val="1"/>
        <w:rPr>
          <w:rStyle w:val="28"/>
          <w:rFonts w:ascii="黑体" w:hAnsi="黑体" w:eastAsia="黑体"/>
          <w:b w:val="0"/>
        </w:rPr>
      </w:pPr>
      <w:r>
        <w:rPr>
          <w:rFonts w:hint="eastAsia" w:ascii="黑体" w:hAnsi="黑体" w:eastAsia="黑体"/>
          <w:color w:val="000000"/>
          <w:sz w:val="32"/>
          <w:szCs w:val="32"/>
        </w:rPr>
        <w:t>三、支</w:t>
      </w:r>
      <w:r>
        <w:rPr>
          <w:rStyle w:val="28"/>
          <w:rFonts w:hint="eastAsia" w:ascii="黑体" w:hAnsi="黑体" w:eastAsia="黑体"/>
          <w:b w:val="0"/>
        </w:rPr>
        <w:t>出决算情况说明</w:t>
      </w:r>
      <w:bookmarkEnd w:id="41"/>
      <w:bookmarkEnd w:id="42"/>
      <w:bookmarkEnd w:id="43"/>
      <w:bookmarkEnd w:id="44"/>
    </w:p>
    <w:p w14:paraId="181FA5A4">
      <w:pPr>
        <w:pStyle w:val="26"/>
        <w:spacing w:line="600" w:lineRule="exact"/>
        <w:ind w:firstLine="560"/>
        <w:outlineLvl w:val="1"/>
        <w:rPr>
          <w:rFonts w:ascii="仿宋_GB2312" w:eastAsia="仿宋_GB2312"/>
          <w:color w:val="FF0000"/>
          <w:sz w:val="32"/>
          <w:szCs w:val="32"/>
        </w:rPr>
      </w:pPr>
      <w:bookmarkStart w:id="45" w:name="_Toc21584"/>
      <w:bookmarkStart w:id="46" w:name="_Toc27505"/>
      <w:r>
        <w:rPr>
          <w:rFonts w:hint="eastAsia" w:ascii="仿宋_GB2312" w:hAnsi="宋体" w:eastAsia="仿宋_GB2312"/>
          <w:color w:val="000000"/>
          <w:sz w:val="28"/>
          <w:szCs w:val="28"/>
        </w:rPr>
        <w:t>2020年松潘县民族宗教局财政拨款本年支出合计</w:t>
      </w:r>
      <w:r>
        <w:rPr>
          <w:rFonts w:hint="eastAsia" w:ascii="仿宋_GB2312" w:hAnsi="宋体" w:eastAsia="仿宋_GB2312"/>
          <w:sz w:val="28"/>
          <w:szCs w:val="28"/>
        </w:rPr>
        <w:t>2099.41</w:t>
      </w:r>
      <w:r>
        <w:rPr>
          <w:rFonts w:hint="eastAsia" w:ascii="仿宋_GB2312" w:hAnsi="宋体" w:eastAsia="仿宋_GB2312"/>
          <w:color w:val="000000"/>
          <w:sz w:val="28"/>
          <w:szCs w:val="28"/>
        </w:rPr>
        <w:t>万元，松潘县民族宗教局2020年度财政拨款支出总决算与2019年相比，支出增加了</w:t>
      </w:r>
      <w:r>
        <w:rPr>
          <w:rFonts w:hint="eastAsia" w:ascii="仿宋_GB2312" w:hAnsi="仿宋_GB2312" w:eastAsia="仿宋_GB2312" w:cs="仿宋_GB2312"/>
          <w:color w:val="000000"/>
          <w:sz w:val="32"/>
          <w:szCs w:val="32"/>
        </w:rPr>
        <w:t>1051.11</w:t>
      </w:r>
      <w:r>
        <w:rPr>
          <w:rFonts w:hint="eastAsia" w:ascii="仿宋_GB2312" w:hAnsi="宋体" w:eastAsia="仿宋_GB2312"/>
          <w:color w:val="000000"/>
          <w:sz w:val="28"/>
          <w:szCs w:val="28"/>
        </w:rPr>
        <w:t>万元，同比增长100</w:t>
      </w:r>
      <w:r>
        <w:rPr>
          <w:rFonts w:ascii="仿宋_GB2312" w:hAnsi="宋体" w:eastAsia="仿宋_GB2312"/>
          <w:color w:val="000000"/>
          <w:sz w:val="28"/>
          <w:szCs w:val="28"/>
        </w:rPr>
        <w:t>%</w:t>
      </w:r>
      <w:r>
        <w:rPr>
          <w:rFonts w:hint="eastAsia" w:ascii="仿宋_GB2312" w:hAnsi="宋体" w:eastAsia="仿宋_GB2312"/>
          <w:color w:val="000000"/>
          <w:sz w:val="28"/>
          <w:szCs w:val="28"/>
        </w:rPr>
        <w:t>。</w:t>
      </w:r>
      <w:bookmarkEnd w:id="45"/>
      <w:bookmarkEnd w:id="46"/>
    </w:p>
    <w:p w14:paraId="11224A90">
      <w:pPr>
        <w:spacing w:line="600" w:lineRule="exact"/>
        <w:ind w:firstLine="640" w:firstLineChars="200"/>
        <w:outlineLvl w:val="1"/>
        <w:rPr>
          <w:rStyle w:val="28"/>
          <w:rFonts w:ascii="黑体" w:hAnsi="黑体" w:eastAsia="黑体"/>
          <w:b w:val="0"/>
        </w:rPr>
      </w:pPr>
      <w:bookmarkStart w:id="47" w:name="_Toc15396606"/>
      <w:bookmarkStart w:id="48" w:name="_Toc6837"/>
      <w:bookmarkStart w:id="49" w:name="_Toc15377208"/>
      <w:bookmarkStart w:id="50" w:name="_Toc7455"/>
      <w:r>
        <w:rPr>
          <w:rFonts w:hint="eastAsia" w:ascii="黑体" w:hAnsi="黑体" w:eastAsia="黑体"/>
          <w:color w:val="000000"/>
          <w:sz w:val="32"/>
          <w:szCs w:val="32"/>
        </w:rPr>
        <w:t>四、财</w:t>
      </w:r>
      <w:r>
        <w:rPr>
          <w:rStyle w:val="28"/>
          <w:rFonts w:hint="eastAsia" w:ascii="黑体" w:hAnsi="黑体" w:eastAsia="黑体"/>
          <w:b w:val="0"/>
        </w:rPr>
        <w:t>政拨款收入支出决算总体情况说明</w:t>
      </w:r>
      <w:bookmarkEnd w:id="47"/>
      <w:bookmarkEnd w:id="48"/>
      <w:bookmarkEnd w:id="49"/>
      <w:bookmarkEnd w:id="50"/>
    </w:p>
    <w:p w14:paraId="6B9342D0">
      <w:pPr>
        <w:spacing w:line="600" w:lineRule="exact"/>
        <w:ind w:firstLine="640" w:firstLineChars="200"/>
        <w:outlineLvl w:val="1"/>
        <w:rPr>
          <w:rFonts w:ascii="仿宋_GB2312" w:hAnsi="宋体" w:eastAsia="仿宋_GB2312"/>
          <w:color w:val="000000"/>
          <w:sz w:val="28"/>
          <w:szCs w:val="28"/>
        </w:rPr>
      </w:pPr>
      <w:bookmarkStart w:id="51" w:name="_Toc15037"/>
      <w:bookmarkStart w:id="52" w:name="_Toc15396607"/>
      <w:bookmarkStart w:id="53" w:name="_Toc6589"/>
      <w:bookmarkStart w:id="54" w:name="_Toc15377209"/>
      <w:r>
        <w:rPr>
          <w:rFonts w:hint="eastAsia" w:ascii="仿宋_GB2312" w:hAnsi="仿宋_GB2312" w:eastAsia="仿宋_GB2312" w:cs="仿宋_GB2312"/>
          <w:color w:val="000000"/>
          <w:sz w:val="32"/>
          <w:szCs w:val="32"/>
        </w:rPr>
        <w:t>　</w:t>
      </w:r>
      <w:r>
        <w:rPr>
          <w:rFonts w:hint="eastAsia" w:ascii="仿宋_GB2312" w:hAnsi="宋体" w:eastAsia="仿宋_GB2312"/>
          <w:color w:val="000000"/>
          <w:sz w:val="28"/>
          <w:szCs w:val="28"/>
        </w:rPr>
        <w:t>松潘县民宗局2020年度一般公共预算财政拨款支出2099.41万元，2019年度一般公共预算财政拨款支出1048.30万元，与2019年相比，一般公共预算财政拨款支出多出1051.11万元，增长100%。</w:t>
      </w:r>
    </w:p>
    <w:p w14:paraId="0B7710DD">
      <w:pPr>
        <w:spacing w:line="600" w:lineRule="exact"/>
        <w:ind w:firstLine="640" w:firstLineChars="200"/>
        <w:outlineLvl w:val="1"/>
        <w:rPr>
          <w:rStyle w:val="28"/>
          <w:rFonts w:ascii="黑体" w:hAnsi="黑体" w:eastAsia="黑体"/>
          <w:b w:val="0"/>
        </w:rPr>
      </w:pPr>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8"/>
          <w:rFonts w:hint="eastAsia" w:ascii="黑体" w:hAnsi="黑体" w:eastAsia="黑体"/>
          <w:b w:val="0"/>
        </w:rPr>
        <w:t>般公共预算财政拨款支出决算情况说明</w:t>
      </w:r>
      <w:bookmarkEnd w:id="51"/>
      <w:bookmarkEnd w:id="52"/>
      <w:bookmarkEnd w:id="53"/>
      <w:bookmarkEnd w:id="54"/>
    </w:p>
    <w:p w14:paraId="71CEA5F4">
      <w:pPr>
        <w:spacing w:line="600" w:lineRule="exact"/>
        <w:ind w:firstLine="643" w:firstLineChars="200"/>
        <w:outlineLvl w:val="2"/>
        <w:rPr>
          <w:rFonts w:ascii="仿宋" w:hAnsi="仿宋" w:eastAsia="仿宋"/>
          <w:b/>
          <w:color w:val="000000"/>
          <w:sz w:val="32"/>
          <w:szCs w:val="32"/>
        </w:rPr>
      </w:pPr>
      <w:bookmarkStart w:id="55" w:name="_Toc15377210"/>
      <w:r>
        <w:rPr>
          <w:rFonts w:hint="eastAsia" w:ascii="仿宋" w:hAnsi="仿宋" w:eastAsia="仿宋"/>
          <w:b/>
          <w:color w:val="000000"/>
          <w:sz w:val="32"/>
          <w:szCs w:val="32"/>
        </w:rPr>
        <w:t>（一）一般公共预算财政拨款支出决算总体情况</w:t>
      </w:r>
      <w:bookmarkEnd w:id="55"/>
    </w:p>
    <w:p w14:paraId="1FC18046">
      <w:pPr>
        <w:rPr>
          <w:rFonts w:ascii="仿宋_GB2312" w:hAnsi="宋体" w:eastAsia="仿宋_GB2312"/>
          <w:color w:val="000000"/>
          <w:sz w:val="28"/>
          <w:szCs w:val="28"/>
        </w:rPr>
      </w:pPr>
      <w:r>
        <w:rPr>
          <w:rFonts w:hint="eastAsia" w:ascii="仿宋_GB2312" w:hAnsi="宋体" w:eastAsia="仿宋_GB2312"/>
          <w:color w:val="000000"/>
          <w:sz w:val="28"/>
          <w:szCs w:val="28"/>
        </w:rPr>
        <w:t xml:space="preserve">   松潘县民宗局2020年度一般公共预算财政拨款支出2099.41万元，2019年度一般公共预算财政拨款支出1048.30万元，与2019年相比，一般公共预算财政拨款支出多出1051.11万元，增长100%。 　</w:t>
      </w:r>
    </w:p>
    <w:p w14:paraId="5D62B001">
      <w:pPr>
        <w:spacing w:line="600" w:lineRule="exact"/>
        <w:ind w:firstLine="643" w:firstLineChars="200"/>
        <w:outlineLvl w:val="2"/>
        <w:rPr>
          <w:rFonts w:ascii="仿宋" w:hAnsi="仿宋" w:eastAsia="仿宋"/>
          <w:b/>
          <w:color w:val="000000"/>
          <w:sz w:val="32"/>
          <w:szCs w:val="32"/>
        </w:rPr>
      </w:pPr>
      <w:bookmarkStart w:id="56" w:name="_Toc15377211"/>
      <w:r>
        <w:rPr>
          <w:rFonts w:hint="eastAsia" w:ascii="仿宋" w:hAnsi="仿宋" w:eastAsia="仿宋"/>
          <w:b/>
          <w:color w:val="000000"/>
          <w:sz w:val="32"/>
          <w:szCs w:val="32"/>
        </w:rPr>
        <w:t>（二）一般公共预算财政拨款支出决算结构情况</w:t>
      </w:r>
      <w:bookmarkEnd w:id="56"/>
    </w:p>
    <w:p w14:paraId="2E070782">
      <w:pPr>
        <w:ind w:firstLine="560" w:firstLineChars="200"/>
        <w:rPr>
          <w:rFonts w:ascii="仿宋_GB2312" w:hAnsi="宋体" w:eastAsia="仿宋_GB2312"/>
          <w:color w:val="000000"/>
          <w:sz w:val="28"/>
          <w:szCs w:val="28"/>
        </w:rPr>
      </w:pPr>
      <w:bookmarkStart w:id="57" w:name="_Toc15377212"/>
      <w:r>
        <w:rPr>
          <w:rFonts w:hint="eastAsia" w:ascii="仿宋_GB2312" w:hAnsi="宋体" w:eastAsia="仿宋_GB2312"/>
          <w:color w:val="000000"/>
          <w:sz w:val="28"/>
          <w:szCs w:val="28"/>
        </w:rPr>
        <w:t>松潘县民宗局2020年一般公共预算财政拨款支出2099.41万元，主要用于以下方面:一般公共服务支出1922.55万元，占91.6%；社会保障和就业支出28.00万元，占1.3%；医疗卫生支出17.78万元，占0.8%；住房保障支出23.94万元，占1.2%；农林水支出：107.14万元，占5.1%。</w:t>
      </w:r>
    </w:p>
    <w:p w14:paraId="5EB7C457">
      <w:pPr>
        <w:ind w:firstLine="643" w:firstLineChars="200"/>
        <w:rPr>
          <w:rFonts w:ascii="仿宋" w:hAnsi="仿宋" w:eastAsia="仿宋"/>
          <w:b/>
          <w:color w:val="000000"/>
          <w:sz w:val="32"/>
          <w:szCs w:val="32"/>
        </w:rPr>
      </w:pPr>
      <w:r>
        <w:rPr>
          <w:rFonts w:hint="eastAsia" w:ascii="仿宋" w:hAnsi="仿宋" w:eastAsia="仿宋"/>
          <w:b/>
          <w:color w:val="000000"/>
          <w:sz w:val="32"/>
          <w:szCs w:val="32"/>
        </w:rPr>
        <w:t>（三）一般公共预算财政拨款支出决算具体情况</w:t>
      </w:r>
      <w:bookmarkEnd w:id="57"/>
    </w:p>
    <w:p w14:paraId="4AF42DB3">
      <w:pPr>
        <w:rPr>
          <w:rFonts w:ascii="仿宋_GB2312" w:hAnsi="宋体" w:eastAsia="仿宋_GB2312"/>
          <w:color w:val="000000"/>
          <w:sz w:val="28"/>
          <w:szCs w:val="28"/>
        </w:rPr>
      </w:pPr>
      <w:bookmarkStart w:id="58" w:name="_Toc2041"/>
      <w:bookmarkStart w:id="59" w:name="_Toc15377214"/>
      <w:bookmarkStart w:id="60" w:name="_Toc28567"/>
      <w:bookmarkStart w:id="61" w:name="_Toc15396608"/>
      <w:r>
        <w:rPr>
          <w:rFonts w:hint="eastAsia" w:ascii="仿宋_GB2312" w:hAnsi="仿宋_GB2312" w:eastAsia="仿宋_GB2312" w:cs="仿宋_GB2312"/>
          <w:color w:val="4E4342"/>
          <w:sz w:val="32"/>
          <w:szCs w:val="32"/>
        </w:rPr>
        <w:t xml:space="preserve">  </w:t>
      </w:r>
      <w:r>
        <w:rPr>
          <w:rFonts w:hint="eastAsia" w:ascii="仿宋_GB2312" w:hAnsi="宋体" w:eastAsia="仿宋_GB2312"/>
          <w:color w:val="000000"/>
          <w:sz w:val="28"/>
          <w:szCs w:val="28"/>
        </w:rPr>
        <w:t xml:space="preserve">  1、一般公共服务</w:t>
      </w:r>
    </w:p>
    <w:p w14:paraId="1489FBAE">
      <w:pPr>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2012301行政运行2020年决算数为257.13万元，完成预算100%；2012399其他民族事务支出181.85万元，完成2020年预算数100%；22013404宗教事务支出141.09万元，完成预算数100%；2019999其他一般公共服务支出1342.48万元,完成预算100%。</w:t>
      </w:r>
    </w:p>
    <w:p w14:paraId="0C88F8E9">
      <w:pPr>
        <w:rPr>
          <w:rFonts w:ascii="仿宋_GB2312" w:hAnsi="宋体" w:eastAsia="仿宋_GB2312"/>
          <w:color w:val="000000"/>
          <w:sz w:val="28"/>
          <w:szCs w:val="28"/>
        </w:rPr>
      </w:pPr>
      <w:r>
        <w:rPr>
          <w:rFonts w:hint="eastAsia" w:ascii="仿宋_GB2312" w:hAnsi="宋体" w:eastAsia="仿宋_GB2312"/>
          <w:color w:val="000000"/>
          <w:sz w:val="28"/>
          <w:szCs w:val="28"/>
        </w:rPr>
        <w:t>2、社会保障和就业</w:t>
      </w:r>
    </w:p>
    <w:p w14:paraId="7DC1CD0B">
      <w:pPr>
        <w:rPr>
          <w:rFonts w:ascii="仿宋_GB2312" w:hAnsi="宋体" w:eastAsia="仿宋_GB2312"/>
          <w:color w:val="000000"/>
          <w:sz w:val="28"/>
          <w:szCs w:val="28"/>
        </w:rPr>
      </w:pPr>
      <w:r>
        <w:rPr>
          <w:rFonts w:hint="eastAsia" w:ascii="仿宋_GB2312" w:hAnsi="宋体" w:eastAsia="仿宋_GB2312"/>
          <w:color w:val="000000"/>
          <w:sz w:val="28"/>
          <w:szCs w:val="28"/>
        </w:rPr>
        <w:t>2080505机关事业单位基本养老保险缴费支出决算数为24.88万元,完成预算100%。2080506机关事业单位职业年金缴费支出决算数为3.12万元，完成预算100%</w:t>
      </w:r>
    </w:p>
    <w:p w14:paraId="0EE42D5D">
      <w:pPr>
        <w:rPr>
          <w:rFonts w:ascii="仿宋_GB2312" w:hAnsi="宋体" w:eastAsia="仿宋_GB2312"/>
          <w:color w:val="000000"/>
          <w:sz w:val="28"/>
          <w:szCs w:val="28"/>
        </w:rPr>
      </w:pPr>
      <w:r>
        <w:rPr>
          <w:rFonts w:hint="eastAsia" w:ascii="仿宋_GB2312" w:hAnsi="宋体" w:eastAsia="仿宋_GB2312"/>
          <w:color w:val="000000"/>
          <w:sz w:val="28"/>
          <w:szCs w:val="28"/>
        </w:rPr>
        <w:t xml:space="preserve">　  3.医疗卫生与计划生育 </w:t>
      </w:r>
    </w:p>
    <w:p w14:paraId="62AD00C1">
      <w:pPr>
        <w:rPr>
          <w:rFonts w:ascii="仿宋_GB2312" w:hAnsi="宋体" w:eastAsia="仿宋_GB2312"/>
          <w:color w:val="000000"/>
          <w:sz w:val="28"/>
          <w:szCs w:val="28"/>
        </w:rPr>
      </w:pPr>
      <w:r>
        <w:rPr>
          <w:rFonts w:hint="eastAsia" w:ascii="仿宋_GB2312" w:hAnsi="宋体" w:eastAsia="仿宋_GB2312"/>
          <w:color w:val="000000"/>
          <w:sz w:val="28"/>
          <w:szCs w:val="28"/>
        </w:rPr>
        <w:t>　2101101行政单位医疗。2020年决算数为14.41万元，完成预算100%。 2101103公务员医疗补助，2020年决算为3.37万元，完成预算100%</w:t>
      </w:r>
    </w:p>
    <w:p w14:paraId="2202E041">
      <w:pPr>
        <w:rPr>
          <w:rFonts w:ascii="仿宋_GB2312" w:hAnsi="宋体" w:eastAsia="仿宋_GB2312"/>
          <w:color w:val="000000"/>
          <w:sz w:val="28"/>
          <w:szCs w:val="28"/>
        </w:rPr>
      </w:pPr>
      <w:r>
        <w:rPr>
          <w:rFonts w:hint="eastAsia" w:ascii="仿宋_GB2312" w:hAnsi="宋体" w:eastAsia="仿宋_GB2312"/>
          <w:color w:val="000000"/>
          <w:sz w:val="28"/>
          <w:szCs w:val="28"/>
        </w:rPr>
        <w:t xml:space="preserve">   4、住房保障支出 </w:t>
      </w:r>
    </w:p>
    <w:p w14:paraId="6361E5EB">
      <w:pPr>
        <w:rPr>
          <w:rFonts w:ascii="仿宋_GB2312" w:hAnsi="宋体" w:eastAsia="仿宋_GB2312"/>
          <w:color w:val="000000"/>
          <w:sz w:val="28"/>
          <w:szCs w:val="28"/>
        </w:rPr>
      </w:pPr>
      <w:r>
        <w:rPr>
          <w:rFonts w:hint="eastAsia" w:ascii="仿宋_GB2312" w:hAnsi="宋体" w:eastAsia="仿宋_GB2312"/>
          <w:color w:val="000000"/>
          <w:sz w:val="28"/>
          <w:szCs w:val="28"/>
        </w:rPr>
        <w:t xml:space="preserve">  2210201住房公积金2020年决算数为23.94万元，完成预算100%</w:t>
      </w:r>
    </w:p>
    <w:p w14:paraId="3DBE4D13">
      <w:pPr>
        <w:tabs>
          <w:tab w:val="right" w:pos="8306"/>
        </w:tabs>
        <w:spacing w:line="600" w:lineRule="exact"/>
        <w:ind w:firstLine="640"/>
        <w:outlineLvl w:val="1"/>
        <w:rPr>
          <w:rStyle w:val="28"/>
        </w:rPr>
      </w:pPr>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8"/>
          <w:rFonts w:hint="eastAsia" w:ascii="黑体" w:hAnsi="黑体" w:eastAsia="黑体"/>
          <w:b w:val="0"/>
        </w:rPr>
        <w:t>般公共预算财政拨款基本支出决算情况说明</w:t>
      </w:r>
      <w:bookmarkEnd w:id="58"/>
      <w:bookmarkEnd w:id="59"/>
      <w:bookmarkEnd w:id="60"/>
      <w:bookmarkEnd w:id="61"/>
      <w:r>
        <w:rPr>
          <w:rStyle w:val="28"/>
          <w:rFonts w:ascii="黑体" w:hAnsi="黑体" w:eastAsia="黑体"/>
          <w:b w:val="0"/>
        </w:rPr>
        <w:tab/>
      </w:r>
    </w:p>
    <w:p w14:paraId="489FB089">
      <w:pPr>
        <w:widowControl/>
        <w:shd w:val="clear" w:color="auto" w:fill="FFFFFF"/>
        <w:spacing w:line="576" w:lineRule="exact"/>
        <w:jc w:val="left"/>
        <w:rPr>
          <w:rFonts w:ascii="仿宋_GB2312" w:hAnsi="宋体" w:eastAsia="仿宋_GB2312"/>
          <w:color w:val="000000"/>
          <w:sz w:val="28"/>
          <w:szCs w:val="28"/>
        </w:rPr>
      </w:pPr>
      <w:bookmarkStart w:id="62" w:name="_Toc5489"/>
      <w:bookmarkStart w:id="63" w:name="_Toc15396609"/>
      <w:bookmarkStart w:id="64" w:name="_Toc344"/>
      <w:bookmarkStart w:id="65" w:name="_Toc15377215"/>
      <w:r>
        <w:rPr>
          <w:rFonts w:hint="eastAsia" w:ascii="仿宋_GB2312" w:hAnsi="仿宋_GB2312" w:eastAsia="仿宋_GB2312" w:cs="仿宋_GB2312"/>
          <w:color w:val="000000"/>
          <w:kern w:val="0"/>
          <w:sz w:val="32"/>
          <w:szCs w:val="32"/>
        </w:rPr>
        <w:t xml:space="preserve"> </w:t>
      </w:r>
      <w:r>
        <w:rPr>
          <w:rFonts w:hint="eastAsia" w:ascii="仿宋_GB2312" w:hAnsi="宋体" w:eastAsia="仿宋_GB2312"/>
          <w:color w:val="000000"/>
          <w:sz w:val="28"/>
          <w:szCs w:val="28"/>
        </w:rPr>
        <w:t xml:space="preserve"> 2020年部门决算基本支出决算总数326.84万元，其中：人员支出268.17万元，日常公用支出58.67万元，对个人和家庭的补助支出0万元。基本支出是用于保障民族宗教局行政机构、事业机构的正常运转的日常支出，包括基本工资、津贴补贴等人员经费以及办公费、印刷费、水电费等日常公用经费。    </w:t>
      </w:r>
    </w:p>
    <w:p w14:paraId="3144616B">
      <w:pPr>
        <w:spacing w:line="600" w:lineRule="exact"/>
        <w:ind w:firstLine="640"/>
        <w:outlineLvl w:val="1"/>
        <w:rPr>
          <w:rStyle w:val="28"/>
          <w:rFonts w:ascii="黑体" w:hAnsi="黑体" w:eastAsia="黑体"/>
          <w:b w:val="0"/>
        </w:rPr>
      </w:pPr>
      <w:r>
        <w:rPr>
          <w:rFonts w:hint="eastAsia" w:ascii="黑体" w:eastAsia="黑体"/>
          <w:color w:val="000000"/>
          <w:sz w:val="32"/>
          <w:szCs w:val="32"/>
        </w:rPr>
        <w:t>七、</w:t>
      </w:r>
      <w:r>
        <w:rPr>
          <w:rStyle w:val="28"/>
          <w:rFonts w:hint="eastAsia" w:ascii="黑体" w:hAnsi="黑体" w:eastAsia="黑体"/>
        </w:rPr>
        <w:t>“</w:t>
      </w:r>
      <w:r>
        <w:rPr>
          <w:rStyle w:val="28"/>
          <w:rFonts w:hint="eastAsia" w:ascii="黑体" w:hAnsi="黑体" w:eastAsia="黑体"/>
          <w:b w:val="0"/>
        </w:rPr>
        <w:t>三公”经费财政拨款支出决算情况说明</w:t>
      </w:r>
      <w:bookmarkEnd w:id="62"/>
      <w:bookmarkEnd w:id="63"/>
      <w:bookmarkEnd w:id="64"/>
      <w:bookmarkEnd w:id="65"/>
    </w:p>
    <w:p w14:paraId="275A240F">
      <w:pPr>
        <w:spacing w:line="600" w:lineRule="exact"/>
        <w:ind w:firstLine="643" w:firstLineChars="200"/>
        <w:outlineLvl w:val="2"/>
        <w:rPr>
          <w:rFonts w:ascii="仿宋" w:hAnsi="仿宋" w:eastAsia="仿宋"/>
          <w:b/>
          <w:color w:val="000000"/>
          <w:sz w:val="32"/>
          <w:szCs w:val="32"/>
        </w:rPr>
      </w:pPr>
      <w:bookmarkStart w:id="66" w:name="_Toc15377216"/>
      <w:r>
        <w:rPr>
          <w:rFonts w:hint="eastAsia" w:ascii="仿宋" w:hAnsi="仿宋" w:eastAsia="仿宋"/>
          <w:b/>
          <w:color w:val="000000"/>
          <w:sz w:val="32"/>
          <w:szCs w:val="32"/>
        </w:rPr>
        <w:t>（一）“三公”经费财政拨款支出决算总体情况说明</w:t>
      </w:r>
      <w:bookmarkEnd w:id="66"/>
    </w:p>
    <w:p w14:paraId="4826134A">
      <w:pPr>
        <w:widowControl/>
        <w:shd w:val="clear" w:color="auto" w:fill="FFFFFF"/>
        <w:spacing w:line="576" w:lineRule="exact"/>
        <w:jc w:val="left"/>
        <w:rPr>
          <w:rFonts w:ascii="仿宋_GB2312" w:hAnsi="宋体" w:eastAsia="仿宋_GB2312"/>
          <w:color w:val="000000"/>
          <w:sz w:val="28"/>
          <w:szCs w:val="28"/>
        </w:rPr>
      </w:pPr>
      <w:bookmarkStart w:id="67" w:name="_Toc15377217"/>
      <w:r>
        <w:rPr>
          <w:rFonts w:hint="eastAsia" w:ascii="仿宋_GB2312" w:hAnsi="宋体" w:eastAsia="仿宋_GB2312"/>
          <w:color w:val="000000"/>
          <w:sz w:val="28"/>
          <w:szCs w:val="28"/>
        </w:rPr>
        <w:t>松潘县民宗局2020年度“三公”经费财政拨款支出决算为3.84万元，完成预算100%，其中：因公出国（境）费支出决算为0万元，公务用车购置及运行维护费支出决算为3.84万元，完成预算24%。</w:t>
      </w:r>
    </w:p>
    <w:p w14:paraId="77BECE6D">
      <w:pPr>
        <w:ind w:firstLine="643" w:firstLineChars="200"/>
        <w:rPr>
          <w:rFonts w:ascii="仿宋" w:hAnsi="仿宋" w:eastAsia="仿宋"/>
          <w:b/>
          <w:color w:val="000000"/>
          <w:sz w:val="32"/>
          <w:szCs w:val="32"/>
        </w:rPr>
      </w:pPr>
      <w:r>
        <w:rPr>
          <w:rFonts w:hint="eastAsia" w:ascii="仿宋" w:hAnsi="仿宋" w:eastAsia="仿宋"/>
          <w:b/>
          <w:color w:val="000000"/>
          <w:sz w:val="32"/>
          <w:szCs w:val="32"/>
        </w:rPr>
        <w:t>（二）“三公”经费财政拨款支出决算具体情况说明</w:t>
      </w:r>
      <w:bookmarkEnd w:id="67"/>
    </w:p>
    <w:p w14:paraId="6E0235EA">
      <w:pPr>
        <w:widowControl/>
        <w:shd w:val="clear" w:color="auto" w:fill="FFFFFF"/>
        <w:spacing w:line="576" w:lineRule="exact"/>
        <w:ind w:firstLine="560" w:firstLineChars="200"/>
        <w:jc w:val="left"/>
        <w:rPr>
          <w:rFonts w:ascii="仿宋_GB2312" w:hAnsi="宋体" w:eastAsia="仿宋_GB2312"/>
          <w:color w:val="000000"/>
          <w:sz w:val="28"/>
          <w:szCs w:val="28"/>
        </w:rPr>
      </w:pPr>
      <w:bookmarkStart w:id="68" w:name="_Toc15396610"/>
      <w:bookmarkStart w:id="69" w:name="_Toc15377218"/>
      <w:r>
        <w:rPr>
          <w:rFonts w:hint="eastAsia" w:ascii="仿宋_GB2312" w:hAnsi="宋体" w:eastAsia="仿宋_GB2312"/>
          <w:color w:val="000000"/>
          <w:sz w:val="28"/>
          <w:szCs w:val="28"/>
        </w:rPr>
        <w:t xml:space="preserve">2020年度“三公”经费财政拨款支出决算中，因公出国（境）费支出决算0万元，占0%；公务用车购置及运行维护费支出决算3.84万元，占100%；公务接待费支出决算0万元，占0%。具体情况如下：  </w:t>
      </w:r>
    </w:p>
    <w:p w14:paraId="65DB37D5">
      <w:pPr>
        <w:ind w:firstLine="562" w:firstLineChars="200"/>
        <w:rPr>
          <w:rFonts w:ascii="仿宋_GB2312" w:hAnsi="宋体" w:eastAsia="仿宋_GB2312"/>
          <w:b/>
          <w:bCs/>
          <w:color w:val="000000"/>
          <w:sz w:val="28"/>
          <w:szCs w:val="28"/>
        </w:rPr>
      </w:pPr>
      <w:r>
        <w:rPr>
          <w:rFonts w:ascii="仿宋_GB2312" w:hAnsi="宋体" w:eastAsia="仿宋_GB2312"/>
          <w:b/>
          <w:bCs/>
          <w:color w:val="000000"/>
          <w:sz w:val="28"/>
          <w:szCs w:val="28"/>
        </w:rPr>
        <w:t>1.</w:t>
      </w:r>
      <w:r>
        <w:rPr>
          <w:rFonts w:hint="eastAsia" w:ascii="仿宋_GB2312" w:hAnsi="宋体" w:eastAsia="仿宋_GB2312"/>
          <w:b/>
          <w:bCs/>
          <w:color w:val="000000"/>
          <w:sz w:val="28"/>
          <w:szCs w:val="28"/>
        </w:rPr>
        <w:t>因公出国（境）经费</w:t>
      </w:r>
      <w:r>
        <w:rPr>
          <w:rFonts w:ascii="仿宋_GB2312" w:hAnsi="宋体" w:eastAsia="仿宋_GB2312"/>
          <w:b/>
          <w:bCs/>
          <w:color w:val="000000"/>
          <w:sz w:val="28"/>
          <w:szCs w:val="28"/>
        </w:rPr>
        <w:t xml:space="preserve"> </w:t>
      </w:r>
    </w:p>
    <w:p w14:paraId="25F9E0E3">
      <w:pPr>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无开支内容。</w:t>
      </w:r>
      <w:r>
        <w:rPr>
          <w:rFonts w:ascii="仿宋_GB2312" w:hAnsi="宋体" w:eastAsia="仿宋_GB2312"/>
          <w:color w:val="000000"/>
          <w:sz w:val="28"/>
          <w:szCs w:val="28"/>
        </w:rPr>
        <w:t xml:space="preserve"> </w:t>
      </w:r>
    </w:p>
    <w:p w14:paraId="7E353DA0">
      <w:pPr>
        <w:ind w:firstLine="562" w:firstLineChars="200"/>
        <w:rPr>
          <w:rFonts w:ascii="仿宋_GB2312" w:hAnsi="宋体" w:eastAsia="仿宋_GB2312"/>
          <w:b/>
          <w:bCs/>
          <w:color w:val="FF0000"/>
          <w:sz w:val="28"/>
          <w:szCs w:val="28"/>
        </w:rPr>
      </w:pPr>
      <w:r>
        <w:rPr>
          <w:rFonts w:ascii="仿宋_GB2312" w:hAnsi="宋体" w:eastAsia="仿宋_GB2312"/>
          <w:b/>
          <w:bCs/>
          <w:color w:val="000000"/>
          <w:sz w:val="28"/>
          <w:szCs w:val="28"/>
        </w:rPr>
        <w:t>2.</w:t>
      </w:r>
      <w:r>
        <w:rPr>
          <w:rFonts w:hint="eastAsia" w:ascii="仿宋_GB2312" w:hAnsi="宋体" w:eastAsia="仿宋_GB2312"/>
          <w:b/>
          <w:bCs/>
          <w:color w:val="000000"/>
          <w:sz w:val="28"/>
          <w:szCs w:val="28"/>
        </w:rPr>
        <w:t>公务用车购置及运行维护费</w:t>
      </w:r>
      <w:r>
        <w:rPr>
          <w:rFonts w:ascii="仿宋_GB2312" w:hAnsi="宋体" w:eastAsia="仿宋_GB2312"/>
          <w:b/>
          <w:bCs/>
          <w:color w:val="FF0000"/>
          <w:sz w:val="28"/>
          <w:szCs w:val="28"/>
        </w:rPr>
        <w:t xml:space="preserve"> </w:t>
      </w:r>
    </w:p>
    <w:p w14:paraId="5B8A292C">
      <w:pPr>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 xml:space="preserve">2020年公务用车购置及运行维护费3.84万元,其中： 公务用车购置支出0万元。截至2020年12月底，单位共有公务用车1辆，其中：轿车1辆。 公务用车运行维护费支出3.84万元。主要用于所需的公务用车燃料费、维修费、过路过桥费、保险费等支出。 </w:t>
      </w:r>
    </w:p>
    <w:p w14:paraId="5E5A552C">
      <w:pPr>
        <w:ind w:firstLine="562" w:firstLineChars="200"/>
        <w:rPr>
          <w:rFonts w:ascii="仿宋_GB2312" w:hAnsi="宋体" w:eastAsia="仿宋_GB2312"/>
          <w:b/>
          <w:bCs/>
          <w:color w:val="000000"/>
          <w:sz w:val="28"/>
          <w:szCs w:val="28"/>
        </w:rPr>
      </w:pPr>
      <w:r>
        <w:rPr>
          <w:rFonts w:hint="eastAsia" w:ascii="仿宋_GB2312" w:hAnsi="宋体" w:eastAsia="仿宋_GB2312"/>
          <w:b/>
          <w:bCs/>
          <w:color w:val="000000"/>
          <w:sz w:val="28"/>
          <w:szCs w:val="28"/>
        </w:rPr>
        <w:t>3.公务接待费</w:t>
      </w:r>
      <w:r>
        <w:rPr>
          <w:rFonts w:ascii="仿宋_GB2312" w:hAnsi="宋体" w:eastAsia="仿宋_GB2312"/>
          <w:b/>
          <w:bCs/>
          <w:color w:val="000000"/>
          <w:sz w:val="28"/>
          <w:szCs w:val="28"/>
        </w:rPr>
        <w:t xml:space="preserve"> </w:t>
      </w:r>
    </w:p>
    <w:p w14:paraId="4A82712B">
      <w:pPr>
        <w:ind w:firstLine="560" w:firstLineChars="200"/>
        <w:rPr>
          <w:rFonts w:ascii="黑体" w:eastAsia="黑体"/>
          <w:color w:val="000000"/>
          <w:sz w:val="32"/>
          <w:szCs w:val="32"/>
        </w:rPr>
      </w:pPr>
      <w:r>
        <w:rPr>
          <w:rFonts w:hint="eastAsia" w:ascii="仿宋_GB2312" w:hAnsi="宋体" w:eastAsia="仿宋_GB2312"/>
          <w:color w:val="000000"/>
          <w:sz w:val="28"/>
          <w:szCs w:val="28"/>
        </w:rPr>
        <w:t>无开支内容</w:t>
      </w:r>
    </w:p>
    <w:p w14:paraId="093C65F3">
      <w:pPr>
        <w:spacing w:line="600" w:lineRule="exact"/>
        <w:ind w:firstLine="640"/>
        <w:outlineLvl w:val="1"/>
        <w:rPr>
          <w:rStyle w:val="28"/>
          <w:rFonts w:ascii="黑体" w:hAnsi="黑体" w:eastAsia="黑体"/>
        </w:rPr>
      </w:pPr>
      <w:bookmarkStart w:id="70" w:name="_Toc2841"/>
      <w:bookmarkStart w:id="71" w:name="_Toc5939"/>
      <w:r>
        <w:rPr>
          <w:rFonts w:hint="eastAsia" w:ascii="黑体" w:eastAsia="黑体"/>
          <w:color w:val="000000"/>
          <w:sz w:val="32"/>
          <w:szCs w:val="32"/>
        </w:rPr>
        <w:t>八、</w:t>
      </w:r>
      <w:r>
        <w:rPr>
          <w:rStyle w:val="28"/>
          <w:rFonts w:hint="eastAsia" w:ascii="黑体" w:hAnsi="黑体" w:eastAsia="黑体"/>
          <w:b w:val="0"/>
        </w:rPr>
        <w:t>政府性基金预算支出决算情况说明</w:t>
      </w:r>
      <w:bookmarkEnd w:id="68"/>
      <w:bookmarkEnd w:id="69"/>
      <w:bookmarkEnd w:id="70"/>
      <w:bookmarkEnd w:id="71"/>
    </w:p>
    <w:p w14:paraId="6D1FE142">
      <w:pPr>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2020年政府性基金预算拨款支出0万元。</w:t>
      </w:r>
    </w:p>
    <w:p w14:paraId="7B1193D7">
      <w:pPr>
        <w:numPr>
          <w:ilvl w:val="0"/>
          <w:numId w:val="2"/>
        </w:numPr>
        <w:spacing w:line="600" w:lineRule="exact"/>
        <w:ind w:firstLine="640"/>
        <w:outlineLvl w:val="1"/>
        <w:rPr>
          <w:rStyle w:val="28"/>
          <w:rFonts w:ascii="黑体" w:hAnsi="黑体" w:eastAsia="黑体"/>
          <w:b w:val="0"/>
        </w:rPr>
      </w:pPr>
      <w:bookmarkStart w:id="72" w:name="_Toc15200"/>
      <w:bookmarkStart w:id="73" w:name="_Toc15377219"/>
      <w:bookmarkStart w:id="74" w:name="_Toc5113"/>
      <w:bookmarkStart w:id="75" w:name="_Toc15396611"/>
      <w:r>
        <w:rPr>
          <w:rStyle w:val="28"/>
          <w:rFonts w:hint="eastAsia" w:ascii="黑体" w:hAnsi="黑体" w:eastAsia="黑体"/>
          <w:b w:val="0"/>
        </w:rPr>
        <w:t>国有资本经营预算支出决算情况说明</w:t>
      </w:r>
      <w:bookmarkEnd w:id="72"/>
      <w:bookmarkEnd w:id="73"/>
      <w:bookmarkEnd w:id="74"/>
      <w:bookmarkEnd w:id="75"/>
    </w:p>
    <w:p w14:paraId="6C618A7A">
      <w:pPr>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2020年国有资本经营预算拨款支出0万元。</w:t>
      </w:r>
    </w:p>
    <w:p w14:paraId="750A4F65">
      <w:pPr>
        <w:spacing w:line="600" w:lineRule="exact"/>
        <w:ind w:firstLine="800" w:firstLineChars="250"/>
        <w:outlineLvl w:val="1"/>
        <w:rPr>
          <w:rStyle w:val="28"/>
          <w:rFonts w:ascii="黑体" w:hAnsi="黑体" w:eastAsia="黑体"/>
        </w:rPr>
      </w:pPr>
      <w:bookmarkStart w:id="76" w:name="_Toc15396612"/>
      <w:bookmarkStart w:id="77" w:name="_Toc25247"/>
      <w:bookmarkStart w:id="78" w:name="_Toc6828"/>
      <w:bookmarkStart w:id="79" w:name="_Toc15377221"/>
      <w:r>
        <w:rPr>
          <w:rFonts w:hint="eastAsia" w:ascii="黑体" w:hAnsi="黑体" w:eastAsia="黑体"/>
          <w:color w:val="000000"/>
          <w:sz w:val="32"/>
          <w:szCs w:val="32"/>
        </w:rPr>
        <w:t>十</w:t>
      </w:r>
      <w:r>
        <w:rPr>
          <w:rStyle w:val="28"/>
          <w:rFonts w:hint="eastAsia" w:ascii="黑体" w:hAnsi="黑体" w:eastAsia="黑体"/>
        </w:rPr>
        <w:t>、</w:t>
      </w:r>
      <w:r>
        <w:rPr>
          <w:rStyle w:val="28"/>
          <w:rFonts w:hint="eastAsia" w:ascii="黑体" w:hAnsi="黑体" w:eastAsia="黑体"/>
          <w:b w:val="0"/>
        </w:rPr>
        <w:t>其他重要事项的情况说明</w:t>
      </w:r>
      <w:bookmarkEnd w:id="76"/>
      <w:bookmarkEnd w:id="77"/>
      <w:bookmarkEnd w:id="78"/>
      <w:bookmarkEnd w:id="79"/>
    </w:p>
    <w:p w14:paraId="2794D73F">
      <w:pPr>
        <w:spacing w:line="600" w:lineRule="exact"/>
        <w:ind w:firstLine="643" w:firstLineChars="200"/>
        <w:outlineLvl w:val="2"/>
        <w:rPr>
          <w:rFonts w:ascii="仿宋" w:hAnsi="仿宋" w:eastAsia="仿宋"/>
          <w:color w:val="000000"/>
          <w:sz w:val="32"/>
          <w:szCs w:val="32"/>
        </w:rPr>
      </w:pPr>
      <w:bookmarkStart w:id="80" w:name="_Toc15377222"/>
      <w:r>
        <w:rPr>
          <w:rFonts w:hint="eastAsia" w:ascii="仿宋" w:hAnsi="仿宋" w:eastAsia="仿宋"/>
          <w:b/>
          <w:color w:val="000000"/>
          <w:sz w:val="32"/>
          <w:szCs w:val="32"/>
        </w:rPr>
        <w:t>（一）机关运行经费支出情况</w:t>
      </w:r>
      <w:bookmarkEnd w:id="80"/>
    </w:p>
    <w:p w14:paraId="1412419D">
      <w:pPr>
        <w:ind w:firstLine="551" w:firstLineChars="197"/>
        <w:rPr>
          <w:rFonts w:ascii="仿宋_GB2312" w:hAnsi="宋体" w:eastAsia="仿宋_GB2312"/>
          <w:bCs/>
          <w:color w:val="000000"/>
          <w:sz w:val="28"/>
          <w:szCs w:val="28"/>
        </w:rPr>
      </w:pPr>
      <w:r>
        <w:rPr>
          <w:rFonts w:hint="eastAsia" w:ascii="仿宋_GB2312" w:hAnsi="宋体" w:eastAsia="仿宋_GB2312"/>
          <w:bCs/>
          <w:color w:val="000000"/>
          <w:sz w:val="28"/>
          <w:szCs w:val="28"/>
        </w:rPr>
        <w:t>（一）机关运行经费支出情况</w:t>
      </w:r>
      <w:r>
        <w:rPr>
          <w:rFonts w:ascii="仿宋_GB2312" w:hAnsi="宋体" w:eastAsia="仿宋_GB2312"/>
          <w:bCs/>
          <w:color w:val="000000"/>
          <w:sz w:val="28"/>
          <w:szCs w:val="28"/>
        </w:rPr>
        <w:t xml:space="preserve"> </w:t>
      </w:r>
    </w:p>
    <w:p w14:paraId="1B6BE094">
      <w:pPr>
        <w:ind w:firstLine="840" w:firstLineChars="300"/>
        <w:rPr>
          <w:rFonts w:ascii="宋体" w:eastAsia="仿宋_GB2312" w:cs="Arial"/>
          <w:color w:val="000000"/>
          <w:sz w:val="22"/>
        </w:rPr>
      </w:pPr>
      <w:r>
        <w:rPr>
          <w:rFonts w:hint="eastAsia" w:ascii="仿宋_GB2312" w:hAnsi="宋体" w:eastAsia="仿宋_GB2312"/>
          <w:color w:val="000000"/>
          <w:sz w:val="28"/>
          <w:szCs w:val="28"/>
        </w:rPr>
        <w:t>2020年度，松潘县民族宗教局机关运行经费支出</w:t>
      </w:r>
      <w:r>
        <w:rPr>
          <w:rFonts w:hint="eastAsia" w:eastAsia="仿宋_GB2312" w:cs="Arial"/>
          <w:color w:val="000000"/>
          <w:sz w:val="28"/>
          <w:szCs w:val="28"/>
        </w:rPr>
        <w:t>58.68</w:t>
      </w:r>
      <w:r>
        <w:rPr>
          <w:rFonts w:hint="eastAsia" w:ascii="仿宋_GB2312" w:hAnsi="宋体" w:eastAsia="仿宋_GB2312"/>
          <w:color w:val="000000"/>
          <w:sz w:val="28"/>
          <w:szCs w:val="28"/>
        </w:rPr>
        <w:t>万元，比2019年38.9万元增加19.78万元，增加了50</w:t>
      </w:r>
      <w:r>
        <w:rPr>
          <w:rFonts w:ascii="仿宋_GB2312" w:hAnsi="宋体" w:eastAsia="仿宋_GB2312"/>
          <w:color w:val="000000"/>
          <w:sz w:val="28"/>
          <w:szCs w:val="28"/>
        </w:rPr>
        <w:t>%</w:t>
      </w:r>
      <w:r>
        <w:rPr>
          <w:rFonts w:hint="eastAsia" w:ascii="仿宋_GB2312" w:hAnsi="宋体" w:eastAsia="仿宋_GB2312"/>
          <w:color w:val="000000"/>
          <w:sz w:val="28"/>
          <w:szCs w:val="28"/>
        </w:rPr>
        <w:t>。增加原因在于2020年人员调整，年初指标增加。</w:t>
      </w:r>
    </w:p>
    <w:p w14:paraId="14935E9E">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81" w:name="_Toc15377223"/>
      <w:r>
        <w:rPr>
          <w:rFonts w:hint="eastAsia" w:ascii="仿宋" w:hAnsi="仿宋" w:eastAsia="仿宋"/>
          <w:b/>
          <w:color w:val="000000"/>
          <w:sz w:val="32"/>
          <w:szCs w:val="32"/>
        </w:rPr>
        <w:t>（二）政府采购支出情况</w:t>
      </w:r>
      <w:bookmarkEnd w:id="81"/>
    </w:p>
    <w:p w14:paraId="74A1867F">
      <w:pPr>
        <w:ind w:firstLine="700" w:firstLineChars="250"/>
        <w:rPr>
          <w:rFonts w:ascii="仿宋_GB2312" w:eastAsia="仿宋_GB2312"/>
          <w:color w:val="000000"/>
          <w:sz w:val="32"/>
          <w:szCs w:val="32"/>
        </w:rPr>
      </w:pPr>
      <w:r>
        <w:rPr>
          <w:rFonts w:hint="eastAsia" w:ascii="仿宋_GB2312" w:hAnsi="宋体" w:eastAsia="仿宋_GB2312"/>
          <w:color w:val="000000"/>
          <w:sz w:val="28"/>
          <w:szCs w:val="28"/>
        </w:rPr>
        <w:t>2020年度，松潘县民族宗教局政府采购支出总额3.98万元。</w:t>
      </w:r>
      <w:r>
        <w:rPr>
          <w:rFonts w:ascii="仿宋_GB2312" w:hAnsi="宋体" w:eastAsia="仿宋_GB2312"/>
          <w:color w:val="000000"/>
          <w:sz w:val="28"/>
          <w:szCs w:val="28"/>
        </w:rPr>
        <w:t xml:space="preserve"> </w:t>
      </w:r>
    </w:p>
    <w:p w14:paraId="73B1B1B1">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82" w:name="_Toc15377224"/>
      <w:r>
        <w:rPr>
          <w:rFonts w:hint="eastAsia" w:ascii="仿宋" w:hAnsi="仿宋" w:eastAsia="仿宋"/>
          <w:b/>
          <w:color w:val="000000"/>
          <w:sz w:val="32"/>
          <w:szCs w:val="32"/>
        </w:rPr>
        <w:t>（三）国有资产占有使用情况</w:t>
      </w:r>
      <w:bookmarkEnd w:id="82"/>
    </w:p>
    <w:p w14:paraId="02FAC160">
      <w:pPr>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截止2020年</w:t>
      </w:r>
      <w:r>
        <w:rPr>
          <w:rFonts w:ascii="仿宋_GB2312" w:hAnsi="宋体" w:eastAsia="仿宋_GB2312"/>
          <w:color w:val="000000"/>
          <w:sz w:val="28"/>
          <w:szCs w:val="28"/>
        </w:rPr>
        <w:t>12</w:t>
      </w:r>
      <w:r>
        <w:rPr>
          <w:rFonts w:hint="eastAsia" w:ascii="仿宋_GB2312" w:hAnsi="宋体" w:eastAsia="仿宋_GB2312"/>
          <w:color w:val="000000"/>
          <w:sz w:val="28"/>
          <w:szCs w:val="28"/>
        </w:rPr>
        <w:t>月</w:t>
      </w:r>
      <w:r>
        <w:rPr>
          <w:rFonts w:ascii="仿宋_GB2312" w:hAnsi="宋体" w:eastAsia="仿宋_GB2312"/>
          <w:color w:val="000000"/>
          <w:sz w:val="28"/>
          <w:szCs w:val="28"/>
        </w:rPr>
        <w:t>31</w:t>
      </w:r>
      <w:r>
        <w:rPr>
          <w:rFonts w:hint="eastAsia" w:ascii="仿宋_GB2312" w:hAnsi="宋体" w:eastAsia="仿宋_GB2312"/>
          <w:color w:val="000000"/>
          <w:sz w:val="28"/>
          <w:szCs w:val="28"/>
        </w:rPr>
        <w:t>日止松潘县民族宗教局车辆1辆，其中：一般公务用车1辆，单价</w:t>
      </w:r>
      <w:r>
        <w:rPr>
          <w:rFonts w:ascii="仿宋_GB2312" w:hAnsi="宋体" w:eastAsia="仿宋_GB2312"/>
          <w:color w:val="000000"/>
          <w:sz w:val="28"/>
          <w:szCs w:val="28"/>
        </w:rPr>
        <w:t>50</w:t>
      </w:r>
      <w:r>
        <w:rPr>
          <w:rFonts w:hint="eastAsia" w:ascii="仿宋_GB2312" w:hAnsi="宋体" w:eastAsia="仿宋_GB2312"/>
          <w:color w:val="000000"/>
          <w:sz w:val="28"/>
          <w:szCs w:val="28"/>
        </w:rPr>
        <w:t>万元以上通用设备</w:t>
      </w:r>
      <w:r>
        <w:rPr>
          <w:rFonts w:ascii="仿宋_GB2312" w:hAnsi="宋体" w:eastAsia="仿宋_GB2312"/>
          <w:color w:val="000000"/>
          <w:sz w:val="28"/>
          <w:szCs w:val="28"/>
        </w:rPr>
        <w:t>0</w:t>
      </w:r>
      <w:r>
        <w:rPr>
          <w:rFonts w:hint="eastAsia" w:ascii="仿宋_GB2312" w:hAnsi="宋体" w:eastAsia="仿宋_GB2312"/>
          <w:color w:val="000000"/>
          <w:sz w:val="28"/>
          <w:szCs w:val="28"/>
        </w:rPr>
        <w:t>台（套），单价</w:t>
      </w:r>
      <w:r>
        <w:rPr>
          <w:rFonts w:ascii="仿宋_GB2312" w:hAnsi="宋体" w:eastAsia="仿宋_GB2312"/>
          <w:color w:val="000000"/>
          <w:sz w:val="28"/>
          <w:szCs w:val="28"/>
        </w:rPr>
        <w:t>100</w:t>
      </w:r>
      <w:r>
        <w:rPr>
          <w:rFonts w:hint="eastAsia" w:ascii="仿宋_GB2312" w:hAnsi="宋体" w:eastAsia="仿宋_GB2312"/>
          <w:color w:val="000000"/>
          <w:sz w:val="28"/>
          <w:szCs w:val="28"/>
        </w:rPr>
        <w:t>万元以上专用设备</w:t>
      </w:r>
      <w:r>
        <w:rPr>
          <w:rFonts w:ascii="仿宋_GB2312" w:hAnsi="宋体" w:eastAsia="仿宋_GB2312"/>
          <w:color w:val="000000"/>
          <w:sz w:val="28"/>
          <w:szCs w:val="28"/>
        </w:rPr>
        <w:t>0</w:t>
      </w:r>
      <w:r>
        <w:rPr>
          <w:rFonts w:hint="eastAsia" w:ascii="仿宋_GB2312" w:hAnsi="宋体" w:eastAsia="仿宋_GB2312"/>
          <w:color w:val="000000"/>
          <w:sz w:val="28"/>
          <w:szCs w:val="28"/>
        </w:rPr>
        <w:t>台（套）。</w:t>
      </w:r>
      <w:r>
        <w:rPr>
          <w:rFonts w:ascii="仿宋_GB2312" w:hAnsi="宋体" w:eastAsia="仿宋_GB2312"/>
          <w:color w:val="000000"/>
          <w:sz w:val="28"/>
          <w:szCs w:val="28"/>
        </w:rPr>
        <w:t xml:space="preserve"> </w:t>
      </w:r>
    </w:p>
    <w:p w14:paraId="68D92CE8">
      <w:pPr>
        <w:autoSpaceDE w:val="0"/>
        <w:autoSpaceDN w:val="0"/>
        <w:adjustRightInd w:val="0"/>
        <w:spacing w:line="600" w:lineRule="exact"/>
        <w:ind w:firstLine="643" w:firstLineChars="200"/>
        <w:jc w:val="left"/>
        <w:outlineLvl w:val="2"/>
        <w:rPr>
          <w:rFonts w:ascii="仿宋" w:hAnsi="仿宋" w:eastAsia="仿宋"/>
          <w:b/>
          <w:color w:val="000000"/>
          <w:sz w:val="32"/>
          <w:szCs w:val="32"/>
        </w:rPr>
      </w:pPr>
      <w:r>
        <w:rPr>
          <w:rFonts w:hint="eastAsia" w:ascii="仿宋" w:hAnsi="仿宋" w:eastAsia="仿宋"/>
          <w:b/>
          <w:color w:val="000000"/>
          <w:sz w:val="32"/>
          <w:szCs w:val="32"/>
        </w:rPr>
        <w:t>（四）预算绩效管理情况。</w:t>
      </w:r>
    </w:p>
    <w:p w14:paraId="6E9CA07D">
      <w:pPr>
        <w:spacing w:line="580" w:lineRule="exact"/>
        <w:ind w:left="630"/>
        <w:rPr>
          <w:rFonts w:ascii="仿宋_GB2312" w:hAnsi="宋体" w:eastAsia="仿宋_GB2312"/>
          <w:color w:val="000000"/>
          <w:sz w:val="28"/>
          <w:szCs w:val="28"/>
        </w:rPr>
      </w:pPr>
      <w:r>
        <w:rPr>
          <w:rFonts w:hint="eastAsia" w:ascii="楷体_GB2312" w:hAnsi="楷体_GB2312" w:eastAsia="楷体_GB2312" w:cs="楷体_GB2312"/>
          <w:sz w:val="32"/>
          <w:szCs w:val="32"/>
        </w:rPr>
        <w:t>1.项目绩效目标完成情况。</w:t>
      </w:r>
      <w:r>
        <w:rPr>
          <w:rFonts w:hint="eastAsia" w:ascii="楷体_GB2312" w:hAnsi="楷体_GB2312" w:eastAsia="楷体_GB2312" w:cs="楷体_GB2312"/>
          <w:sz w:val="32"/>
          <w:szCs w:val="32"/>
        </w:rPr>
        <w:br w:type="textWrapping"/>
      </w:r>
      <w:r>
        <w:rPr>
          <w:rFonts w:hint="eastAsia" w:ascii="仿宋_GB2312" w:hAnsi="宋体" w:eastAsia="仿宋_GB2312"/>
          <w:color w:val="000000"/>
          <w:sz w:val="28"/>
          <w:szCs w:val="28"/>
        </w:rPr>
        <w:t xml:space="preserve">按照预算绩效管理要求，本部门对2020年一般公共预算项目支出开展了绩效目标管理，共编制绩效目标0个，涉及财政资金0万元。   </w:t>
      </w:r>
    </w:p>
    <w:p w14:paraId="09C5D4F3">
      <w:pPr>
        <w:spacing w:line="580" w:lineRule="exact"/>
        <w:ind w:left="630"/>
        <w:rPr>
          <w:rFonts w:ascii="仿宋_GB2312" w:hAnsi="仿宋_GB2312" w:eastAsia="仿宋_GB2312" w:cs="仿宋_GB2312"/>
          <w:sz w:val="32"/>
          <w:szCs w:val="32"/>
        </w:rPr>
      </w:pPr>
      <w:r>
        <w:rPr>
          <w:rFonts w:hint="eastAsia" w:ascii="楷体_GB2312" w:hAnsi="楷体_GB2312" w:eastAsia="楷体_GB2312" w:cs="楷体_GB2312"/>
          <w:sz w:val="32"/>
          <w:szCs w:val="32"/>
        </w:rPr>
        <w:t>2.部门绩效评价结果。</w:t>
      </w:r>
    </w:p>
    <w:p w14:paraId="0587135F">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本部门按要求对2020年松潘县民族宗教局整体支出绩效评价情况开展自评，《松潘县民族宗教局2020年部门整体支出绩效评价报告》见附件（附件1）。</w:t>
      </w:r>
    </w:p>
    <w:p w14:paraId="29FED39E">
      <w:pPr>
        <w:spacing w:line="580" w:lineRule="exact"/>
        <w:ind w:firstLine="640" w:firstLineChars="200"/>
        <w:rPr>
          <w:rFonts w:ascii="仿宋_GB2312" w:hAnsi="仿宋_GB2312" w:eastAsia="仿宋_GB2312" w:cs="仿宋_GB2312"/>
          <w:sz w:val="32"/>
          <w:szCs w:val="32"/>
        </w:rPr>
      </w:pPr>
    </w:p>
    <w:p w14:paraId="30091F67">
      <w:pPr>
        <w:spacing w:line="580" w:lineRule="exact"/>
        <w:ind w:firstLine="640" w:firstLineChars="200"/>
        <w:rPr>
          <w:rFonts w:ascii="仿宋_GB2312" w:hAnsi="仿宋_GB2312" w:eastAsia="仿宋_GB2312" w:cs="仿宋_GB2312"/>
          <w:sz w:val="32"/>
          <w:szCs w:val="32"/>
        </w:rPr>
      </w:pPr>
    </w:p>
    <w:p w14:paraId="69068570">
      <w:pPr>
        <w:spacing w:line="580" w:lineRule="exact"/>
        <w:ind w:firstLine="640" w:firstLineChars="200"/>
        <w:rPr>
          <w:rFonts w:ascii="仿宋_GB2312" w:hAnsi="仿宋_GB2312" w:eastAsia="仿宋_GB2312" w:cs="仿宋_GB2312"/>
          <w:sz w:val="32"/>
          <w:szCs w:val="32"/>
        </w:rPr>
      </w:pPr>
    </w:p>
    <w:p w14:paraId="3A39FD6B">
      <w:pPr>
        <w:spacing w:line="580" w:lineRule="exact"/>
        <w:ind w:firstLine="640" w:firstLineChars="200"/>
        <w:rPr>
          <w:rFonts w:ascii="仿宋_GB2312" w:hAnsi="仿宋_GB2312" w:eastAsia="仿宋_GB2312" w:cs="仿宋_GB2312"/>
          <w:sz w:val="32"/>
          <w:szCs w:val="32"/>
        </w:rPr>
      </w:pPr>
    </w:p>
    <w:p w14:paraId="5DBBC2A4">
      <w:pPr>
        <w:spacing w:line="580" w:lineRule="exact"/>
        <w:ind w:firstLine="640" w:firstLineChars="200"/>
        <w:rPr>
          <w:rFonts w:ascii="仿宋_GB2312" w:hAnsi="仿宋_GB2312" w:eastAsia="仿宋_GB2312" w:cs="仿宋_GB2312"/>
          <w:sz w:val="32"/>
          <w:szCs w:val="32"/>
        </w:rPr>
      </w:pPr>
    </w:p>
    <w:p w14:paraId="07270671">
      <w:pPr>
        <w:spacing w:line="580" w:lineRule="exact"/>
        <w:ind w:firstLine="640" w:firstLineChars="200"/>
        <w:rPr>
          <w:rFonts w:ascii="仿宋_GB2312" w:hAnsi="仿宋_GB2312" w:eastAsia="仿宋_GB2312" w:cs="仿宋_GB2312"/>
          <w:sz w:val="32"/>
          <w:szCs w:val="32"/>
        </w:rPr>
      </w:pPr>
    </w:p>
    <w:p w14:paraId="7F2ED000">
      <w:pPr>
        <w:spacing w:line="580" w:lineRule="exact"/>
        <w:ind w:firstLine="640" w:firstLineChars="200"/>
        <w:rPr>
          <w:rFonts w:ascii="仿宋_GB2312" w:hAnsi="仿宋_GB2312" w:eastAsia="仿宋_GB2312" w:cs="仿宋_GB2312"/>
          <w:sz w:val="32"/>
          <w:szCs w:val="32"/>
        </w:rPr>
      </w:pPr>
    </w:p>
    <w:p w14:paraId="41EE7D9F">
      <w:pPr>
        <w:spacing w:line="580" w:lineRule="exact"/>
        <w:ind w:firstLine="640" w:firstLineChars="200"/>
        <w:rPr>
          <w:rFonts w:ascii="仿宋_GB2312" w:hAnsi="仿宋_GB2312" w:eastAsia="仿宋_GB2312" w:cs="仿宋_GB2312"/>
          <w:sz w:val="32"/>
          <w:szCs w:val="32"/>
        </w:rPr>
      </w:pPr>
    </w:p>
    <w:p w14:paraId="75560CB5">
      <w:pPr>
        <w:spacing w:line="580" w:lineRule="exact"/>
        <w:ind w:firstLine="640" w:firstLineChars="200"/>
        <w:rPr>
          <w:rFonts w:ascii="仿宋_GB2312" w:hAnsi="仿宋_GB2312" w:eastAsia="仿宋_GB2312" w:cs="仿宋_GB2312"/>
          <w:sz w:val="32"/>
          <w:szCs w:val="32"/>
        </w:rPr>
      </w:pPr>
    </w:p>
    <w:p w14:paraId="013274B1">
      <w:pPr>
        <w:spacing w:line="580" w:lineRule="exact"/>
        <w:ind w:firstLine="640" w:firstLineChars="200"/>
        <w:rPr>
          <w:rFonts w:ascii="仿宋_GB2312" w:hAnsi="仿宋_GB2312" w:eastAsia="仿宋_GB2312" w:cs="仿宋_GB2312"/>
          <w:sz w:val="32"/>
          <w:szCs w:val="32"/>
        </w:rPr>
      </w:pPr>
    </w:p>
    <w:p w14:paraId="07B36460">
      <w:pPr>
        <w:spacing w:line="580" w:lineRule="exact"/>
        <w:ind w:firstLine="640" w:firstLineChars="200"/>
        <w:rPr>
          <w:rFonts w:ascii="仿宋_GB2312" w:hAnsi="仿宋_GB2312" w:eastAsia="仿宋_GB2312" w:cs="仿宋_GB2312"/>
          <w:sz w:val="32"/>
          <w:szCs w:val="32"/>
        </w:rPr>
      </w:pPr>
    </w:p>
    <w:p w14:paraId="081E6197">
      <w:pPr>
        <w:spacing w:line="580" w:lineRule="exact"/>
        <w:ind w:firstLine="640" w:firstLineChars="200"/>
        <w:rPr>
          <w:rFonts w:ascii="仿宋_GB2312" w:hAnsi="仿宋_GB2312" w:eastAsia="仿宋_GB2312" w:cs="仿宋_GB2312"/>
          <w:sz w:val="32"/>
          <w:szCs w:val="32"/>
        </w:rPr>
      </w:pPr>
    </w:p>
    <w:p w14:paraId="10928B01">
      <w:pPr>
        <w:spacing w:line="580" w:lineRule="exact"/>
        <w:ind w:firstLine="640" w:firstLineChars="200"/>
        <w:rPr>
          <w:rFonts w:ascii="仿宋_GB2312" w:hAnsi="仿宋_GB2312" w:eastAsia="仿宋_GB2312" w:cs="仿宋_GB2312"/>
          <w:sz w:val="32"/>
          <w:szCs w:val="32"/>
        </w:rPr>
      </w:pPr>
    </w:p>
    <w:p w14:paraId="60EB567A">
      <w:pPr>
        <w:spacing w:line="580" w:lineRule="exact"/>
        <w:ind w:firstLine="640" w:firstLineChars="200"/>
        <w:rPr>
          <w:rFonts w:ascii="仿宋_GB2312" w:hAnsi="仿宋_GB2312" w:eastAsia="仿宋_GB2312" w:cs="仿宋_GB2312"/>
          <w:sz w:val="32"/>
          <w:szCs w:val="32"/>
        </w:rPr>
      </w:pPr>
    </w:p>
    <w:p w14:paraId="3F6175DA">
      <w:pPr>
        <w:spacing w:line="580" w:lineRule="exact"/>
        <w:ind w:firstLine="640" w:firstLineChars="200"/>
        <w:rPr>
          <w:rFonts w:ascii="仿宋_GB2312" w:hAnsi="仿宋_GB2312" w:eastAsia="仿宋_GB2312" w:cs="仿宋_GB2312"/>
          <w:sz w:val="32"/>
          <w:szCs w:val="32"/>
        </w:rPr>
      </w:pPr>
    </w:p>
    <w:p w14:paraId="18F3012B">
      <w:pPr>
        <w:spacing w:line="580" w:lineRule="exact"/>
        <w:ind w:firstLine="640" w:firstLineChars="200"/>
        <w:rPr>
          <w:rFonts w:ascii="仿宋_GB2312" w:hAnsi="仿宋_GB2312" w:eastAsia="仿宋_GB2312" w:cs="仿宋_GB2312"/>
          <w:sz w:val="32"/>
          <w:szCs w:val="32"/>
        </w:rPr>
      </w:pPr>
    </w:p>
    <w:p w14:paraId="3D808159">
      <w:pPr>
        <w:spacing w:line="580" w:lineRule="exact"/>
        <w:ind w:firstLine="640" w:firstLineChars="200"/>
        <w:rPr>
          <w:rFonts w:ascii="仿宋_GB2312" w:hAnsi="仿宋_GB2312" w:eastAsia="仿宋_GB2312" w:cs="仿宋_GB2312"/>
          <w:sz w:val="32"/>
          <w:szCs w:val="32"/>
        </w:rPr>
      </w:pPr>
    </w:p>
    <w:p w14:paraId="05EF0C0D">
      <w:pPr>
        <w:spacing w:line="580" w:lineRule="exact"/>
        <w:ind w:firstLine="640" w:firstLineChars="200"/>
        <w:rPr>
          <w:rFonts w:ascii="仿宋_GB2312" w:hAnsi="仿宋_GB2312" w:eastAsia="仿宋_GB2312" w:cs="仿宋_GB2312"/>
          <w:sz w:val="32"/>
          <w:szCs w:val="32"/>
        </w:rPr>
      </w:pPr>
    </w:p>
    <w:p w14:paraId="3EAE0499">
      <w:pPr>
        <w:spacing w:line="580" w:lineRule="exact"/>
        <w:rPr>
          <w:rFonts w:ascii="仿宋_GB2312" w:hAnsi="仿宋_GB2312" w:eastAsia="仿宋_GB2312" w:cs="仿宋_GB2312"/>
          <w:sz w:val="32"/>
          <w:szCs w:val="32"/>
        </w:rPr>
      </w:pPr>
    </w:p>
    <w:p w14:paraId="34F32C10">
      <w:pPr>
        <w:spacing w:line="580" w:lineRule="exact"/>
        <w:rPr>
          <w:rFonts w:ascii="仿宋_GB2312" w:hAnsi="仿宋_GB2312" w:eastAsia="仿宋_GB2312" w:cs="仿宋_GB2312"/>
          <w:sz w:val="32"/>
          <w:szCs w:val="32"/>
        </w:rPr>
      </w:pPr>
    </w:p>
    <w:p w14:paraId="6FEE2A6A">
      <w:pPr>
        <w:numPr>
          <w:ilvl w:val="0"/>
          <w:numId w:val="3"/>
        </w:numPr>
        <w:spacing w:line="600" w:lineRule="exact"/>
        <w:ind w:firstLine="660" w:firstLineChars="150"/>
        <w:jc w:val="center"/>
        <w:outlineLvl w:val="0"/>
        <w:rPr>
          <w:rStyle w:val="27"/>
          <w:rFonts w:ascii="黑体" w:hAnsi="黑体" w:eastAsia="黑体"/>
          <w:b w:val="0"/>
        </w:rPr>
      </w:pPr>
      <w:bookmarkStart w:id="83" w:name="_Toc15377225"/>
      <w:bookmarkStart w:id="84" w:name="_Toc15396613"/>
      <w:bookmarkStart w:id="85" w:name="_Toc26571"/>
      <w:bookmarkStart w:id="86" w:name="_Toc192"/>
      <w:r>
        <w:rPr>
          <w:rFonts w:hint="eastAsia" w:ascii="黑体" w:hAnsi="黑体" w:eastAsia="黑体"/>
          <w:color w:val="000000"/>
          <w:sz w:val="44"/>
          <w:szCs w:val="44"/>
        </w:rPr>
        <w:t>名</w:t>
      </w:r>
      <w:r>
        <w:rPr>
          <w:rStyle w:val="27"/>
          <w:rFonts w:hint="eastAsia" w:ascii="黑体" w:hAnsi="黑体" w:eastAsia="黑体"/>
          <w:b w:val="0"/>
        </w:rPr>
        <w:t>词解释</w:t>
      </w:r>
      <w:bookmarkEnd w:id="83"/>
      <w:bookmarkEnd w:id="84"/>
      <w:bookmarkEnd w:id="85"/>
      <w:bookmarkEnd w:id="86"/>
    </w:p>
    <w:p w14:paraId="1EDE2516">
      <w:pPr>
        <w:ind w:firstLine="560" w:firstLineChars="200"/>
        <w:rPr>
          <w:rFonts w:ascii="仿宋_GB2312" w:hAnsi="宋体" w:eastAsia="仿宋_GB2312"/>
          <w:color w:val="000000"/>
          <w:sz w:val="28"/>
          <w:szCs w:val="28"/>
        </w:rPr>
      </w:pPr>
      <w:r>
        <w:rPr>
          <w:rFonts w:ascii="仿宋_GB2312" w:hAnsi="宋体" w:eastAsia="仿宋_GB2312"/>
          <w:color w:val="000000"/>
          <w:sz w:val="28"/>
          <w:szCs w:val="28"/>
        </w:rPr>
        <w:t>1.</w:t>
      </w:r>
      <w:r>
        <w:rPr>
          <w:rFonts w:hint="eastAsia" w:ascii="仿宋_GB2312" w:hAnsi="宋体" w:eastAsia="仿宋_GB2312"/>
          <w:color w:val="000000"/>
          <w:sz w:val="28"/>
          <w:szCs w:val="28"/>
        </w:rPr>
        <w:t>财政拨款收入：指县级财政当年拨付的资金。</w:t>
      </w:r>
      <w:r>
        <w:rPr>
          <w:rFonts w:ascii="仿宋_GB2312" w:hAnsi="宋体" w:eastAsia="仿宋_GB2312"/>
          <w:color w:val="000000"/>
          <w:sz w:val="28"/>
          <w:szCs w:val="28"/>
        </w:rPr>
        <w:t xml:space="preserve"> </w:t>
      </w:r>
    </w:p>
    <w:p w14:paraId="4B418B24">
      <w:pPr>
        <w:rPr>
          <w:rFonts w:ascii="仿宋_GB2312" w:hAnsi="宋体" w:eastAsia="仿宋_GB2312"/>
          <w:color w:val="000000"/>
          <w:sz w:val="28"/>
          <w:szCs w:val="28"/>
        </w:rPr>
      </w:pPr>
      <w:r>
        <w:rPr>
          <w:rFonts w:ascii="仿宋_GB2312" w:hAnsi="宋体" w:eastAsia="仿宋_GB2312"/>
          <w:color w:val="000000"/>
          <w:sz w:val="28"/>
          <w:szCs w:val="28"/>
        </w:rPr>
        <w:t xml:space="preserve">    2.</w:t>
      </w:r>
      <w:r>
        <w:rPr>
          <w:rFonts w:hint="eastAsia" w:ascii="仿宋_GB2312" w:hAnsi="宋体" w:eastAsia="仿宋_GB2312"/>
          <w:color w:val="000000"/>
          <w:sz w:val="28"/>
          <w:szCs w:val="28"/>
        </w:rPr>
        <w:t>年初结转和结余：指以前年度尚未完成、结转到本年按有关规定继续使用的资金。</w:t>
      </w:r>
      <w:r>
        <w:rPr>
          <w:rFonts w:ascii="仿宋_GB2312" w:hAnsi="宋体" w:eastAsia="仿宋_GB2312"/>
          <w:color w:val="000000"/>
          <w:sz w:val="28"/>
          <w:szCs w:val="28"/>
        </w:rPr>
        <w:t xml:space="preserve"> </w:t>
      </w:r>
    </w:p>
    <w:p w14:paraId="2C83CF3A">
      <w:pPr>
        <w:ind w:firstLine="560"/>
        <w:rPr>
          <w:rFonts w:ascii="仿宋_GB2312" w:hAnsi="宋体" w:eastAsia="仿宋_GB2312"/>
          <w:color w:val="000000"/>
          <w:sz w:val="28"/>
          <w:szCs w:val="28"/>
        </w:rPr>
      </w:pPr>
      <w:r>
        <w:rPr>
          <w:rFonts w:ascii="仿宋_GB2312" w:hAnsi="宋体" w:eastAsia="仿宋_GB2312"/>
          <w:color w:val="000000"/>
          <w:sz w:val="28"/>
          <w:szCs w:val="28"/>
        </w:rPr>
        <w:t>3.</w:t>
      </w:r>
      <w:r>
        <w:rPr>
          <w:rFonts w:hint="eastAsia" w:ascii="仿宋_GB2312" w:hAnsi="宋体" w:eastAsia="仿宋_GB2312"/>
          <w:color w:val="000000"/>
          <w:sz w:val="28"/>
          <w:szCs w:val="28"/>
        </w:rPr>
        <w:t>一般公共服务（类）</w:t>
      </w:r>
      <w:r>
        <w:rPr>
          <w:rFonts w:ascii="仿宋_GB2312" w:hAnsi="宋体" w:eastAsia="仿宋_GB2312"/>
          <w:color w:val="000000"/>
          <w:sz w:val="28"/>
          <w:szCs w:val="28"/>
        </w:rPr>
        <w:t>204</w:t>
      </w:r>
      <w:r>
        <w:rPr>
          <w:rFonts w:hint="eastAsia" w:ascii="仿宋_GB2312" w:hAnsi="宋体" w:eastAsia="仿宋_GB2312"/>
          <w:color w:val="000000"/>
          <w:sz w:val="28"/>
          <w:szCs w:val="28"/>
        </w:rPr>
        <w:t>（款）</w:t>
      </w:r>
      <w:r>
        <w:rPr>
          <w:rFonts w:ascii="仿宋_GB2312" w:hAnsi="宋体" w:eastAsia="仿宋_GB2312"/>
          <w:color w:val="000000"/>
          <w:sz w:val="28"/>
          <w:szCs w:val="28"/>
        </w:rPr>
        <w:t>06</w:t>
      </w:r>
      <w:r>
        <w:rPr>
          <w:rFonts w:hint="eastAsia" w:ascii="仿宋_GB2312" w:hAnsi="宋体" w:eastAsia="仿宋_GB2312"/>
          <w:color w:val="000000"/>
          <w:sz w:val="28"/>
          <w:szCs w:val="28"/>
        </w:rPr>
        <w:t>（项）</w:t>
      </w:r>
      <w:r>
        <w:rPr>
          <w:rFonts w:ascii="仿宋_GB2312" w:hAnsi="宋体" w:eastAsia="仿宋_GB2312"/>
          <w:color w:val="000000"/>
          <w:sz w:val="28"/>
          <w:szCs w:val="28"/>
        </w:rPr>
        <w:t>01</w:t>
      </w:r>
      <w:r>
        <w:rPr>
          <w:rFonts w:hint="eastAsia" w:ascii="仿宋_GB2312" w:hAnsi="宋体" w:eastAsia="仿宋_GB2312"/>
          <w:color w:val="000000"/>
          <w:sz w:val="28"/>
          <w:szCs w:val="28"/>
        </w:rPr>
        <w:t>：指行政运行。（类）</w:t>
      </w:r>
      <w:r>
        <w:rPr>
          <w:rFonts w:ascii="仿宋_GB2312" w:hAnsi="宋体" w:eastAsia="仿宋_GB2312"/>
          <w:color w:val="000000"/>
          <w:sz w:val="28"/>
          <w:szCs w:val="28"/>
        </w:rPr>
        <w:t>204</w:t>
      </w:r>
      <w:r>
        <w:rPr>
          <w:rFonts w:hint="eastAsia" w:ascii="仿宋_GB2312" w:hAnsi="宋体" w:eastAsia="仿宋_GB2312"/>
          <w:color w:val="000000"/>
          <w:sz w:val="28"/>
          <w:szCs w:val="28"/>
        </w:rPr>
        <w:t>（款）</w:t>
      </w:r>
      <w:r>
        <w:rPr>
          <w:rFonts w:ascii="仿宋_GB2312" w:hAnsi="宋体" w:eastAsia="仿宋_GB2312"/>
          <w:color w:val="000000"/>
          <w:sz w:val="28"/>
          <w:szCs w:val="28"/>
        </w:rPr>
        <w:t>06</w:t>
      </w:r>
      <w:r>
        <w:rPr>
          <w:rFonts w:hint="eastAsia" w:ascii="仿宋_GB2312" w:hAnsi="宋体" w:eastAsia="仿宋_GB2312"/>
          <w:color w:val="000000"/>
          <w:sz w:val="28"/>
          <w:szCs w:val="28"/>
        </w:rPr>
        <w:t>（项）</w:t>
      </w:r>
      <w:r>
        <w:rPr>
          <w:rFonts w:ascii="仿宋_GB2312" w:hAnsi="宋体" w:eastAsia="仿宋_GB2312"/>
          <w:color w:val="000000"/>
          <w:sz w:val="28"/>
          <w:szCs w:val="28"/>
        </w:rPr>
        <w:t>02</w:t>
      </w:r>
      <w:r>
        <w:rPr>
          <w:rFonts w:hint="eastAsia" w:ascii="仿宋_GB2312" w:hAnsi="宋体" w:eastAsia="仿宋_GB2312"/>
          <w:color w:val="000000"/>
          <w:sz w:val="28"/>
          <w:szCs w:val="28"/>
        </w:rPr>
        <w:t>：指一般</w:t>
      </w:r>
      <w:r>
        <w:rPr>
          <w:rFonts w:hint="eastAsia" w:ascii="仿宋_GB2312" w:hAnsi="宋体" w:eastAsia="仿宋_GB2312"/>
          <w:color w:val="000000"/>
          <w:sz w:val="28"/>
          <w:szCs w:val="28"/>
          <w:lang w:eastAsia="zh-CN"/>
        </w:rPr>
        <w:t>行政管理事务</w:t>
      </w:r>
      <w:r>
        <w:rPr>
          <w:rFonts w:hint="eastAsia" w:ascii="仿宋_GB2312" w:hAnsi="宋体" w:eastAsia="仿宋_GB2312"/>
          <w:color w:val="000000"/>
          <w:sz w:val="28"/>
          <w:szCs w:val="28"/>
        </w:rPr>
        <w:t>。</w:t>
      </w:r>
    </w:p>
    <w:p w14:paraId="57B1B42B">
      <w:pPr>
        <w:rPr>
          <w:rFonts w:ascii="仿宋_GB2312" w:hAnsi="宋体" w:eastAsia="仿宋_GB2312"/>
          <w:color w:val="000000"/>
          <w:sz w:val="28"/>
          <w:szCs w:val="28"/>
        </w:rPr>
      </w:pPr>
      <w:r>
        <w:rPr>
          <w:rFonts w:ascii="仿宋_GB2312" w:hAnsi="宋体" w:eastAsia="仿宋_GB2312"/>
          <w:color w:val="000000"/>
          <w:sz w:val="28"/>
          <w:szCs w:val="28"/>
        </w:rPr>
        <w:t xml:space="preserve">    4.</w:t>
      </w:r>
      <w:r>
        <w:rPr>
          <w:rFonts w:hint="eastAsia" w:ascii="仿宋_GB2312" w:hAnsi="宋体" w:eastAsia="仿宋_GB2312"/>
          <w:color w:val="000000"/>
          <w:sz w:val="28"/>
          <w:szCs w:val="28"/>
        </w:rPr>
        <w:t>社会保障和就业（类）</w:t>
      </w:r>
      <w:r>
        <w:rPr>
          <w:rFonts w:ascii="仿宋_GB2312" w:hAnsi="宋体" w:eastAsia="仿宋_GB2312"/>
          <w:color w:val="000000"/>
          <w:sz w:val="28"/>
          <w:szCs w:val="28"/>
        </w:rPr>
        <w:t>208</w:t>
      </w:r>
      <w:r>
        <w:rPr>
          <w:rFonts w:hint="eastAsia" w:ascii="仿宋_GB2312" w:hAnsi="宋体" w:eastAsia="仿宋_GB2312"/>
          <w:color w:val="000000"/>
          <w:sz w:val="28"/>
          <w:szCs w:val="28"/>
        </w:rPr>
        <w:t>（款）</w:t>
      </w:r>
      <w:r>
        <w:rPr>
          <w:rFonts w:ascii="仿宋_GB2312" w:hAnsi="宋体" w:eastAsia="仿宋_GB2312"/>
          <w:color w:val="000000"/>
          <w:sz w:val="28"/>
          <w:szCs w:val="28"/>
        </w:rPr>
        <w:t>05</w:t>
      </w:r>
      <w:r>
        <w:rPr>
          <w:rFonts w:hint="eastAsia" w:ascii="仿宋_GB2312" w:hAnsi="宋体" w:eastAsia="仿宋_GB2312"/>
          <w:color w:val="000000"/>
          <w:sz w:val="28"/>
          <w:szCs w:val="28"/>
        </w:rPr>
        <w:t>（项）</w:t>
      </w:r>
      <w:r>
        <w:rPr>
          <w:rFonts w:ascii="仿宋_GB2312" w:hAnsi="宋体" w:eastAsia="仿宋_GB2312"/>
          <w:color w:val="000000"/>
          <w:sz w:val="28"/>
          <w:szCs w:val="28"/>
        </w:rPr>
        <w:t>05</w:t>
      </w:r>
      <w:r>
        <w:rPr>
          <w:rFonts w:hint="eastAsia" w:ascii="仿宋_GB2312" w:hAnsi="宋体" w:eastAsia="仿宋_GB2312"/>
          <w:color w:val="000000"/>
          <w:sz w:val="28"/>
          <w:szCs w:val="28"/>
        </w:rPr>
        <w:t>：指机关事业单位基本养老保险。（类）</w:t>
      </w:r>
      <w:r>
        <w:rPr>
          <w:rFonts w:ascii="仿宋_GB2312" w:hAnsi="宋体" w:eastAsia="仿宋_GB2312"/>
          <w:color w:val="000000"/>
          <w:sz w:val="28"/>
          <w:szCs w:val="28"/>
        </w:rPr>
        <w:t>208</w:t>
      </w:r>
      <w:r>
        <w:rPr>
          <w:rFonts w:hint="eastAsia" w:ascii="仿宋_GB2312" w:hAnsi="宋体" w:eastAsia="仿宋_GB2312"/>
          <w:color w:val="000000"/>
          <w:sz w:val="28"/>
          <w:szCs w:val="28"/>
        </w:rPr>
        <w:t>（款）</w:t>
      </w:r>
      <w:r>
        <w:rPr>
          <w:rFonts w:ascii="仿宋_GB2312" w:hAnsi="宋体" w:eastAsia="仿宋_GB2312"/>
          <w:color w:val="000000"/>
          <w:sz w:val="28"/>
          <w:szCs w:val="28"/>
        </w:rPr>
        <w:t>08</w:t>
      </w:r>
      <w:r>
        <w:rPr>
          <w:rFonts w:hint="eastAsia" w:ascii="仿宋_GB2312" w:hAnsi="宋体" w:eastAsia="仿宋_GB2312"/>
          <w:color w:val="000000"/>
          <w:sz w:val="28"/>
          <w:szCs w:val="28"/>
        </w:rPr>
        <w:t>（项）</w:t>
      </w:r>
      <w:r>
        <w:rPr>
          <w:rFonts w:ascii="仿宋_GB2312" w:hAnsi="宋体" w:eastAsia="仿宋_GB2312"/>
          <w:color w:val="000000"/>
          <w:sz w:val="28"/>
          <w:szCs w:val="28"/>
        </w:rPr>
        <w:t>01</w:t>
      </w:r>
      <w:r>
        <w:rPr>
          <w:rFonts w:hint="eastAsia" w:ascii="仿宋_GB2312" w:hAnsi="宋体" w:eastAsia="仿宋_GB2312"/>
          <w:color w:val="000000"/>
          <w:sz w:val="28"/>
          <w:szCs w:val="28"/>
        </w:rPr>
        <w:t>：指死亡抚恤。</w:t>
      </w:r>
      <w:r>
        <w:rPr>
          <w:rFonts w:ascii="仿宋_GB2312" w:hAnsi="宋体" w:eastAsia="仿宋_GB2312"/>
          <w:color w:val="000000"/>
          <w:sz w:val="28"/>
          <w:szCs w:val="28"/>
        </w:rPr>
        <w:t xml:space="preserve"> </w:t>
      </w:r>
    </w:p>
    <w:p w14:paraId="5759B621">
      <w:pPr>
        <w:rPr>
          <w:rFonts w:ascii="仿宋_GB2312" w:hAnsi="宋体" w:eastAsia="仿宋_GB2312"/>
          <w:color w:val="000000"/>
          <w:sz w:val="28"/>
          <w:szCs w:val="28"/>
        </w:rPr>
      </w:pPr>
      <w:r>
        <w:rPr>
          <w:rFonts w:ascii="仿宋_GB2312" w:hAnsi="宋体" w:eastAsia="仿宋_GB2312"/>
          <w:color w:val="000000"/>
          <w:sz w:val="28"/>
          <w:szCs w:val="28"/>
        </w:rPr>
        <w:t xml:space="preserve">    5.</w:t>
      </w:r>
      <w:r>
        <w:rPr>
          <w:rFonts w:hint="eastAsia" w:ascii="仿宋_GB2312" w:hAnsi="宋体" w:eastAsia="仿宋_GB2312"/>
          <w:color w:val="000000"/>
          <w:sz w:val="28"/>
          <w:szCs w:val="28"/>
        </w:rPr>
        <w:t>医疗卫生与计划生育（类）</w:t>
      </w:r>
      <w:r>
        <w:rPr>
          <w:rFonts w:ascii="仿宋_GB2312" w:hAnsi="宋体" w:eastAsia="仿宋_GB2312"/>
          <w:color w:val="000000"/>
          <w:sz w:val="28"/>
          <w:szCs w:val="28"/>
        </w:rPr>
        <w:t>210</w:t>
      </w:r>
      <w:r>
        <w:rPr>
          <w:rFonts w:hint="eastAsia" w:ascii="仿宋_GB2312" w:hAnsi="宋体" w:eastAsia="仿宋_GB2312"/>
          <w:color w:val="000000"/>
          <w:sz w:val="28"/>
          <w:szCs w:val="28"/>
        </w:rPr>
        <w:t>（款）</w:t>
      </w:r>
      <w:r>
        <w:rPr>
          <w:rFonts w:ascii="仿宋_GB2312" w:hAnsi="宋体" w:eastAsia="仿宋_GB2312"/>
          <w:color w:val="000000"/>
          <w:sz w:val="28"/>
          <w:szCs w:val="28"/>
        </w:rPr>
        <w:t>05</w:t>
      </w:r>
      <w:r>
        <w:rPr>
          <w:rFonts w:hint="eastAsia" w:ascii="仿宋_GB2312" w:hAnsi="宋体" w:eastAsia="仿宋_GB2312"/>
          <w:color w:val="000000"/>
          <w:sz w:val="28"/>
          <w:szCs w:val="28"/>
        </w:rPr>
        <w:t>（项）</w:t>
      </w:r>
      <w:r>
        <w:rPr>
          <w:rFonts w:ascii="仿宋_GB2312" w:hAnsi="宋体" w:eastAsia="仿宋_GB2312"/>
          <w:color w:val="000000"/>
          <w:sz w:val="28"/>
          <w:szCs w:val="28"/>
        </w:rPr>
        <w:t>01</w:t>
      </w:r>
      <w:r>
        <w:rPr>
          <w:rFonts w:hint="eastAsia" w:ascii="仿宋_GB2312" w:hAnsi="宋体" w:eastAsia="仿宋_GB2312"/>
          <w:color w:val="000000"/>
          <w:sz w:val="28"/>
          <w:szCs w:val="28"/>
        </w:rPr>
        <w:t>：指行政单位医疗。</w:t>
      </w:r>
      <w:r>
        <w:rPr>
          <w:rFonts w:ascii="仿宋_GB2312" w:hAnsi="宋体" w:eastAsia="仿宋_GB2312"/>
          <w:color w:val="000000"/>
          <w:sz w:val="28"/>
          <w:szCs w:val="28"/>
        </w:rPr>
        <w:t xml:space="preserve"> </w:t>
      </w:r>
    </w:p>
    <w:p w14:paraId="27ACE808">
      <w:pPr>
        <w:rPr>
          <w:rFonts w:ascii="仿宋_GB2312" w:hAnsi="宋体" w:eastAsia="仿宋_GB2312"/>
          <w:color w:val="000000"/>
          <w:sz w:val="28"/>
          <w:szCs w:val="28"/>
        </w:rPr>
      </w:pPr>
      <w:r>
        <w:rPr>
          <w:rFonts w:ascii="仿宋_GB2312" w:hAnsi="宋体" w:eastAsia="仿宋_GB2312"/>
          <w:color w:val="000000"/>
          <w:sz w:val="28"/>
          <w:szCs w:val="28"/>
        </w:rPr>
        <w:t xml:space="preserve">    6.</w:t>
      </w:r>
      <w:r>
        <w:rPr>
          <w:rFonts w:hint="eastAsia" w:ascii="仿宋_GB2312" w:hAnsi="宋体" w:eastAsia="仿宋_GB2312"/>
          <w:color w:val="000000"/>
          <w:sz w:val="28"/>
          <w:szCs w:val="28"/>
        </w:rPr>
        <w:t>商业服务（类）</w:t>
      </w:r>
      <w:r>
        <w:rPr>
          <w:rFonts w:ascii="仿宋_GB2312" w:hAnsi="宋体" w:eastAsia="仿宋_GB2312"/>
          <w:color w:val="000000"/>
          <w:sz w:val="28"/>
          <w:szCs w:val="28"/>
        </w:rPr>
        <w:t>216</w:t>
      </w:r>
      <w:r>
        <w:rPr>
          <w:rFonts w:hint="eastAsia" w:ascii="仿宋_GB2312" w:hAnsi="宋体" w:eastAsia="仿宋_GB2312"/>
          <w:color w:val="000000"/>
          <w:sz w:val="28"/>
          <w:szCs w:val="28"/>
        </w:rPr>
        <w:t>（款）</w:t>
      </w:r>
      <w:r>
        <w:rPr>
          <w:rFonts w:ascii="仿宋_GB2312" w:hAnsi="宋体" w:eastAsia="仿宋_GB2312"/>
          <w:color w:val="000000"/>
          <w:sz w:val="28"/>
          <w:szCs w:val="28"/>
        </w:rPr>
        <w:t>05</w:t>
      </w:r>
      <w:r>
        <w:rPr>
          <w:rFonts w:hint="eastAsia" w:ascii="仿宋_GB2312" w:hAnsi="宋体" w:eastAsia="仿宋_GB2312"/>
          <w:color w:val="000000"/>
          <w:sz w:val="28"/>
          <w:szCs w:val="28"/>
        </w:rPr>
        <w:t>（项）</w:t>
      </w:r>
      <w:r>
        <w:rPr>
          <w:rFonts w:ascii="仿宋_GB2312" w:hAnsi="宋体" w:eastAsia="仿宋_GB2312"/>
          <w:color w:val="000000"/>
          <w:sz w:val="28"/>
          <w:szCs w:val="28"/>
        </w:rPr>
        <w:t>99</w:t>
      </w:r>
      <w:r>
        <w:rPr>
          <w:rFonts w:hint="eastAsia" w:ascii="仿宋_GB2312" w:hAnsi="宋体" w:eastAsia="仿宋_GB2312"/>
          <w:color w:val="000000"/>
          <w:sz w:val="28"/>
          <w:szCs w:val="28"/>
        </w:rPr>
        <w:t>：指其他旅游业管理与服务支出。</w:t>
      </w:r>
      <w:r>
        <w:rPr>
          <w:rFonts w:ascii="仿宋_GB2312" w:hAnsi="宋体" w:eastAsia="仿宋_GB2312"/>
          <w:color w:val="000000"/>
          <w:sz w:val="28"/>
          <w:szCs w:val="28"/>
        </w:rPr>
        <w:t xml:space="preserve"> </w:t>
      </w:r>
    </w:p>
    <w:p w14:paraId="2F4E3ECB">
      <w:pPr>
        <w:rPr>
          <w:rFonts w:ascii="仿宋_GB2312" w:hAnsi="宋体" w:eastAsia="仿宋_GB2312"/>
          <w:color w:val="000000"/>
          <w:sz w:val="28"/>
          <w:szCs w:val="28"/>
        </w:rPr>
      </w:pPr>
      <w:r>
        <w:rPr>
          <w:rFonts w:hint="eastAsia" w:ascii="仿宋_GB2312" w:hAnsi="宋体" w:eastAsia="仿宋_GB2312"/>
          <w:color w:val="000000"/>
          <w:sz w:val="28"/>
          <w:szCs w:val="28"/>
        </w:rPr>
        <w:t>　</w:t>
      </w:r>
      <w:r>
        <w:rPr>
          <w:rFonts w:ascii="仿宋_GB2312" w:hAnsi="宋体" w:eastAsia="仿宋_GB2312"/>
          <w:color w:val="000000"/>
          <w:sz w:val="28"/>
          <w:szCs w:val="28"/>
        </w:rPr>
        <w:t xml:space="preserve">  7.</w:t>
      </w:r>
      <w:r>
        <w:rPr>
          <w:rFonts w:hint="eastAsia" w:ascii="仿宋_GB2312" w:hAnsi="宋体" w:eastAsia="仿宋_GB2312"/>
          <w:color w:val="000000"/>
          <w:sz w:val="28"/>
          <w:szCs w:val="28"/>
        </w:rPr>
        <w:t>住房保障（类）</w:t>
      </w:r>
      <w:r>
        <w:rPr>
          <w:rFonts w:ascii="仿宋_GB2312" w:hAnsi="宋体" w:eastAsia="仿宋_GB2312"/>
          <w:color w:val="000000"/>
          <w:sz w:val="28"/>
          <w:szCs w:val="28"/>
        </w:rPr>
        <w:t>221</w:t>
      </w:r>
      <w:r>
        <w:rPr>
          <w:rFonts w:hint="eastAsia" w:ascii="仿宋_GB2312" w:hAnsi="宋体" w:eastAsia="仿宋_GB2312"/>
          <w:color w:val="000000"/>
          <w:sz w:val="28"/>
          <w:szCs w:val="28"/>
        </w:rPr>
        <w:t>（款）</w:t>
      </w:r>
      <w:r>
        <w:rPr>
          <w:rFonts w:ascii="仿宋_GB2312" w:hAnsi="宋体" w:eastAsia="仿宋_GB2312"/>
          <w:color w:val="000000"/>
          <w:sz w:val="28"/>
          <w:szCs w:val="28"/>
        </w:rPr>
        <w:t>02</w:t>
      </w:r>
      <w:r>
        <w:rPr>
          <w:rFonts w:hint="eastAsia" w:ascii="仿宋_GB2312" w:hAnsi="宋体" w:eastAsia="仿宋_GB2312"/>
          <w:color w:val="000000"/>
          <w:sz w:val="28"/>
          <w:szCs w:val="28"/>
        </w:rPr>
        <w:t>（项）</w:t>
      </w:r>
      <w:r>
        <w:rPr>
          <w:rFonts w:ascii="仿宋_GB2312" w:hAnsi="宋体" w:eastAsia="仿宋_GB2312"/>
          <w:color w:val="000000"/>
          <w:sz w:val="28"/>
          <w:szCs w:val="28"/>
        </w:rPr>
        <w:t>01</w:t>
      </w:r>
      <w:r>
        <w:rPr>
          <w:rFonts w:hint="eastAsia" w:ascii="仿宋_GB2312" w:hAnsi="宋体" w:eastAsia="仿宋_GB2312"/>
          <w:color w:val="000000"/>
          <w:sz w:val="28"/>
          <w:szCs w:val="28"/>
        </w:rPr>
        <w:t>：指住房公积金。</w:t>
      </w:r>
      <w:r>
        <w:rPr>
          <w:rFonts w:ascii="仿宋_GB2312" w:hAnsi="宋体" w:eastAsia="仿宋_GB2312"/>
          <w:color w:val="000000"/>
          <w:sz w:val="28"/>
          <w:szCs w:val="28"/>
        </w:rPr>
        <w:t xml:space="preserve"> </w:t>
      </w:r>
    </w:p>
    <w:p w14:paraId="67CBBAF3">
      <w:pPr>
        <w:ind w:firstLine="560" w:firstLineChars="200"/>
        <w:rPr>
          <w:rFonts w:ascii="仿宋_GB2312" w:hAnsi="宋体" w:eastAsia="仿宋_GB2312"/>
          <w:color w:val="000000"/>
          <w:sz w:val="28"/>
          <w:szCs w:val="28"/>
        </w:rPr>
      </w:pPr>
      <w:r>
        <w:rPr>
          <w:rFonts w:ascii="仿宋_GB2312" w:hAnsi="宋体" w:eastAsia="仿宋_GB2312"/>
          <w:color w:val="000000"/>
          <w:sz w:val="28"/>
          <w:szCs w:val="28"/>
        </w:rPr>
        <w:t>8.</w:t>
      </w:r>
      <w:r>
        <w:rPr>
          <w:rFonts w:hint="eastAsia" w:ascii="仿宋_GB2312" w:hAnsi="宋体" w:eastAsia="仿宋_GB2312"/>
          <w:color w:val="000000"/>
          <w:sz w:val="28"/>
          <w:szCs w:val="28"/>
        </w:rPr>
        <w:t>年末结转和结余：指本年度或以前年度预算安排、因客观条件发生变化无法按原计划实施，需延迟到以后年度按有关规定继续使用的资金。</w:t>
      </w:r>
      <w:r>
        <w:rPr>
          <w:rFonts w:ascii="仿宋_GB2312" w:hAnsi="宋体" w:eastAsia="仿宋_GB2312"/>
          <w:color w:val="000000"/>
          <w:sz w:val="28"/>
          <w:szCs w:val="28"/>
        </w:rPr>
        <w:t xml:space="preserve"> </w:t>
      </w:r>
    </w:p>
    <w:p w14:paraId="0DCFE7E1">
      <w:pPr>
        <w:ind w:firstLine="560" w:firstLineChars="200"/>
        <w:rPr>
          <w:rFonts w:ascii="仿宋_GB2312" w:hAnsi="宋体" w:eastAsia="仿宋_GB2312"/>
          <w:color w:val="000000"/>
          <w:sz w:val="28"/>
          <w:szCs w:val="28"/>
        </w:rPr>
      </w:pPr>
      <w:r>
        <w:rPr>
          <w:rFonts w:ascii="仿宋_GB2312" w:hAnsi="宋体" w:eastAsia="仿宋_GB2312"/>
          <w:color w:val="000000"/>
          <w:sz w:val="28"/>
          <w:szCs w:val="28"/>
        </w:rPr>
        <w:t>9.</w:t>
      </w:r>
      <w:r>
        <w:rPr>
          <w:rFonts w:hint="eastAsia" w:ascii="仿宋_GB2312" w:hAnsi="宋体" w:eastAsia="仿宋_GB2312"/>
          <w:color w:val="000000"/>
          <w:sz w:val="28"/>
          <w:szCs w:val="28"/>
        </w:rPr>
        <w:t>基本支出：指为保障机构正常运转、完成日常工作任务而发生的人员支出和公用支出。</w:t>
      </w:r>
      <w:r>
        <w:rPr>
          <w:rFonts w:ascii="仿宋_GB2312" w:hAnsi="宋体" w:eastAsia="仿宋_GB2312"/>
          <w:color w:val="000000"/>
          <w:sz w:val="28"/>
          <w:szCs w:val="28"/>
        </w:rPr>
        <w:t xml:space="preserve"> </w:t>
      </w:r>
    </w:p>
    <w:p w14:paraId="7BFF4FEB">
      <w:pPr>
        <w:ind w:firstLine="560" w:firstLineChars="200"/>
        <w:rPr>
          <w:rFonts w:ascii="仿宋_GB2312" w:hAnsi="宋体" w:eastAsia="仿宋_GB2312"/>
          <w:color w:val="000000"/>
          <w:sz w:val="28"/>
          <w:szCs w:val="28"/>
        </w:rPr>
      </w:pPr>
      <w:r>
        <w:rPr>
          <w:rFonts w:ascii="仿宋_GB2312" w:hAnsi="宋体" w:eastAsia="仿宋_GB2312"/>
          <w:color w:val="000000"/>
          <w:sz w:val="28"/>
          <w:szCs w:val="28"/>
        </w:rPr>
        <w:t>10.</w:t>
      </w:r>
      <w:r>
        <w:rPr>
          <w:rFonts w:hint="eastAsia" w:ascii="仿宋_GB2312" w:hAnsi="宋体" w:eastAsia="仿宋_GB2312"/>
          <w:color w:val="000000"/>
          <w:sz w:val="28"/>
          <w:szCs w:val="28"/>
        </w:rPr>
        <w:t>项目支出：指在基本支出之外为完成特定行政任务和事业发展目标所发生的支出。</w:t>
      </w:r>
      <w:r>
        <w:rPr>
          <w:rFonts w:ascii="仿宋_GB2312" w:hAnsi="宋体" w:eastAsia="仿宋_GB2312"/>
          <w:color w:val="000000"/>
          <w:sz w:val="28"/>
          <w:szCs w:val="28"/>
        </w:rPr>
        <w:t xml:space="preserve"> </w:t>
      </w:r>
    </w:p>
    <w:p w14:paraId="0CA9D885">
      <w:pPr>
        <w:ind w:firstLine="560" w:firstLineChars="200"/>
        <w:rPr>
          <w:rFonts w:ascii="仿宋_GB2312" w:hAnsi="宋体" w:eastAsia="仿宋_GB2312"/>
          <w:color w:val="000000"/>
          <w:sz w:val="28"/>
          <w:szCs w:val="28"/>
        </w:rPr>
      </w:pPr>
      <w:r>
        <w:rPr>
          <w:rFonts w:ascii="仿宋_GB2312" w:hAnsi="宋体" w:eastAsia="仿宋_GB2312"/>
          <w:color w:val="000000"/>
          <w:sz w:val="28"/>
          <w:szCs w:val="28"/>
        </w:rPr>
        <w:t>11.</w:t>
      </w:r>
      <w:r>
        <w:rPr>
          <w:rFonts w:hint="eastAsia" w:ascii="仿宋_GB2312" w:hAnsi="宋体" w:eastAsia="仿宋_GB2312"/>
          <w:color w:val="000000"/>
          <w:sz w:val="28"/>
          <w:szCs w:val="28"/>
        </w:rPr>
        <w:t>“三公”经费：纳入县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r>
        <w:rPr>
          <w:rFonts w:ascii="仿宋_GB2312" w:hAnsi="宋体" w:eastAsia="仿宋_GB2312"/>
          <w:color w:val="000000"/>
          <w:sz w:val="28"/>
          <w:szCs w:val="28"/>
        </w:rPr>
        <w:t xml:space="preserve"> </w:t>
      </w:r>
    </w:p>
    <w:p w14:paraId="6AE41A64">
      <w:pPr>
        <w:ind w:firstLine="560" w:firstLineChars="200"/>
        <w:rPr>
          <w:rFonts w:ascii="仿宋_GB2312" w:hAnsi="宋体" w:eastAsia="仿宋_GB2312"/>
          <w:sz w:val="28"/>
          <w:szCs w:val="28"/>
        </w:rPr>
      </w:pPr>
      <w:r>
        <w:rPr>
          <w:rFonts w:ascii="仿宋_GB2312" w:hAnsi="宋体" w:eastAsia="仿宋_GB2312"/>
          <w:color w:val="000000"/>
          <w:sz w:val="28"/>
          <w:szCs w:val="28"/>
        </w:rPr>
        <w:t>12.</w:t>
      </w:r>
      <w:r>
        <w:rPr>
          <w:rFonts w:hint="eastAsia" w:ascii="仿宋_GB2312" w:hAnsi="宋体" w:eastAsia="仿宋_GB2312"/>
          <w:color w:val="000000"/>
          <w:sz w:val="28"/>
          <w:szCs w:val="28"/>
        </w:rPr>
        <w:t>机关运行经费：为保障行政单位（含参照公务员法管理的事业单位）运行用于购买货物和服务的各项资金，包括办公及印刷费、</w:t>
      </w:r>
      <w:r>
        <w:rPr>
          <w:rFonts w:hint="eastAsia" w:ascii="仿宋_GB2312" w:hAnsi="宋体" w:eastAsia="仿宋_GB2312"/>
          <w:sz w:val="28"/>
          <w:szCs w:val="28"/>
        </w:rPr>
        <w:t>邮电费、差旅费、会议费、福利费、日常维修费、专用材料及一般设备购置费、办公用房水电费、办公用房取暖费、办公用房物业管理费、公务用车运行维护费以及其他费用。</w:t>
      </w:r>
    </w:p>
    <w:p w14:paraId="4BD55162">
      <w:pPr>
        <w:ind w:firstLine="560" w:firstLineChars="200"/>
        <w:rPr>
          <w:rFonts w:ascii="仿宋_GB2312" w:hAnsi="宋体" w:eastAsia="仿宋_GB2312"/>
          <w:sz w:val="28"/>
          <w:szCs w:val="28"/>
        </w:rPr>
      </w:pPr>
    </w:p>
    <w:p w14:paraId="519FFB89">
      <w:pPr>
        <w:ind w:firstLine="560" w:firstLineChars="200"/>
        <w:rPr>
          <w:rFonts w:ascii="仿宋_GB2312" w:hAnsi="宋体" w:eastAsia="仿宋_GB2312"/>
          <w:sz w:val="28"/>
          <w:szCs w:val="28"/>
        </w:rPr>
      </w:pPr>
    </w:p>
    <w:p w14:paraId="018195EF">
      <w:pPr>
        <w:ind w:firstLine="560" w:firstLineChars="200"/>
        <w:rPr>
          <w:rFonts w:ascii="仿宋_GB2312" w:hAnsi="宋体" w:eastAsia="仿宋_GB2312"/>
          <w:sz w:val="28"/>
          <w:szCs w:val="28"/>
        </w:rPr>
      </w:pPr>
    </w:p>
    <w:p w14:paraId="63619929">
      <w:pPr>
        <w:ind w:firstLine="560" w:firstLineChars="200"/>
        <w:rPr>
          <w:rFonts w:ascii="仿宋_GB2312" w:hAnsi="宋体" w:eastAsia="仿宋_GB2312"/>
          <w:sz w:val="28"/>
          <w:szCs w:val="28"/>
        </w:rPr>
      </w:pPr>
    </w:p>
    <w:p w14:paraId="323DA199">
      <w:pPr>
        <w:ind w:firstLine="560" w:firstLineChars="200"/>
        <w:rPr>
          <w:rFonts w:ascii="仿宋_GB2312" w:hAnsi="宋体" w:eastAsia="仿宋_GB2312"/>
          <w:sz w:val="28"/>
          <w:szCs w:val="28"/>
        </w:rPr>
      </w:pPr>
    </w:p>
    <w:p w14:paraId="016D3883">
      <w:pPr>
        <w:ind w:firstLine="560" w:firstLineChars="200"/>
        <w:rPr>
          <w:rFonts w:ascii="仿宋_GB2312" w:hAnsi="宋体" w:eastAsia="仿宋_GB2312"/>
          <w:sz w:val="28"/>
          <w:szCs w:val="28"/>
        </w:rPr>
      </w:pPr>
    </w:p>
    <w:p w14:paraId="561DA978">
      <w:pPr>
        <w:ind w:firstLine="560" w:firstLineChars="200"/>
        <w:rPr>
          <w:rFonts w:ascii="仿宋_GB2312" w:hAnsi="宋体" w:eastAsia="仿宋_GB2312"/>
          <w:sz w:val="28"/>
          <w:szCs w:val="28"/>
        </w:rPr>
      </w:pPr>
    </w:p>
    <w:p w14:paraId="4AFB3D0E">
      <w:pPr>
        <w:ind w:firstLine="560" w:firstLineChars="200"/>
        <w:rPr>
          <w:rFonts w:ascii="仿宋_GB2312" w:hAnsi="宋体" w:eastAsia="仿宋_GB2312"/>
          <w:sz w:val="28"/>
          <w:szCs w:val="28"/>
        </w:rPr>
      </w:pPr>
    </w:p>
    <w:p w14:paraId="23622CF0">
      <w:pPr>
        <w:ind w:firstLine="560" w:firstLineChars="200"/>
        <w:rPr>
          <w:rFonts w:ascii="仿宋_GB2312" w:hAnsi="宋体" w:eastAsia="仿宋_GB2312"/>
          <w:sz w:val="28"/>
          <w:szCs w:val="28"/>
        </w:rPr>
      </w:pPr>
    </w:p>
    <w:p w14:paraId="0862A76B">
      <w:pPr>
        <w:rPr>
          <w:rFonts w:ascii="仿宋_GB2312" w:hAnsi="宋体" w:eastAsia="仿宋_GB2312"/>
          <w:sz w:val="28"/>
          <w:szCs w:val="28"/>
        </w:rPr>
      </w:pPr>
    </w:p>
    <w:p w14:paraId="4BBD5823">
      <w:pPr>
        <w:rPr>
          <w:rFonts w:ascii="仿宋_GB2312" w:hAnsi="宋体" w:eastAsia="仿宋_GB2312"/>
          <w:sz w:val="28"/>
          <w:szCs w:val="28"/>
        </w:rPr>
      </w:pPr>
    </w:p>
    <w:p w14:paraId="39EB0D42">
      <w:pPr>
        <w:spacing w:line="600" w:lineRule="exact"/>
        <w:jc w:val="center"/>
        <w:outlineLvl w:val="0"/>
        <w:rPr>
          <w:rStyle w:val="27"/>
          <w:rFonts w:ascii="黑体" w:hAnsi="黑体" w:eastAsia="黑体"/>
          <w:b w:val="0"/>
        </w:rPr>
      </w:pPr>
      <w:bookmarkStart w:id="87" w:name="_Toc19534"/>
      <w:bookmarkStart w:id="88" w:name="_Toc15396614"/>
      <w:bookmarkStart w:id="89" w:name="_Toc15906"/>
      <w:bookmarkStart w:id="90" w:name="_Toc15377226"/>
      <w:r>
        <w:rPr>
          <w:rFonts w:hint="eastAsia" w:ascii="黑体" w:hAnsi="黑体" w:eastAsia="黑体"/>
          <w:color w:val="000000"/>
          <w:sz w:val="44"/>
          <w:szCs w:val="44"/>
        </w:rPr>
        <w:t>第</w:t>
      </w:r>
      <w:r>
        <w:rPr>
          <w:rStyle w:val="27"/>
          <w:rFonts w:hint="eastAsia" w:ascii="黑体" w:hAnsi="黑体" w:eastAsia="黑体"/>
          <w:b w:val="0"/>
        </w:rPr>
        <w:t>四部分 附件</w:t>
      </w:r>
      <w:bookmarkEnd w:id="87"/>
      <w:bookmarkEnd w:id="88"/>
      <w:bookmarkEnd w:id="89"/>
    </w:p>
    <w:p w14:paraId="09686EF4">
      <w:pPr>
        <w:spacing w:line="600" w:lineRule="exact"/>
        <w:jc w:val="left"/>
        <w:outlineLvl w:val="0"/>
        <w:rPr>
          <w:rFonts w:ascii="方正小标宋简体" w:hAnsi="方正小标宋简体" w:eastAsia="方正小标宋简体" w:cs="方正小标宋简体"/>
          <w:sz w:val="32"/>
          <w:szCs w:val="32"/>
        </w:rPr>
      </w:pPr>
      <w:bookmarkStart w:id="91" w:name="_Toc4912"/>
      <w:bookmarkStart w:id="92" w:name="_Toc7676"/>
      <w:r>
        <w:rPr>
          <w:rFonts w:hint="eastAsia" w:ascii="黑体" w:hAnsi="黑体" w:eastAsia="黑体" w:cs="黑体"/>
          <w:sz w:val="32"/>
          <w:szCs w:val="32"/>
        </w:rPr>
        <w:t>附件1</w:t>
      </w:r>
      <w:bookmarkEnd w:id="91"/>
      <w:bookmarkEnd w:id="92"/>
    </w:p>
    <w:p w14:paraId="06752F2E">
      <w:pPr>
        <w:spacing w:line="580" w:lineRule="exact"/>
        <w:jc w:val="center"/>
        <w:rPr>
          <w:rFonts w:ascii="方正小标宋简体" w:hAnsi="方正小标宋简体" w:eastAsia="方正小标宋简体" w:cs="方正小标宋简体"/>
          <w:sz w:val="44"/>
          <w:szCs w:val="44"/>
        </w:rPr>
      </w:pPr>
    </w:p>
    <w:p w14:paraId="589FB573">
      <w:pPr>
        <w:widowControl/>
        <w:spacing w:line="572" w:lineRule="exact"/>
        <w:jc w:val="center"/>
        <w:rPr>
          <w:rFonts w:ascii="仿宋_GB2312" w:hAnsi="仿宋_GB2312" w:eastAsia="仿宋_GB2312" w:cs="仿宋_GB2312"/>
          <w:b/>
          <w:bCs/>
          <w:sz w:val="44"/>
          <w:szCs w:val="44"/>
        </w:rPr>
      </w:pPr>
      <w:r>
        <w:rPr>
          <w:rFonts w:hint="eastAsia" w:ascii="仿宋_GB2312" w:hAnsi="仿宋_GB2312" w:cs="仿宋_GB2312"/>
          <w:b/>
          <w:bCs/>
          <w:sz w:val="44"/>
          <w:szCs w:val="44"/>
        </w:rPr>
        <w:t>松潘县民族宗教局</w:t>
      </w:r>
      <w:r>
        <w:rPr>
          <w:rFonts w:hint="eastAsia" w:ascii="仿宋_GB2312" w:hAnsi="仿宋_GB2312" w:eastAsia="仿宋_GB2312" w:cs="仿宋_GB2312"/>
          <w:b/>
          <w:bCs/>
          <w:sz w:val="44"/>
          <w:szCs w:val="44"/>
        </w:rPr>
        <w:t>20</w:t>
      </w:r>
      <w:r>
        <w:rPr>
          <w:rFonts w:hint="eastAsia" w:ascii="仿宋_GB2312" w:hAnsi="仿宋_GB2312" w:cs="仿宋_GB2312"/>
          <w:b/>
          <w:bCs/>
          <w:sz w:val="44"/>
          <w:szCs w:val="44"/>
        </w:rPr>
        <w:t>20年</w:t>
      </w:r>
      <w:r>
        <w:rPr>
          <w:rFonts w:hint="eastAsia" w:ascii="仿宋_GB2312" w:hAnsi="仿宋_GB2312" w:eastAsia="仿宋_GB2312" w:cs="仿宋_GB2312"/>
          <w:b/>
          <w:bCs/>
          <w:sz w:val="44"/>
          <w:szCs w:val="44"/>
        </w:rPr>
        <w:t>部门整体支出</w:t>
      </w:r>
    </w:p>
    <w:p w14:paraId="0200F065">
      <w:pPr>
        <w:widowControl/>
        <w:spacing w:line="572" w:lineRule="exact"/>
        <w:jc w:val="center"/>
        <w:rPr>
          <w:rFonts w:ascii="仿宋_GB2312" w:hAnsi="仿宋_GB2312" w:eastAsia="仿宋_GB2312" w:cs="仿宋_GB2312"/>
          <w:b/>
          <w:bCs/>
          <w:color w:val="000000"/>
          <w:kern w:val="0"/>
          <w:sz w:val="44"/>
          <w:szCs w:val="44"/>
        </w:rPr>
      </w:pPr>
      <w:r>
        <w:rPr>
          <w:rFonts w:hint="eastAsia" w:ascii="仿宋_GB2312" w:hAnsi="仿宋_GB2312" w:eastAsia="仿宋_GB2312" w:cs="仿宋_GB2312"/>
          <w:b/>
          <w:bCs/>
          <w:sz w:val="44"/>
          <w:szCs w:val="44"/>
        </w:rPr>
        <w:t>绩效报告</w:t>
      </w:r>
    </w:p>
    <w:p w14:paraId="79131094">
      <w:pPr>
        <w:widowControl/>
        <w:adjustRightInd w:val="0"/>
        <w:snapToGrid w:val="0"/>
        <w:spacing w:line="572" w:lineRule="exact"/>
        <w:ind w:firstLine="321" w:firstLineChars="100"/>
        <w:jc w:val="left"/>
        <w:rPr>
          <w:rFonts w:ascii="仿宋_GB2312" w:hAnsi="仿宋_GB2312" w:eastAsia="仿宋_GB2312" w:cs="仿宋_GB2312"/>
          <w:b/>
          <w:bCs/>
          <w:color w:val="000000"/>
          <w:kern w:val="0"/>
          <w:sz w:val="32"/>
          <w:szCs w:val="32"/>
          <w:lang w:val="zh-CN"/>
        </w:rPr>
      </w:pPr>
      <w:r>
        <w:rPr>
          <w:rFonts w:hint="eastAsia" w:ascii="仿宋_GB2312" w:hAnsi="仿宋_GB2312" w:eastAsia="仿宋_GB2312" w:cs="仿宋_GB2312"/>
          <w:b/>
          <w:bCs/>
          <w:color w:val="000000"/>
          <w:kern w:val="0"/>
          <w:sz w:val="32"/>
          <w:szCs w:val="32"/>
        </w:rPr>
        <w:t>一、</w:t>
      </w:r>
      <w:r>
        <w:rPr>
          <w:rFonts w:hint="eastAsia" w:ascii="仿宋_GB2312" w:hAnsi="仿宋_GB2312" w:eastAsia="仿宋_GB2312" w:cs="仿宋_GB2312"/>
          <w:b/>
          <w:bCs/>
          <w:color w:val="000000"/>
          <w:kern w:val="0"/>
          <w:sz w:val="32"/>
          <w:szCs w:val="32"/>
          <w:lang w:val="zh-CN"/>
        </w:rPr>
        <w:t>部门（单位）概况</w:t>
      </w:r>
    </w:p>
    <w:p w14:paraId="6B6FFF51">
      <w:pPr>
        <w:ind w:firstLine="560" w:firstLineChars="200"/>
        <w:rPr>
          <w:rFonts w:ascii="仿宋_GB2312" w:hAnsi="宋体" w:eastAsia="仿宋_GB2312"/>
          <w:sz w:val="28"/>
          <w:szCs w:val="28"/>
        </w:rPr>
      </w:pPr>
      <w:r>
        <w:rPr>
          <w:rFonts w:hint="eastAsia" w:ascii="仿宋_GB2312" w:hAnsi="宋体" w:eastAsia="仿宋_GB2312"/>
          <w:sz w:val="28"/>
          <w:szCs w:val="28"/>
        </w:rPr>
        <w:t>松潘县民族宗教局设6个内设机构</w:t>
      </w:r>
    </w:p>
    <w:p w14:paraId="42A2B971">
      <w:pPr>
        <w:ind w:firstLine="560" w:firstLineChars="200"/>
        <w:rPr>
          <w:rFonts w:ascii="仿宋_GB2312" w:hAnsi="仿宋_GB2312" w:eastAsia="仿宋_GB2312" w:cs="仿宋_GB2312"/>
          <w:bCs/>
          <w:kern w:val="0"/>
          <w:sz w:val="32"/>
          <w:szCs w:val="32"/>
        </w:rPr>
      </w:pPr>
      <w:r>
        <w:rPr>
          <w:rFonts w:hint="eastAsia" w:ascii="仿宋_GB2312" w:hAnsi="宋体" w:eastAsia="仿宋_GB2312"/>
          <w:sz w:val="28"/>
          <w:szCs w:val="28"/>
        </w:rPr>
        <w:t>1.办公室:负责内外联络和综合协调工作，办公室日常工作。</w:t>
      </w:r>
      <w:r>
        <w:rPr>
          <w:rFonts w:hint="eastAsia" w:ascii="仿宋_GB2312" w:hAnsi="宋体" w:eastAsia="仿宋_GB2312"/>
          <w:sz w:val="28"/>
          <w:szCs w:val="28"/>
        </w:rPr>
        <w:br w:type="textWrapping"/>
      </w:r>
      <w:r>
        <w:rPr>
          <w:rFonts w:hint="eastAsia" w:ascii="仿宋_GB2312" w:hAnsi="宋体" w:eastAsia="仿宋_GB2312"/>
          <w:sz w:val="28"/>
          <w:szCs w:val="28"/>
        </w:rPr>
        <w:t xml:space="preserve">    2、藏传佛教事务管理股:负责掌握藏传佛教基本情况，管理我县藏传佛教事务工作。</w:t>
      </w:r>
      <w:r>
        <w:rPr>
          <w:rFonts w:hint="eastAsia" w:ascii="仿宋_GB2312" w:hAnsi="宋体" w:eastAsia="仿宋_GB2312"/>
          <w:sz w:val="28"/>
          <w:szCs w:val="28"/>
        </w:rPr>
        <w:br w:type="textWrapping"/>
      </w:r>
      <w:r>
        <w:rPr>
          <w:rFonts w:hint="eastAsia" w:ascii="仿宋_GB2312" w:hAnsi="宋体" w:eastAsia="仿宋_GB2312"/>
          <w:sz w:val="28"/>
          <w:szCs w:val="28"/>
        </w:rPr>
        <w:t xml:space="preserve">    3、伊斯兰教事务管理股:负责掌握伊斯兰教基本情况，管理我县伊斯兰教事务工作。</w:t>
      </w:r>
      <w:r>
        <w:rPr>
          <w:rFonts w:hint="eastAsia" w:ascii="仿宋_GB2312" w:hAnsi="宋体" w:eastAsia="仿宋_GB2312"/>
          <w:sz w:val="28"/>
          <w:szCs w:val="28"/>
        </w:rPr>
        <w:br w:type="textWrapping"/>
      </w:r>
      <w:r>
        <w:rPr>
          <w:rFonts w:hint="eastAsia" w:ascii="仿宋_GB2312" w:hAnsi="宋体" w:eastAsia="仿宋_GB2312"/>
          <w:sz w:val="28"/>
          <w:szCs w:val="28"/>
        </w:rPr>
        <w:t xml:space="preserve">    4、政策法规股(行政执法大队):制定民族宗教方面的学习和宣传教育规划，组织、指导、检查民族宗教法律、法规和政策的学习宣传和贯彻实施;负责民族宗教法律、法规和政策的培训工作;承办民族宗教政策方面的文章、材料、书刊及音像制品的审阅和审核;贯彻执行我国民族宗教方面的对外方针、政策和法规，组织调研我县民族宗教状况，对影响社会稳定的重大问题提出意见和措施;检查民族宗教专项资金管理使用情况;协同有关部门处理涉外工作中民族宗教方面的问题。</w:t>
      </w:r>
      <w:r>
        <w:rPr>
          <w:rFonts w:hint="eastAsia" w:ascii="仿宋_GB2312" w:hAnsi="宋体" w:eastAsia="仿宋_GB2312"/>
          <w:sz w:val="28"/>
          <w:szCs w:val="28"/>
        </w:rPr>
        <w:br w:type="textWrapping"/>
      </w:r>
      <w:r>
        <w:rPr>
          <w:rFonts w:hint="eastAsia" w:ascii="仿宋_GB2312" w:hAnsi="宋体" w:eastAsia="仿宋_GB2312"/>
          <w:sz w:val="28"/>
          <w:szCs w:val="28"/>
        </w:rPr>
        <w:t xml:space="preserve">    5、民族事务管理股:处理相关民族事务，指导、检查民族政策的落实情况，协调处理维护少数民族合法权益相关事务，加强民族团结进步教育，加强民族乡的建设。负责少数民族发展资金和机动资金的使用和监督管理。</w:t>
      </w:r>
      <w:r>
        <w:rPr>
          <w:rFonts w:hint="eastAsia" w:ascii="仿宋_GB2312" w:hAnsi="宋体" w:eastAsia="仿宋_GB2312"/>
          <w:sz w:val="28"/>
          <w:szCs w:val="28"/>
        </w:rPr>
        <w:br w:type="textWrapping"/>
      </w:r>
      <w:r>
        <w:rPr>
          <w:rFonts w:hint="eastAsia" w:ascii="仿宋_GB2312" w:hAnsi="宋体" w:eastAsia="仿宋_GB2312"/>
          <w:sz w:val="28"/>
          <w:szCs w:val="28"/>
        </w:rPr>
        <w:t xml:space="preserve">    6、两项资金管理股:负责编制全县两项资金项目的规划与年度计划，监督管理两项资金的使用和项目实施情况。</w:t>
      </w:r>
    </w:p>
    <w:p w14:paraId="77B0F6FE">
      <w:pPr>
        <w:widowControl/>
        <w:numPr>
          <w:ilvl w:val="0"/>
          <w:numId w:val="4"/>
        </w:numPr>
        <w:adjustRightInd w:val="0"/>
        <w:snapToGrid w:val="0"/>
        <w:spacing w:line="572" w:lineRule="exact"/>
        <w:ind w:firstLine="643" w:firstLineChars="200"/>
        <w:jc w:val="left"/>
        <w:rPr>
          <w:rFonts w:ascii="仿宋_GB2312" w:hAnsi="仿宋_GB2312" w:cs="仿宋_GB2312"/>
          <w:b/>
          <w:bCs/>
          <w:color w:val="000000"/>
          <w:sz w:val="32"/>
          <w:szCs w:val="32"/>
          <w:lang w:val="zh-CN"/>
        </w:rPr>
      </w:pPr>
      <w:r>
        <w:rPr>
          <w:rFonts w:hint="eastAsia" w:ascii="仿宋_GB2312" w:hAnsi="仿宋_GB2312" w:cs="仿宋_GB2312"/>
          <w:b/>
          <w:bCs/>
          <w:color w:val="000000"/>
          <w:sz w:val="32"/>
          <w:szCs w:val="32"/>
          <w:lang w:val="zh-CN"/>
        </w:rPr>
        <w:t>人员概况。</w:t>
      </w:r>
    </w:p>
    <w:p w14:paraId="5B007166">
      <w:pPr>
        <w:ind w:firstLine="560" w:firstLineChars="200"/>
        <w:rPr>
          <w:rFonts w:ascii="仿宋_GB2312" w:hAnsi="宋体" w:eastAsia="仿宋_GB2312"/>
          <w:sz w:val="28"/>
          <w:szCs w:val="28"/>
        </w:rPr>
      </w:pPr>
      <w:r>
        <w:rPr>
          <w:rFonts w:hint="eastAsia" w:ascii="仿宋_GB2312" w:hAnsi="宋体" w:eastAsia="仿宋_GB2312"/>
          <w:sz w:val="28"/>
          <w:szCs w:val="28"/>
        </w:rPr>
        <w:t>我局属独立编制机构和独立核算的行政单位，截至2020年12月31日在编人员16人，其中行政编制16人（含工勤1人）。</w:t>
      </w:r>
    </w:p>
    <w:p w14:paraId="3B0B2B19">
      <w:pPr>
        <w:widowControl/>
        <w:numPr>
          <w:ilvl w:val="0"/>
          <w:numId w:val="4"/>
        </w:numPr>
        <w:adjustRightInd w:val="0"/>
        <w:snapToGrid w:val="0"/>
        <w:spacing w:line="572" w:lineRule="exact"/>
        <w:ind w:firstLine="643" w:firstLineChars="200"/>
        <w:jc w:val="left"/>
        <w:rPr>
          <w:rFonts w:ascii="仿宋_GB2312" w:hAnsi="仿宋_GB2312" w:cs="仿宋_GB2312"/>
          <w:b/>
          <w:bCs/>
          <w:color w:val="000000"/>
          <w:sz w:val="32"/>
          <w:szCs w:val="32"/>
        </w:rPr>
      </w:pPr>
      <w:r>
        <w:rPr>
          <w:rFonts w:hint="eastAsia" w:ascii="仿宋_GB2312" w:hAnsi="仿宋_GB2312" w:cs="仿宋_GB2312"/>
          <w:b/>
          <w:bCs/>
          <w:color w:val="000000"/>
          <w:sz w:val="32"/>
          <w:szCs w:val="32"/>
        </w:rPr>
        <w:t>部门财政资金收支情况</w:t>
      </w:r>
    </w:p>
    <w:p w14:paraId="36813E24">
      <w:pPr>
        <w:ind w:firstLine="560" w:firstLineChars="200"/>
        <w:rPr>
          <w:rFonts w:ascii="仿宋_GB2312" w:hAnsi="宋体" w:eastAsia="仿宋_GB2312"/>
          <w:sz w:val="28"/>
          <w:szCs w:val="28"/>
        </w:rPr>
      </w:pPr>
      <w:r>
        <w:rPr>
          <w:rFonts w:hint="eastAsia" w:ascii="仿宋_GB2312" w:hAnsi="宋体" w:eastAsia="仿宋_GB2312"/>
          <w:sz w:val="28"/>
          <w:szCs w:val="28"/>
        </w:rPr>
        <w:t xml:space="preserve">（一）收支总体情况 </w:t>
      </w:r>
    </w:p>
    <w:p w14:paraId="1739BFAD">
      <w:pPr>
        <w:ind w:firstLine="560" w:firstLineChars="200"/>
        <w:rPr>
          <w:rFonts w:ascii="仿宋_GB2312" w:hAnsi="宋体" w:eastAsia="仿宋_GB2312"/>
          <w:sz w:val="28"/>
          <w:szCs w:val="28"/>
        </w:rPr>
      </w:pPr>
      <w:r>
        <w:rPr>
          <w:rFonts w:hint="eastAsia" w:ascii="仿宋_GB2312" w:hAnsi="宋体" w:eastAsia="仿宋_GB2312"/>
          <w:sz w:val="28"/>
          <w:szCs w:val="28"/>
        </w:rPr>
        <w:t xml:space="preserve">2020年松潘县民宗局本年收入合计1949.36万元，其中：财政拨款收入1943.36万元，占100%； </w:t>
      </w:r>
      <w:r>
        <w:rPr>
          <w:rFonts w:hint="eastAsia" w:ascii="仿宋_GB2312" w:hAnsi="宋体" w:eastAsia="仿宋_GB2312"/>
          <w:sz w:val="28"/>
          <w:szCs w:val="28"/>
        </w:rPr>
        <w:br w:type="textWrapping"/>
      </w:r>
      <w:r>
        <w:rPr>
          <w:rFonts w:hint="eastAsia" w:ascii="仿宋_GB2312" w:hAnsi="宋体" w:eastAsia="仿宋_GB2312"/>
          <w:sz w:val="28"/>
          <w:szCs w:val="28"/>
        </w:rPr>
        <w:t>　　2020年松潘县民宗局本年支出合计2099.41万元，其中：基本支出326.84万元，占16%；项目支出1772.56万元，占84%。</w:t>
      </w:r>
      <w:r>
        <w:rPr>
          <w:rFonts w:hint="eastAsia" w:ascii="仿宋_GB2312" w:hAnsi="宋体" w:eastAsia="仿宋_GB2312"/>
          <w:sz w:val="28"/>
          <w:szCs w:val="28"/>
        </w:rPr>
        <w:br w:type="textWrapping"/>
      </w:r>
      <w:r>
        <w:rPr>
          <w:rFonts w:hint="eastAsia" w:ascii="仿宋_GB2312" w:hAnsi="宋体" w:eastAsia="仿宋_GB2312"/>
          <w:sz w:val="28"/>
          <w:szCs w:val="28"/>
        </w:rPr>
        <w:t xml:space="preserve">    （二）财政拨款收支情况 </w:t>
      </w:r>
    </w:p>
    <w:p w14:paraId="1D7B0619">
      <w:pPr>
        <w:ind w:firstLine="560" w:firstLineChars="200"/>
        <w:rPr>
          <w:rFonts w:ascii="仿宋_GB2312" w:hAnsi="宋体" w:eastAsia="仿宋_GB2312"/>
          <w:sz w:val="28"/>
          <w:szCs w:val="28"/>
        </w:rPr>
      </w:pPr>
      <w:r>
        <w:rPr>
          <w:rFonts w:hint="eastAsia" w:ascii="仿宋_GB2312" w:hAnsi="宋体" w:eastAsia="仿宋_GB2312"/>
          <w:sz w:val="28"/>
          <w:szCs w:val="28"/>
        </w:rPr>
        <w:t>松潘县民宗局2020年度财政拨款收入总决算1949.36万元，2019年度财政拨款收入总决算2699.56万元。与2019年相比，财政拨款收入减少750.20万元，减少28%。</w:t>
      </w:r>
    </w:p>
    <w:p w14:paraId="13A5B40B">
      <w:pPr>
        <w:ind w:firstLine="560" w:firstLineChars="200"/>
        <w:rPr>
          <w:rFonts w:ascii="仿宋_GB2312" w:hAnsi="宋体" w:eastAsia="仿宋_GB2312"/>
          <w:sz w:val="28"/>
          <w:szCs w:val="28"/>
        </w:rPr>
      </w:pPr>
      <w:r>
        <w:rPr>
          <w:rFonts w:hint="eastAsia" w:ascii="仿宋_GB2312" w:hAnsi="宋体" w:eastAsia="仿宋_GB2312"/>
          <w:sz w:val="28"/>
          <w:szCs w:val="28"/>
        </w:rPr>
        <w:t>松潘县民宗局2020年度一般公共预算财政拨款支出2099.41万元，2019年度一般公共预算财政拨款支出1048.30万元，与2019年相比，一般公共预算财政拨款支出增加1051.11万元，增长100%。该支出主要用于以下方面:一般公共服务支出1922.55万元，占91.6%；社会保障和就业支出28.00万元，占1.3%；医疗卫生支出17.78万元，占0.8%；住房保障支出23.94万元，占1.2%；农林水支出：107.14万元，占5.1%。</w:t>
      </w:r>
    </w:p>
    <w:p w14:paraId="56F8BDFF">
      <w:pPr>
        <w:ind w:firstLine="560" w:firstLineChars="200"/>
        <w:rPr>
          <w:rFonts w:ascii="仿宋_GB2312" w:hAnsi="宋体" w:eastAsia="仿宋_GB2312"/>
          <w:sz w:val="28"/>
          <w:szCs w:val="28"/>
        </w:rPr>
      </w:pPr>
      <w:r>
        <w:rPr>
          <w:rFonts w:hint="eastAsia" w:ascii="仿宋_GB2312" w:hAnsi="宋体" w:eastAsia="仿宋_GB2312"/>
          <w:sz w:val="28"/>
          <w:szCs w:val="28"/>
        </w:rPr>
        <w:t xml:space="preserve">（三）“三公”经费财政拨款支出决算情况 </w:t>
      </w:r>
      <w:r>
        <w:rPr>
          <w:rFonts w:hint="eastAsia" w:ascii="仿宋_GB2312" w:hAnsi="宋体" w:eastAsia="仿宋_GB2312"/>
          <w:sz w:val="28"/>
          <w:szCs w:val="28"/>
        </w:rPr>
        <w:br w:type="textWrapping"/>
      </w:r>
      <w:r>
        <w:rPr>
          <w:rFonts w:hint="eastAsia" w:ascii="仿宋_GB2312" w:hAnsi="宋体" w:eastAsia="仿宋_GB2312"/>
          <w:sz w:val="28"/>
          <w:szCs w:val="28"/>
        </w:rPr>
        <w:t xml:space="preserve">    1、“三公”经费财政拨款支出决算总体情况说明 </w:t>
      </w:r>
    </w:p>
    <w:p w14:paraId="1F9DBBBA">
      <w:pPr>
        <w:ind w:firstLine="560" w:firstLineChars="200"/>
        <w:rPr>
          <w:rFonts w:ascii="仿宋_GB2312" w:hAnsi="宋体" w:eastAsia="仿宋_GB2312"/>
          <w:sz w:val="28"/>
          <w:szCs w:val="28"/>
        </w:rPr>
      </w:pPr>
      <w:r>
        <w:rPr>
          <w:rFonts w:hint="eastAsia" w:ascii="仿宋_GB2312" w:hAnsi="宋体" w:eastAsia="仿宋_GB2312"/>
          <w:sz w:val="28"/>
          <w:szCs w:val="28"/>
        </w:rPr>
        <w:t>松潘县民宗局2020年度“三公”经费财政拨款支出决算为3.84万元，完成预算100%，其中：因公出国（境）费支出决算为0万元，公务用车购置及运行维护费支出决算为3.84万元，完成预算24%。</w:t>
      </w:r>
    </w:p>
    <w:p w14:paraId="01378B1E">
      <w:pPr>
        <w:ind w:firstLine="560" w:firstLineChars="200"/>
        <w:rPr>
          <w:rFonts w:ascii="仿宋_GB2312" w:hAnsi="宋体" w:eastAsia="仿宋_GB2312"/>
          <w:sz w:val="28"/>
          <w:szCs w:val="28"/>
        </w:rPr>
      </w:pPr>
      <w:r>
        <w:rPr>
          <w:rFonts w:hint="eastAsia" w:ascii="仿宋_GB2312" w:hAnsi="宋体" w:eastAsia="仿宋_GB2312"/>
          <w:sz w:val="28"/>
          <w:szCs w:val="28"/>
        </w:rPr>
        <w:t xml:space="preserve">2、2020年度“三公”经费财政拨款支出决算中，因公出国（境）费支出决算0万元，占0%；公务用车购置及运行维护费支出决算3.84万元，占100%；公务接待费支出决算0万元，占0%。具体情况如下： </w:t>
      </w:r>
    </w:p>
    <w:p w14:paraId="4AE0A862">
      <w:pPr>
        <w:ind w:firstLine="560" w:firstLineChars="200"/>
        <w:rPr>
          <w:rFonts w:ascii="仿宋_GB2312" w:hAnsi="宋体" w:eastAsia="仿宋_GB2312"/>
          <w:sz w:val="28"/>
          <w:szCs w:val="28"/>
        </w:rPr>
      </w:pPr>
      <w:r>
        <w:rPr>
          <w:rFonts w:hint="eastAsia" w:ascii="仿宋_GB2312" w:hAnsi="宋体" w:eastAsia="仿宋_GB2312"/>
          <w:sz w:val="28"/>
          <w:szCs w:val="28"/>
        </w:rPr>
        <w:t xml:space="preserve">1.因公出国（境）经费 </w:t>
      </w:r>
    </w:p>
    <w:p w14:paraId="27A89112">
      <w:pPr>
        <w:ind w:firstLine="560" w:firstLineChars="200"/>
        <w:rPr>
          <w:rFonts w:ascii="仿宋_GB2312" w:hAnsi="宋体" w:eastAsia="仿宋_GB2312"/>
          <w:sz w:val="28"/>
          <w:szCs w:val="28"/>
        </w:rPr>
      </w:pPr>
      <w:r>
        <w:rPr>
          <w:rFonts w:hint="eastAsia" w:ascii="仿宋_GB2312" w:hAnsi="宋体" w:eastAsia="仿宋_GB2312"/>
          <w:sz w:val="28"/>
          <w:szCs w:val="28"/>
        </w:rPr>
        <w:t xml:space="preserve">无开支内容。 </w:t>
      </w:r>
    </w:p>
    <w:p w14:paraId="08D219D6">
      <w:pPr>
        <w:ind w:firstLine="560" w:firstLineChars="200"/>
        <w:rPr>
          <w:rFonts w:ascii="仿宋_GB2312" w:hAnsi="宋体" w:eastAsia="仿宋_GB2312"/>
          <w:sz w:val="28"/>
          <w:szCs w:val="28"/>
        </w:rPr>
      </w:pPr>
      <w:r>
        <w:rPr>
          <w:rFonts w:hint="eastAsia" w:ascii="仿宋_GB2312" w:hAnsi="宋体" w:eastAsia="仿宋_GB2312"/>
          <w:sz w:val="28"/>
          <w:szCs w:val="28"/>
        </w:rPr>
        <w:t xml:space="preserve">2.公务用车购置及运行维护费 </w:t>
      </w:r>
    </w:p>
    <w:p w14:paraId="7F35E65A">
      <w:pPr>
        <w:ind w:firstLine="560" w:firstLineChars="200"/>
        <w:rPr>
          <w:rFonts w:ascii="仿宋_GB2312" w:hAnsi="宋体" w:eastAsia="仿宋_GB2312"/>
          <w:sz w:val="28"/>
          <w:szCs w:val="28"/>
        </w:rPr>
      </w:pPr>
      <w:r>
        <w:rPr>
          <w:rFonts w:hint="eastAsia" w:ascii="仿宋_GB2312" w:hAnsi="宋体" w:eastAsia="仿宋_GB2312"/>
          <w:sz w:val="28"/>
          <w:szCs w:val="28"/>
        </w:rPr>
        <w:t xml:space="preserve">2020年公务用车购置及运行维护费3.84万元,其中： 公务用车购置支出0万元。截至2020年12月底，单位共有公务用车1辆，其中：轿车1辆。 公务用车运行维护费支出3.84万元。主要用于所需的公务用车燃料费、维修费、过路过桥费、保险费等支出。 </w:t>
      </w:r>
    </w:p>
    <w:p w14:paraId="51D31310">
      <w:pPr>
        <w:ind w:firstLine="560" w:firstLineChars="200"/>
        <w:rPr>
          <w:rFonts w:ascii="仿宋_GB2312" w:hAnsi="宋体" w:eastAsia="仿宋_GB2312"/>
          <w:sz w:val="28"/>
          <w:szCs w:val="28"/>
        </w:rPr>
      </w:pPr>
      <w:r>
        <w:rPr>
          <w:rFonts w:hint="eastAsia" w:ascii="仿宋_GB2312" w:hAnsi="宋体" w:eastAsia="仿宋_GB2312"/>
          <w:sz w:val="28"/>
          <w:szCs w:val="28"/>
        </w:rPr>
        <w:t xml:space="preserve">3.公务接待费 </w:t>
      </w:r>
    </w:p>
    <w:p w14:paraId="298F3D22">
      <w:pPr>
        <w:ind w:firstLine="560" w:firstLineChars="200"/>
        <w:rPr>
          <w:rFonts w:ascii="仿宋_GB2312" w:hAnsi="宋体" w:eastAsia="仿宋_GB2312"/>
          <w:sz w:val="28"/>
          <w:szCs w:val="28"/>
        </w:rPr>
      </w:pPr>
      <w:r>
        <w:rPr>
          <w:rFonts w:hint="eastAsia" w:ascii="仿宋_GB2312" w:hAnsi="宋体" w:eastAsia="仿宋_GB2312"/>
          <w:sz w:val="28"/>
          <w:szCs w:val="28"/>
        </w:rPr>
        <w:t>松潘县民宗局2020年产生公务接待费0万元。</w:t>
      </w:r>
    </w:p>
    <w:p w14:paraId="7728FF8A">
      <w:pPr>
        <w:widowControl/>
        <w:adjustRightInd w:val="0"/>
        <w:snapToGrid w:val="0"/>
        <w:spacing w:line="572" w:lineRule="exact"/>
        <w:ind w:firstLine="643" w:firstLineChars="200"/>
        <w:jc w:val="left"/>
        <w:rPr>
          <w:rFonts w:ascii="仿宋_GB2312" w:hAnsi="仿宋_GB2312" w:cs="仿宋_GB2312"/>
          <w:b/>
          <w:bCs/>
          <w:color w:val="000000"/>
          <w:sz w:val="32"/>
          <w:szCs w:val="32"/>
          <w:lang w:val="zh-CN"/>
        </w:rPr>
      </w:pPr>
      <w:r>
        <w:rPr>
          <w:rFonts w:hint="eastAsia" w:ascii="仿宋_GB2312" w:hAnsi="仿宋_GB2312" w:cs="仿宋_GB2312"/>
          <w:b/>
          <w:bCs/>
          <w:color w:val="000000"/>
          <w:sz w:val="32"/>
          <w:szCs w:val="32"/>
          <w:lang w:val="zh-CN"/>
        </w:rPr>
        <w:t>四、预算编制情况</w:t>
      </w:r>
    </w:p>
    <w:p w14:paraId="7AE04831">
      <w:pPr>
        <w:ind w:firstLine="560" w:firstLineChars="200"/>
        <w:rPr>
          <w:rFonts w:ascii="仿宋_GB2312" w:hAnsi="宋体" w:eastAsia="仿宋_GB2312"/>
          <w:sz w:val="28"/>
          <w:szCs w:val="28"/>
          <w:lang w:val="zh-CN"/>
        </w:rPr>
      </w:pPr>
      <w:r>
        <w:rPr>
          <w:rFonts w:hint="eastAsia" w:ascii="仿宋_GB2312" w:hAnsi="宋体" w:eastAsia="仿宋_GB2312"/>
          <w:sz w:val="28"/>
          <w:szCs w:val="28"/>
        </w:rPr>
        <w:t>松潘县民族宗教局按照县财政的要求及时组织财务人员进行预决算的编制，对本年度相应用款进行及时清理和处理，做到账账相符、账实相符、账证相符,先有预算再有支出的原则，及时处理相关事务；对绩效目标进行季度梳理和年度分析，及时上报相关报表；对专项预算提前细化，分科目上报，做到收支平衡。</w:t>
      </w:r>
    </w:p>
    <w:p w14:paraId="093E71C5">
      <w:pPr>
        <w:widowControl/>
        <w:adjustRightInd w:val="0"/>
        <w:snapToGrid w:val="0"/>
        <w:spacing w:line="572" w:lineRule="exact"/>
        <w:ind w:firstLine="643" w:firstLineChars="200"/>
        <w:jc w:val="left"/>
        <w:rPr>
          <w:rFonts w:ascii="仿宋_GB2312" w:hAnsi="仿宋_GB2312" w:cs="仿宋_GB2312"/>
          <w:b/>
          <w:bCs/>
          <w:color w:val="000000"/>
          <w:sz w:val="32"/>
          <w:szCs w:val="32"/>
          <w:lang w:val="zh-CN"/>
        </w:rPr>
      </w:pPr>
      <w:r>
        <w:rPr>
          <w:rFonts w:hint="eastAsia" w:ascii="仿宋_GB2312" w:hAnsi="仿宋_GB2312" w:cs="仿宋_GB2312"/>
          <w:b/>
          <w:bCs/>
          <w:color w:val="000000"/>
          <w:sz w:val="32"/>
          <w:szCs w:val="32"/>
          <w:lang w:val="zh-CN"/>
        </w:rPr>
        <w:t>五、综合管理情况</w:t>
      </w:r>
    </w:p>
    <w:p w14:paraId="3B9F50AF">
      <w:pPr>
        <w:ind w:firstLine="560" w:firstLineChars="200"/>
        <w:rPr>
          <w:rFonts w:ascii="仿宋_GB2312" w:hAnsi="宋体" w:eastAsia="仿宋_GB2312"/>
          <w:sz w:val="28"/>
          <w:szCs w:val="28"/>
        </w:rPr>
      </w:pPr>
      <w:r>
        <w:rPr>
          <w:rFonts w:hint="eastAsia" w:ascii="仿宋_GB2312" w:hAnsi="宋体" w:eastAsia="仿宋_GB2312"/>
          <w:sz w:val="28"/>
          <w:szCs w:val="28"/>
        </w:rPr>
        <w:t xml:space="preserve">1、政府采购支出情况 </w:t>
      </w:r>
    </w:p>
    <w:p w14:paraId="69E7134D">
      <w:pPr>
        <w:ind w:firstLine="560" w:firstLineChars="200"/>
        <w:rPr>
          <w:rFonts w:ascii="仿宋_GB2312" w:hAnsi="宋体" w:eastAsia="仿宋_GB2312"/>
          <w:sz w:val="28"/>
          <w:szCs w:val="28"/>
        </w:rPr>
      </w:pPr>
      <w:r>
        <w:rPr>
          <w:rFonts w:hint="eastAsia" w:ascii="仿宋_GB2312" w:hAnsi="宋体" w:eastAsia="仿宋_GB2312"/>
          <w:sz w:val="28"/>
          <w:szCs w:val="28"/>
        </w:rPr>
        <w:t>2020年度，松潘县民族宗教局政府采购支出总额3.98万元。</w:t>
      </w:r>
    </w:p>
    <w:p w14:paraId="60DC66FC">
      <w:pPr>
        <w:ind w:firstLine="560" w:firstLineChars="200"/>
        <w:rPr>
          <w:rFonts w:ascii="仿宋_GB2312" w:hAnsi="宋体" w:eastAsia="仿宋_GB2312"/>
          <w:sz w:val="28"/>
          <w:szCs w:val="28"/>
          <w:lang w:val="zh-CN"/>
        </w:rPr>
      </w:pPr>
      <w:r>
        <w:rPr>
          <w:rFonts w:hint="eastAsia" w:ascii="仿宋_GB2312" w:hAnsi="宋体" w:eastAsia="仿宋_GB2312"/>
          <w:sz w:val="28"/>
          <w:szCs w:val="28"/>
        </w:rPr>
        <w:t>2、</w:t>
      </w:r>
      <w:r>
        <w:rPr>
          <w:rFonts w:hint="eastAsia" w:ascii="仿宋_GB2312" w:hAnsi="宋体" w:eastAsia="仿宋_GB2312"/>
          <w:sz w:val="28"/>
          <w:szCs w:val="28"/>
          <w:lang w:val="zh-CN"/>
        </w:rPr>
        <w:t>信息公开</w:t>
      </w:r>
    </w:p>
    <w:p w14:paraId="0267AE9D">
      <w:pPr>
        <w:ind w:firstLine="560" w:firstLineChars="200"/>
        <w:rPr>
          <w:rFonts w:ascii="仿宋_GB2312" w:hAnsi="宋体" w:eastAsia="仿宋_GB2312"/>
          <w:sz w:val="28"/>
          <w:szCs w:val="28"/>
        </w:rPr>
      </w:pPr>
      <w:r>
        <w:rPr>
          <w:rFonts w:hint="eastAsia" w:ascii="仿宋_GB2312" w:hAnsi="宋体" w:eastAsia="仿宋_GB2312"/>
          <w:sz w:val="28"/>
          <w:szCs w:val="28"/>
        </w:rPr>
        <w:t>我局2020年预算通过政府门户网站公开，在本级政府门户网站上设立预决算公开统一平台。公开的数据，不存在虚列支出的问题，按照实际支出填报。</w:t>
      </w:r>
    </w:p>
    <w:p w14:paraId="5EA26113">
      <w:pPr>
        <w:ind w:firstLine="560" w:firstLineChars="200"/>
        <w:rPr>
          <w:rFonts w:ascii="仿宋_GB2312" w:hAnsi="宋体" w:eastAsia="仿宋_GB2312"/>
          <w:sz w:val="28"/>
          <w:szCs w:val="28"/>
          <w:lang w:val="zh-CN"/>
        </w:rPr>
      </w:pPr>
      <w:r>
        <w:rPr>
          <w:rFonts w:hint="eastAsia" w:ascii="仿宋_GB2312" w:hAnsi="宋体" w:eastAsia="仿宋_GB2312"/>
          <w:sz w:val="28"/>
          <w:szCs w:val="28"/>
        </w:rPr>
        <w:t>3、</w:t>
      </w:r>
      <w:r>
        <w:rPr>
          <w:rFonts w:hint="eastAsia" w:ascii="仿宋_GB2312" w:hAnsi="宋体" w:eastAsia="仿宋_GB2312"/>
          <w:sz w:val="28"/>
          <w:szCs w:val="28"/>
          <w:lang w:val="zh-CN"/>
        </w:rPr>
        <w:t>绩效评价及依法接受财政监督情况</w:t>
      </w:r>
    </w:p>
    <w:p w14:paraId="1672FDE8">
      <w:pPr>
        <w:ind w:firstLine="560" w:firstLineChars="200"/>
        <w:rPr>
          <w:rFonts w:ascii="仿宋_GB2312" w:hAnsi="宋体" w:eastAsia="仿宋_GB2312"/>
          <w:sz w:val="28"/>
          <w:szCs w:val="28"/>
        </w:rPr>
      </w:pPr>
      <w:r>
        <w:rPr>
          <w:rFonts w:hint="eastAsia" w:ascii="仿宋_GB2312" w:hAnsi="宋体" w:eastAsia="仿宋_GB2312"/>
          <w:sz w:val="28"/>
          <w:szCs w:val="28"/>
        </w:rPr>
        <w:t>日常业务经费和机关运行经费包括“三公”经费严格按照部门当年预算执行，无违反中央八项规定的行为，无因公出国（境）费用发生，公务接待严格按照相关规定执行，我会公务接待费、公务用车运行维护费按照厉行节约的要求均未超标准、超范围。各项支出都在县财政的监管下执行，手续齐全、合理、合法。</w:t>
      </w:r>
    </w:p>
    <w:p w14:paraId="54837C41">
      <w:pPr>
        <w:ind w:firstLine="560" w:firstLineChars="200"/>
        <w:rPr>
          <w:rFonts w:ascii="仿宋_GB2312" w:hAnsi="宋体" w:eastAsia="仿宋_GB2312"/>
          <w:sz w:val="28"/>
          <w:szCs w:val="28"/>
          <w:lang w:val="zh-CN"/>
        </w:rPr>
      </w:pPr>
      <w:r>
        <w:rPr>
          <w:rFonts w:hint="eastAsia" w:ascii="仿宋_GB2312" w:hAnsi="宋体" w:eastAsia="仿宋_GB2312"/>
          <w:sz w:val="28"/>
          <w:szCs w:val="28"/>
        </w:rPr>
        <w:t>4、</w:t>
      </w:r>
      <w:r>
        <w:rPr>
          <w:rFonts w:hint="eastAsia" w:ascii="仿宋_GB2312" w:hAnsi="宋体" w:eastAsia="仿宋_GB2312"/>
          <w:sz w:val="28"/>
          <w:szCs w:val="28"/>
          <w:lang w:val="zh-CN"/>
        </w:rPr>
        <w:t>整体绩效</w:t>
      </w:r>
    </w:p>
    <w:p w14:paraId="5342B4AF">
      <w:pPr>
        <w:ind w:firstLine="560" w:firstLineChars="200"/>
        <w:rPr>
          <w:rFonts w:ascii="仿宋_GB2312" w:hAnsi="宋体" w:eastAsia="仿宋_GB2312"/>
          <w:sz w:val="28"/>
          <w:szCs w:val="28"/>
          <w:lang w:val="zh-CN"/>
        </w:rPr>
      </w:pPr>
      <w:r>
        <w:rPr>
          <w:rFonts w:hint="eastAsia" w:ascii="仿宋_GB2312" w:hAnsi="宋体" w:eastAsia="仿宋_GB2312"/>
          <w:sz w:val="28"/>
          <w:szCs w:val="28"/>
          <w:lang w:val="zh-CN"/>
        </w:rPr>
        <w:t>松潘县民族宗教局认真按照工作职责，工作人员认真履行职责，对各项工作认真负责，重点项目绩效评价结果良好。</w:t>
      </w:r>
    </w:p>
    <w:p w14:paraId="411A8D11">
      <w:pPr>
        <w:widowControl/>
        <w:adjustRightInd w:val="0"/>
        <w:snapToGrid w:val="0"/>
        <w:spacing w:line="572" w:lineRule="exact"/>
        <w:ind w:firstLine="964" w:firstLineChars="300"/>
        <w:jc w:val="left"/>
        <w:rPr>
          <w:rFonts w:ascii="仿宋_GB2312" w:hAnsi="仿宋_GB2312" w:cs="仿宋_GB2312"/>
          <w:color w:val="000000"/>
          <w:sz w:val="32"/>
          <w:szCs w:val="32"/>
        </w:rPr>
      </w:pPr>
      <w:r>
        <w:rPr>
          <w:rFonts w:hint="eastAsia" w:ascii="仿宋_GB2312" w:hAnsi="仿宋_GB2312" w:cs="仿宋_GB2312"/>
          <w:b/>
          <w:bCs/>
          <w:color w:val="000000"/>
          <w:sz w:val="32"/>
          <w:szCs w:val="32"/>
        </w:rPr>
        <w:t>六、评价结论及建议</w:t>
      </w:r>
    </w:p>
    <w:p w14:paraId="32A2A9CE">
      <w:pPr>
        <w:ind w:firstLine="560" w:firstLineChars="200"/>
        <w:rPr>
          <w:rFonts w:ascii="仿宋_GB2312" w:hAnsi="宋体" w:eastAsia="仿宋_GB2312"/>
          <w:sz w:val="28"/>
          <w:szCs w:val="28"/>
        </w:rPr>
      </w:pPr>
      <w:r>
        <w:rPr>
          <w:rFonts w:hint="eastAsia" w:ascii="仿宋_GB2312" w:hAnsi="宋体" w:eastAsia="仿宋_GB2312"/>
          <w:sz w:val="28"/>
          <w:szCs w:val="28"/>
        </w:rPr>
        <w:t>2020年松潘县民族宗教局认真落实县委、县政府决策部署，按照保进度、重质量、求实效的要求，全面推进各项重点工作，较好地完成了各项目标任务，部门整体支出绩效为“良好”。科学合理编制预算，严格执行预算，规范账务处理，提高财务信息质量，完善管理制度，进一步加强资产管理。</w:t>
      </w:r>
    </w:p>
    <w:p w14:paraId="25591B81">
      <w:pPr>
        <w:spacing w:line="600" w:lineRule="exact"/>
        <w:rPr>
          <w:rStyle w:val="27"/>
          <w:rFonts w:ascii="黑体" w:hAnsi="黑体" w:eastAsia="黑体"/>
          <w:b w:val="0"/>
        </w:rPr>
      </w:pPr>
    </w:p>
    <w:p w14:paraId="6680EB45">
      <w:pPr>
        <w:spacing w:line="600" w:lineRule="exact"/>
        <w:jc w:val="center"/>
        <w:rPr>
          <w:rStyle w:val="27"/>
          <w:rFonts w:ascii="黑体" w:hAnsi="黑体" w:eastAsia="黑体"/>
          <w:b w:val="0"/>
        </w:rPr>
      </w:pPr>
    </w:p>
    <w:p w14:paraId="7ACE93E0">
      <w:pPr>
        <w:spacing w:line="600" w:lineRule="exact"/>
        <w:jc w:val="center"/>
        <w:rPr>
          <w:rStyle w:val="27"/>
          <w:rFonts w:ascii="黑体" w:hAnsi="黑体" w:eastAsia="黑体"/>
          <w:b w:val="0"/>
        </w:rPr>
      </w:pPr>
    </w:p>
    <w:p w14:paraId="620BE219">
      <w:pPr>
        <w:spacing w:line="600" w:lineRule="exact"/>
        <w:jc w:val="center"/>
        <w:rPr>
          <w:rStyle w:val="27"/>
          <w:rFonts w:ascii="黑体" w:hAnsi="黑体" w:eastAsia="黑体"/>
          <w:b w:val="0"/>
        </w:rPr>
      </w:pPr>
    </w:p>
    <w:p w14:paraId="7CEDBE4F">
      <w:pPr>
        <w:spacing w:line="600" w:lineRule="exact"/>
        <w:jc w:val="center"/>
        <w:rPr>
          <w:rStyle w:val="27"/>
          <w:rFonts w:ascii="黑体" w:hAnsi="黑体" w:eastAsia="黑体"/>
          <w:b w:val="0"/>
        </w:rPr>
      </w:pPr>
    </w:p>
    <w:p w14:paraId="47AAC5C0">
      <w:pPr>
        <w:spacing w:line="600" w:lineRule="exact"/>
        <w:rPr>
          <w:rStyle w:val="27"/>
          <w:rFonts w:ascii="黑体" w:hAnsi="黑体" w:eastAsia="黑体"/>
          <w:b w:val="0"/>
        </w:rPr>
      </w:pPr>
    </w:p>
    <w:p w14:paraId="7D7123B3">
      <w:pPr>
        <w:spacing w:line="600" w:lineRule="exact"/>
        <w:jc w:val="center"/>
        <w:rPr>
          <w:rStyle w:val="27"/>
          <w:rFonts w:ascii="黑体" w:hAnsi="黑体" w:eastAsia="黑体"/>
          <w:b w:val="0"/>
        </w:rPr>
      </w:pPr>
    </w:p>
    <w:p w14:paraId="787378C5">
      <w:pPr>
        <w:spacing w:line="600" w:lineRule="exact"/>
        <w:jc w:val="center"/>
        <w:rPr>
          <w:rStyle w:val="27"/>
          <w:rFonts w:ascii="黑体" w:hAnsi="黑体" w:eastAsia="黑体"/>
          <w:b w:val="0"/>
        </w:rPr>
      </w:pPr>
    </w:p>
    <w:p w14:paraId="00ED0964">
      <w:pPr>
        <w:spacing w:line="600" w:lineRule="exact"/>
        <w:jc w:val="center"/>
        <w:rPr>
          <w:rStyle w:val="27"/>
          <w:rFonts w:ascii="黑体" w:hAnsi="黑体" w:eastAsia="黑体"/>
          <w:b w:val="0"/>
        </w:rPr>
      </w:pPr>
    </w:p>
    <w:p w14:paraId="208E037E">
      <w:pPr>
        <w:spacing w:line="600" w:lineRule="exact"/>
        <w:jc w:val="center"/>
        <w:rPr>
          <w:rStyle w:val="27"/>
          <w:rFonts w:ascii="黑体" w:hAnsi="黑体" w:eastAsia="黑体"/>
          <w:b w:val="0"/>
        </w:rPr>
      </w:pPr>
    </w:p>
    <w:p w14:paraId="0328BB2A">
      <w:pPr>
        <w:spacing w:line="600" w:lineRule="exact"/>
        <w:jc w:val="center"/>
        <w:rPr>
          <w:rStyle w:val="27"/>
          <w:rFonts w:ascii="黑体" w:hAnsi="黑体" w:eastAsia="黑体"/>
          <w:b w:val="0"/>
        </w:rPr>
      </w:pPr>
    </w:p>
    <w:p w14:paraId="4CA0F6B0">
      <w:pPr>
        <w:spacing w:line="600" w:lineRule="exact"/>
        <w:rPr>
          <w:rStyle w:val="27"/>
          <w:rFonts w:ascii="黑体" w:hAnsi="黑体" w:eastAsia="黑体"/>
          <w:b w:val="0"/>
        </w:rPr>
      </w:pPr>
    </w:p>
    <w:p w14:paraId="56249784">
      <w:pPr>
        <w:spacing w:line="600" w:lineRule="exact"/>
        <w:jc w:val="center"/>
        <w:rPr>
          <w:rStyle w:val="27"/>
          <w:rFonts w:ascii="黑体" w:hAnsi="黑体" w:eastAsia="黑体"/>
          <w:b w:val="0"/>
        </w:rPr>
      </w:pPr>
    </w:p>
    <w:p w14:paraId="54D58662">
      <w:pPr>
        <w:spacing w:line="600" w:lineRule="exact"/>
        <w:rPr>
          <w:rStyle w:val="27"/>
          <w:rFonts w:ascii="黑体" w:hAnsi="黑体" w:eastAsia="黑体"/>
          <w:b w:val="0"/>
        </w:rPr>
      </w:pPr>
    </w:p>
    <w:p w14:paraId="1E9138DE">
      <w:pPr>
        <w:spacing w:line="600" w:lineRule="exact"/>
        <w:jc w:val="center"/>
        <w:outlineLvl w:val="0"/>
        <w:rPr>
          <w:rFonts w:ascii="黑体" w:hAnsi="黑体" w:eastAsia="黑体"/>
          <w:color w:val="000000"/>
          <w:sz w:val="44"/>
          <w:szCs w:val="44"/>
        </w:rPr>
      </w:pPr>
      <w:bookmarkStart w:id="93" w:name="_Toc6422"/>
      <w:bookmarkStart w:id="94" w:name="_Toc22651"/>
      <w:bookmarkStart w:id="95" w:name="_Toc15396618"/>
    </w:p>
    <w:p w14:paraId="443F5944">
      <w:pPr>
        <w:spacing w:line="600" w:lineRule="exact"/>
        <w:jc w:val="center"/>
        <w:outlineLvl w:val="0"/>
        <w:rPr>
          <w:rFonts w:ascii="黑体" w:hAnsi="黑体" w:eastAsia="黑体"/>
          <w:color w:val="000000"/>
          <w:sz w:val="44"/>
          <w:szCs w:val="44"/>
        </w:rPr>
      </w:pPr>
    </w:p>
    <w:p w14:paraId="4D505D85">
      <w:pPr>
        <w:spacing w:line="600" w:lineRule="exact"/>
        <w:jc w:val="center"/>
        <w:outlineLvl w:val="0"/>
        <w:rPr>
          <w:rFonts w:ascii="黑体" w:hAnsi="黑体" w:eastAsia="黑体"/>
          <w:color w:val="000000"/>
          <w:sz w:val="44"/>
          <w:szCs w:val="44"/>
        </w:rPr>
      </w:pPr>
    </w:p>
    <w:p w14:paraId="1F208CA9">
      <w:pPr>
        <w:spacing w:line="600" w:lineRule="exact"/>
        <w:jc w:val="center"/>
        <w:outlineLvl w:val="0"/>
        <w:rPr>
          <w:rFonts w:ascii="黑体" w:hAnsi="黑体" w:eastAsia="黑体"/>
          <w:color w:val="000000"/>
          <w:sz w:val="44"/>
          <w:szCs w:val="44"/>
        </w:rPr>
      </w:pPr>
    </w:p>
    <w:p w14:paraId="3EC104F7">
      <w:pPr>
        <w:spacing w:line="600" w:lineRule="exact"/>
        <w:jc w:val="center"/>
        <w:outlineLvl w:val="0"/>
        <w:rPr>
          <w:rFonts w:ascii="黑体" w:hAnsi="黑体" w:eastAsia="黑体"/>
          <w:color w:val="000000"/>
          <w:sz w:val="44"/>
          <w:szCs w:val="44"/>
        </w:rPr>
      </w:pPr>
    </w:p>
    <w:p w14:paraId="0DE83BD8">
      <w:pPr>
        <w:spacing w:line="600" w:lineRule="exact"/>
        <w:jc w:val="center"/>
        <w:outlineLvl w:val="0"/>
        <w:rPr>
          <w:rStyle w:val="27"/>
          <w:rFonts w:ascii="黑体" w:hAnsi="黑体" w:eastAsia="黑体"/>
          <w:b w:val="0"/>
        </w:rPr>
      </w:pPr>
      <w:r>
        <w:rPr>
          <w:rFonts w:hint="eastAsia" w:ascii="黑体" w:hAnsi="黑体" w:eastAsia="黑体"/>
          <w:color w:val="000000"/>
          <w:sz w:val="44"/>
          <w:szCs w:val="44"/>
        </w:rPr>
        <w:t>第</w:t>
      </w:r>
      <w:r>
        <w:rPr>
          <w:rStyle w:val="27"/>
          <w:rFonts w:hint="eastAsia" w:ascii="黑体" w:hAnsi="黑体" w:eastAsia="黑体"/>
          <w:b w:val="0"/>
        </w:rPr>
        <w:t>五部分 附表</w:t>
      </w:r>
      <w:bookmarkEnd w:id="90"/>
      <w:bookmarkEnd w:id="93"/>
      <w:bookmarkEnd w:id="94"/>
      <w:bookmarkEnd w:id="95"/>
    </w:p>
    <w:p w14:paraId="214C8538">
      <w:pPr>
        <w:pStyle w:val="5"/>
        <w:spacing w:line="240" w:lineRule="auto"/>
        <w:rPr>
          <w:rFonts w:ascii="楷体" w:hAnsi="楷体" w:eastAsia="楷体" w:cs="楷体"/>
          <w:color w:val="000000"/>
        </w:rPr>
      </w:pPr>
      <w:bookmarkStart w:id="96" w:name="_Toc12850"/>
      <w:bookmarkStart w:id="97" w:name="_Toc21192"/>
      <w:bookmarkStart w:id="98" w:name="_Toc15396619"/>
      <w:r>
        <w:rPr>
          <w:rFonts w:hint="eastAsia" w:ascii="楷体" w:hAnsi="楷体" w:eastAsia="楷体" w:cs="楷体"/>
          <w:b w:val="0"/>
          <w:color w:val="000000"/>
        </w:rPr>
        <w:t>一、收</w:t>
      </w:r>
      <w:r>
        <w:rPr>
          <w:rStyle w:val="28"/>
          <w:rFonts w:hint="eastAsia" w:ascii="楷体" w:hAnsi="楷体" w:eastAsia="楷体" w:cs="楷体"/>
          <w:b w:val="0"/>
          <w:bCs w:val="0"/>
        </w:rPr>
        <w:t>入支出决算总表</w:t>
      </w:r>
      <w:bookmarkEnd w:id="96"/>
      <w:bookmarkEnd w:id="97"/>
      <w:bookmarkEnd w:id="98"/>
    </w:p>
    <w:p w14:paraId="0F9F6E38">
      <w:pPr>
        <w:pStyle w:val="5"/>
        <w:spacing w:line="240" w:lineRule="auto"/>
        <w:rPr>
          <w:rFonts w:ascii="楷体" w:hAnsi="楷体" w:eastAsia="楷体" w:cs="楷体"/>
          <w:color w:val="000000"/>
        </w:rPr>
      </w:pPr>
      <w:bookmarkStart w:id="99" w:name="_Toc32439"/>
      <w:bookmarkStart w:id="100" w:name="_Toc15396620"/>
      <w:bookmarkStart w:id="101" w:name="_Toc30505"/>
      <w:r>
        <w:rPr>
          <w:rFonts w:hint="eastAsia" w:ascii="楷体" w:hAnsi="楷体" w:eastAsia="楷体" w:cs="楷体"/>
          <w:b w:val="0"/>
          <w:color w:val="000000"/>
        </w:rPr>
        <w:t>二、收</w:t>
      </w:r>
      <w:r>
        <w:rPr>
          <w:rStyle w:val="28"/>
          <w:rFonts w:hint="eastAsia" w:ascii="楷体" w:hAnsi="楷体" w:eastAsia="楷体" w:cs="楷体"/>
          <w:b w:val="0"/>
          <w:bCs w:val="0"/>
        </w:rPr>
        <w:t>入决算表</w:t>
      </w:r>
      <w:bookmarkEnd w:id="99"/>
      <w:bookmarkEnd w:id="100"/>
      <w:bookmarkEnd w:id="101"/>
    </w:p>
    <w:p w14:paraId="725408A6">
      <w:pPr>
        <w:pStyle w:val="5"/>
        <w:spacing w:line="240" w:lineRule="auto"/>
        <w:rPr>
          <w:rFonts w:ascii="楷体" w:hAnsi="楷体" w:eastAsia="楷体" w:cs="楷体"/>
          <w:color w:val="000000"/>
        </w:rPr>
      </w:pPr>
      <w:bookmarkStart w:id="102" w:name="_Toc8660"/>
      <w:bookmarkStart w:id="103" w:name="_Toc15396621"/>
      <w:bookmarkStart w:id="104" w:name="_Toc1362"/>
      <w:r>
        <w:rPr>
          <w:rStyle w:val="28"/>
          <w:rFonts w:hint="eastAsia" w:ascii="楷体" w:hAnsi="楷体" w:eastAsia="楷体" w:cs="楷体"/>
          <w:b w:val="0"/>
          <w:bCs w:val="0"/>
        </w:rPr>
        <w:t>三、</w:t>
      </w:r>
      <w:r>
        <w:rPr>
          <w:rFonts w:hint="eastAsia" w:ascii="楷体" w:hAnsi="楷体" w:eastAsia="楷体" w:cs="楷体"/>
          <w:b w:val="0"/>
          <w:color w:val="000000"/>
        </w:rPr>
        <w:t>支</w:t>
      </w:r>
      <w:r>
        <w:rPr>
          <w:rStyle w:val="28"/>
          <w:rFonts w:hint="eastAsia" w:ascii="楷体" w:hAnsi="楷体" w:eastAsia="楷体" w:cs="楷体"/>
          <w:b w:val="0"/>
          <w:bCs w:val="0"/>
        </w:rPr>
        <w:t>出决算表</w:t>
      </w:r>
      <w:bookmarkEnd w:id="102"/>
      <w:bookmarkEnd w:id="103"/>
      <w:bookmarkEnd w:id="104"/>
    </w:p>
    <w:p w14:paraId="1CDCABE3">
      <w:pPr>
        <w:pStyle w:val="5"/>
        <w:spacing w:line="240" w:lineRule="auto"/>
        <w:rPr>
          <w:rFonts w:ascii="楷体" w:hAnsi="楷体" w:eastAsia="楷体" w:cs="楷体"/>
          <w:b w:val="0"/>
          <w:color w:val="000000"/>
        </w:rPr>
      </w:pPr>
      <w:bookmarkStart w:id="105" w:name="_Toc7535"/>
      <w:bookmarkStart w:id="106" w:name="_Toc22999"/>
      <w:bookmarkStart w:id="107" w:name="_Toc15396622"/>
      <w:r>
        <w:rPr>
          <w:rStyle w:val="28"/>
          <w:rFonts w:hint="eastAsia" w:ascii="楷体" w:hAnsi="楷体" w:eastAsia="楷体" w:cs="楷体"/>
          <w:b w:val="0"/>
          <w:bCs w:val="0"/>
        </w:rPr>
        <w:t>四、</w:t>
      </w:r>
      <w:r>
        <w:rPr>
          <w:rFonts w:hint="eastAsia" w:ascii="楷体" w:hAnsi="楷体" w:eastAsia="楷体" w:cs="楷体"/>
          <w:b w:val="0"/>
          <w:color w:val="000000"/>
        </w:rPr>
        <w:t>财</w:t>
      </w:r>
      <w:r>
        <w:rPr>
          <w:rStyle w:val="28"/>
          <w:rFonts w:hint="eastAsia" w:ascii="楷体" w:hAnsi="楷体" w:eastAsia="楷体" w:cs="楷体"/>
          <w:b w:val="0"/>
          <w:bCs w:val="0"/>
        </w:rPr>
        <w:t>政拨款收入支出决算总表</w:t>
      </w:r>
      <w:bookmarkEnd w:id="105"/>
      <w:bookmarkEnd w:id="106"/>
      <w:bookmarkEnd w:id="107"/>
    </w:p>
    <w:p w14:paraId="58BAE660">
      <w:pPr>
        <w:pStyle w:val="5"/>
        <w:spacing w:line="240" w:lineRule="auto"/>
        <w:rPr>
          <w:rStyle w:val="28"/>
          <w:rFonts w:ascii="楷体" w:hAnsi="楷体" w:eastAsia="楷体" w:cs="楷体"/>
          <w:b w:val="0"/>
          <w:bCs w:val="0"/>
        </w:rPr>
      </w:pPr>
      <w:bookmarkStart w:id="108" w:name="_Toc23734"/>
      <w:bookmarkStart w:id="109" w:name="_Toc11964"/>
      <w:bookmarkStart w:id="110" w:name="_Toc15396623"/>
      <w:r>
        <w:rPr>
          <w:rStyle w:val="28"/>
          <w:rFonts w:hint="eastAsia" w:ascii="楷体" w:hAnsi="楷体" w:eastAsia="楷体" w:cs="楷体"/>
          <w:b w:val="0"/>
          <w:bCs w:val="0"/>
        </w:rPr>
        <w:t>五、</w:t>
      </w:r>
      <w:r>
        <w:rPr>
          <w:rFonts w:hint="eastAsia" w:ascii="楷体" w:hAnsi="楷体" w:eastAsia="楷体" w:cs="楷体"/>
          <w:b w:val="0"/>
          <w:color w:val="000000"/>
        </w:rPr>
        <w:t>财</w:t>
      </w:r>
      <w:r>
        <w:rPr>
          <w:rStyle w:val="28"/>
          <w:rFonts w:hint="eastAsia" w:ascii="楷体" w:hAnsi="楷体" w:eastAsia="楷体" w:cs="楷体"/>
          <w:b w:val="0"/>
          <w:bCs w:val="0"/>
        </w:rPr>
        <w:t>政拨款支出决算明细表</w:t>
      </w:r>
      <w:bookmarkEnd w:id="108"/>
      <w:bookmarkEnd w:id="109"/>
      <w:bookmarkEnd w:id="110"/>
      <w:bookmarkStart w:id="111" w:name="_Toc15396624"/>
    </w:p>
    <w:p w14:paraId="1524D296">
      <w:pPr>
        <w:pStyle w:val="5"/>
        <w:spacing w:line="240" w:lineRule="auto"/>
        <w:rPr>
          <w:rFonts w:ascii="楷体" w:hAnsi="楷体" w:eastAsia="楷体" w:cs="楷体"/>
          <w:color w:val="000000"/>
        </w:rPr>
      </w:pPr>
      <w:bookmarkStart w:id="112" w:name="_Toc6783"/>
      <w:bookmarkStart w:id="113" w:name="_Toc5540"/>
      <w:r>
        <w:rPr>
          <w:rStyle w:val="28"/>
          <w:rFonts w:hint="eastAsia" w:ascii="楷体" w:hAnsi="楷体" w:eastAsia="楷体" w:cs="楷体"/>
          <w:b w:val="0"/>
          <w:bCs w:val="0"/>
        </w:rPr>
        <w:t>六、</w:t>
      </w:r>
      <w:r>
        <w:rPr>
          <w:rFonts w:hint="eastAsia" w:ascii="楷体" w:hAnsi="楷体" w:eastAsia="楷体" w:cs="楷体"/>
          <w:b w:val="0"/>
          <w:color w:val="000000"/>
        </w:rPr>
        <w:t>一</w:t>
      </w:r>
      <w:r>
        <w:rPr>
          <w:rStyle w:val="28"/>
          <w:rFonts w:hint="eastAsia" w:ascii="楷体" w:hAnsi="楷体" w:eastAsia="楷体" w:cs="楷体"/>
          <w:b w:val="0"/>
          <w:bCs w:val="0"/>
        </w:rPr>
        <w:t>般公共预算财政拨款支出决算表</w:t>
      </w:r>
      <w:bookmarkEnd w:id="111"/>
      <w:bookmarkEnd w:id="112"/>
      <w:bookmarkEnd w:id="113"/>
    </w:p>
    <w:p w14:paraId="40AF7293">
      <w:pPr>
        <w:pStyle w:val="5"/>
        <w:spacing w:line="240" w:lineRule="auto"/>
        <w:rPr>
          <w:rFonts w:ascii="楷体" w:hAnsi="楷体" w:eastAsia="楷体" w:cs="楷体"/>
          <w:color w:val="000000"/>
        </w:rPr>
      </w:pPr>
      <w:bookmarkStart w:id="114" w:name="_Toc15396625"/>
      <w:bookmarkStart w:id="115" w:name="_Toc23277"/>
      <w:bookmarkStart w:id="116" w:name="_Toc30437"/>
      <w:r>
        <w:rPr>
          <w:rStyle w:val="28"/>
          <w:rFonts w:hint="eastAsia" w:ascii="楷体" w:hAnsi="楷体" w:eastAsia="楷体" w:cs="楷体"/>
          <w:b w:val="0"/>
          <w:bCs w:val="0"/>
        </w:rPr>
        <w:t>七、</w:t>
      </w:r>
      <w:r>
        <w:rPr>
          <w:rFonts w:hint="eastAsia" w:ascii="楷体" w:hAnsi="楷体" w:eastAsia="楷体" w:cs="楷体"/>
          <w:b w:val="0"/>
          <w:color w:val="000000"/>
        </w:rPr>
        <w:t>一</w:t>
      </w:r>
      <w:r>
        <w:rPr>
          <w:rStyle w:val="28"/>
          <w:rFonts w:hint="eastAsia" w:ascii="楷体" w:hAnsi="楷体" w:eastAsia="楷体" w:cs="楷体"/>
          <w:b w:val="0"/>
          <w:bCs w:val="0"/>
        </w:rPr>
        <w:t>般公共预算财政拨款支出决算明细表</w:t>
      </w:r>
      <w:bookmarkEnd w:id="114"/>
      <w:bookmarkEnd w:id="115"/>
      <w:bookmarkEnd w:id="116"/>
    </w:p>
    <w:p w14:paraId="25CB4014">
      <w:pPr>
        <w:pStyle w:val="5"/>
        <w:spacing w:line="240" w:lineRule="auto"/>
        <w:rPr>
          <w:rFonts w:ascii="楷体" w:hAnsi="楷体" w:eastAsia="楷体" w:cs="楷体"/>
          <w:color w:val="000000"/>
        </w:rPr>
      </w:pPr>
      <w:bookmarkStart w:id="117" w:name="_Toc15396626"/>
      <w:bookmarkStart w:id="118" w:name="_Toc9636"/>
      <w:bookmarkStart w:id="119" w:name="_Toc32193"/>
      <w:r>
        <w:rPr>
          <w:rStyle w:val="28"/>
          <w:rFonts w:hint="eastAsia" w:ascii="楷体" w:hAnsi="楷体" w:eastAsia="楷体" w:cs="楷体"/>
          <w:b w:val="0"/>
          <w:bCs w:val="0"/>
        </w:rPr>
        <w:t>八、</w:t>
      </w:r>
      <w:r>
        <w:rPr>
          <w:rFonts w:hint="eastAsia" w:ascii="楷体" w:hAnsi="楷体" w:eastAsia="楷体" w:cs="楷体"/>
          <w:b w:val="0"/>
          <w:color w:val="000000"/>
        </w:rPr>
        <w:t>一</w:t>
      </w:r>
      <w:r>
        <w:rPr>
          <w:rStyle w:val="28"/>
          <w:rFonts w:hint="eastAsia" w:ascii="楷体" w:hAnsi="楷体" w:eastAsia="楷体" w:cs="楷体"/>
          <w:b w:val="0"/>
          <w:bCs w:val="0"/>
        </w:rPr>
        <w:t>般公共预算财政拨款基本支出决算表</w:t>
      </w:r>
      <w:bookmarkEnd w:id="117"/>
      <w:bookmarkEnd w:id="118"/>
      <w:bookmarkEnd w:id="119"/>
    </w:p>
    <w:p w14:paraId="01660E78">
      <w:pPr>
        <w:pStyle w:val="5"/>
        <w:spacing w:line="240" w:lineRule="auto"/>
        <w:rPr>
          <w:rFonts w:ascii="楷体" w:hAnsi="楷体" w:eastAsia="楷体" w:cs="楷体"/>
          <w:color w:val="000000"/>
        </w:rPr>
      </w:pPr>
      <w:bookmarkStart w:id="120" w:name="_Toc32259"/>
      <w:bookmarkStart w:id="121" w:name="_Toc23338"/>
      <w:bookmarkStart w:id="122" w:name="_Toc15396627"/>
      <w:r>
        <w:rPr>
          <w:rStyle w:val="28"/>
          <w:rFonts w:hint="eastAsia" w:ascii="楷体" w:hAnsi="楷体" w:eastAsia="楷体" w:cs="楷体"/>
          <w:b w:val="0"/>
          <w:bCs w:val="0"/>
        </w:rPr>
        <w:t>九、</w:t>
      </w:r>
      <w:r>
        <w:rPr>
          <w:rFonts w:hint="eastAsia" w:ascii="楷体" w:hAnsi="楷体" w:eastAsia="楷体" w:cs="楷体"/>
          <w:b w:val="0"/>
          <w:color w:val="000000"/>
        </w:rPr>
        <w:t>一</w:t>
      </w:r>
      <w:r>
        <w:rPr>
          <w:rStyle w:val="28"/>
          <w:rFonts w:hint="eastAsia" w:ascii="楷体" w:hAnsi="楷体" w:eastAsia="楷体" w:cs="楷体"/>
          <w:b w:val="0"/>
          <w:bCs w:val="0"/>
        </w:rPr>
        <w:t>般公共预算财政拨款项目支出决算表</w:t>
      </w:r>
      <w:bookmarkEnd w:id="120"/>
      <w:bookmarkEnd w:id="121"/>
      <w:bookmarkEnd w:id="122"/>
    </w:p>
    <w:p w14:paraId="4345C4D8">
      <w:pPr>
        <w:pStyle w:val="5"/>
        <w:spacing w:line="240" w:lineRule="auto"/>
        <w:rPr>
          <w:rFonts w:ascii="楷体" w:hAnsi="楷体" w:eastAsia="楷体" w:cs="楷体"/>
          <w:color w:val="000000"/>
        </w:rPr>
      </w:pPr>
      <w:bookmarkStart w:id="123" w:name="_Toc15396628"/>
      <w:bookmarkStart w:id="124" w:name="_Toc30145"/>
      <w:bookmarkStart w:id="125" w:name="_Toc22388"/>
      <w:r>
        <w:rPr>
          <w:rStyle w:val="28"/>
          <w:rFonts w:hint="eastAsia" w:ascii="楷体" w:hAnsi="楷体" w:eastAsia="楷体" w:cs="楷体"/>
          <w:b w:val="0"/>
          <w:bCs w:val="0"/>
        </w:rPr>
        <w:t>十、</w:t>
      </w:r>
      <w:r>
        <w:rPr>
          <w:rFonts w:hint="eastAsia" w:ascii="楷体" w:hAnsi="楷体" w:eastAsia="楷体" w:cs="楷体"/>
          <w:b w:val="0"/>
          <w:color w:val="000000"/>
        </w:rPr>
        <w:t>一</w:t>
      </w:r>
      <w:r>
        <w:rPr>
          <w:rStyle w:val="28"/>
          <w:rFonts w:hint="eastAsia" w:ascii="楷体" w:hAnsi="楷体" w:eastAsia="楷体" w:cs="楷体"/>
          <w:b w:val="0"/>
          <w:bCs w:val="0"/>
        </w:rPr>
        <w:t>般公共预算财政拨款“三公”经费支出决算表</w:t>
      </w:r>
      <w:bookmarkEnd w:id="123"/>
      <w:bookmarkEnd w:id="124"/>
      <w:bookmarkEnd w:id="125"/>
    </w:p>
    <w:p w14:paraId="669D7599">
      <w:pPr>
        <w:pStyle w:val="5"/>
        <w:spacing w:line="240" w:lineRule="auto"/>
        <w:rPr>
          <w:rFonts w:ascii="楷体" w:hAnsi="楷体" w:eastAsia="楷体" w:cs="楷体"/>
          <w:color w:val="000000"/>
        </w:rPr>
      </w:pPr>
      <w:bookmarkStart w:id="126" w:name="_Toc16356"/>
      <w:bookmarkStart w:id="127" w:name="_Toc12919"/>
      <w:bookmarkStart w:id="128" w:name="_Toc15396629"/>
      <w:r>
        <w:rPr>
          <w:rStyle w:val="28"/>
          <w:rFonts w:hint="eastAsia" w:ascii="楷体" w:hAnsi="楷体" w:eastAsia="楷体" w:cs="楷体"/>
          <w:b w:val="0"/>
          <w:bCs w:val="0"/>
        </w:rPr>
        <w:t>十一、</w:t>
      </w:r>
      <w:r>
        <w:rPr>
          <w:rFonts w:hint="eastAsia" w:ascii="楷体" w:hAnsi="楷体" w:eastAsia="楷体" w:cs="楷体"/>
          <w:b w:val="0"/>
          <w:color w:val="000000"/>
        </w:rPr>
        <w:t>政</w:t>
      </w:r>
      <w:r>
        <w:rPr>
          <w:rStyle w:val="28"/>
          <w:rFonts w:hint="eastAsia" w:ascii="楷体" w:hAnsi="楷体" w:eastAsia="楷体" w:cs="楷体"/>
          <w:b w:val="0"/>
          <w:bCs w:val="0"/>
        </w:rPr>
        <w:t>府性基金预算财政拨款收入支出决算表</w:t>
      </w:r>
      <w:bookmarkEnd w:id="126"/>
      <w:bookmarkEnd w:id="127"/>
      <w:bookmarkEnd w:id="128"/>
    </w:p>
    <w:p w14:paraId="41B55FCD">
      <w:pPr>
        <w:pStyle w:val="5"/>
        <w:spacing w:line="240" w:lineRule="auto"/>
        <w:rPr>
          <w:rFonts w:ascii="楷体" w:hAnsi="楷体" w:eastAsia="楷体" w:cs="楷体"/>
          <w:color w:val="000000"/>
        </w:rPr>
      </w:pPr>
      <w:bookmarkStart w:id="129" w:name="_Toc29079"/>
      <w:bookmarkStart w:id="130" w:name="_Toc18807"/>
      <w:bookmarkStart w:id="131" w:name="_Toc15396630"/>
      <w:r>
        <w:rPr>
          <w:rStyle w:val="28"/>
          <w:rFonts w:hint="eastAsia" w:ascii="楷体" w:hAnsi="楷体" w:eastAsia="楷体" w:cs="楷体"/>
          <w:b w:val="0"/>
          <w:bCs w:val="0"/>
        </w:rPr>
        <w:t>十二、</w:t>
      </w:r>
      <w:r>
        <w:rPr>
          <w:rFonts w:hint="eastAsia" w:ascii="楷体" w:hAnsi="楷体" w:eastAsia="楷体" w:cs="楷体"/>
          <w:b w:val="0"/>
          <w:color w:val="000000"/>
        </w:rPr>
        <w:t>政</w:t>
      </w:r>
      <w:r>
        <w:rPr>
          <w:rStyle w:val="28"/>
          <w:rFonts w:hint="eastAsia" w:ascii="楷体" w:hAnsi="楷体" w:eastAsia="楷体" w:cs="楷体"/>
          <w:b w:val="0"/>
          <w:bCs w:val="0"/>
        </w:rPr>
        <w:t>府性基金预算财政拨款“三公”经费支出决算表</w:t>
      </w:r>
      <w:bookmarkEnd w:id="129"/>
      <w:bookmarkEnd w:id="130"/>
      <w:bookmarkEnd w:id="131"/>
    </w:p>
    <w:p w14:paraId="6629008E">
      <w:pPr>
        <w:pStyle w:val="5"/>
        <w:spacing w:line="240" w:lineRule="auto"/>
        <w:rPr>
          <w:rFonts w:ascii="楷体" w:hAnsi="楷体" w:eastAsia="楷体" w:cs="楷体"/>
          <w:b w:val="0"/>
          <w:color w:val="000000"/>
        </w:rPr>
      </w:pPr>
      <w:bookmarkStart w:id="132" w:name="_Toc32661"/>
      <w:bookmarkStart w:id="133" w:name="_Toc1354"/>
      <w:bookmarkStart w:id="134" w:name="_Toc15396631"/>
      <w:r>
        <w:rPr>
          <w:rStyle w:val="28"/>
          <w:rFonts w:hint="eastAsia" w:ascii="楷体" w:hAnsi="楷体" w:eastAsia="楷体" w:cs="楷体"/>
          <w:b w:val="0"/>
          <w:bCs w:val="0"/>
        </w:rPr>
        <w:t>十三、</w:t>
      </w:r>
      <w:bookmarkEnd w:id="132"/>
      <w:bookmarkEnd w:id="133"/>
      <w:bookmarkEnd w:id="134"/>
      <w:r>
        <w:rPr>
          <w:rFonts w:hint="eastAsia" w:ascii="楷体" w:hAnsi="楷体" w:eastAsia="楷体" w:cs="楷体"/>
          <w:b w:val="0"/>
          <w:color w:val="000000"/>
        </w:rPr>
        <w:t>国有资本经营预算财政拨款收入支出决算表</w:t>
      </w:r>
    </w:p>
    <w:p w14:paraId="4E07338F">
      <w:pPr>
        <w:pStyle w:val="5"/>
        <w:spacing w:line="240" w:lineRule="auto"/>
        <w:rPr>
          <w:rStyle w:val="28"/>
          <w:rFonts w:ascii="楷体" w:hAnsi="楷体" w:eastAsia="楷体" w:cs="楷体"/>
          <w:b w:val="0"/>
          <w:bCs w:val="0"/>
        </w:rPr>
      </w:pPr>
      <w:r>
        <w:rPr>
          <w:rStyle w:val="28"/>
          <w:rFonts w:hint="eastAsia" w:ascii="楷体" w:hAnsi="楷体" w:eastAsia="楷体" w:cs="楷体"/>
          <w:b w:val="0"/>
          <w:bCs w:val="0"/>
        </w:rPr>
        <w:t>十四、国有资本经营预算财政拨款支出决算表</w:t>
      </w:r>
    </w:p>
    <w:p w14:paraId="0551C4FA">
      <w:pPr>
        <w:pStyle w:val="5"/>
        <w:rPr>
          <w:rFonts w:ascii="仿宋" w:hAnsi="仿宋" w:eastAsia="仿宋"/>
          <w:color w:val="000000" w:themeColor="text1"/>
          <w14:textFill>
            <w14:solidFill>
              <w14:schemeClr w14:val="tx1"/>
            </w14:solidFill>
          </w14:textFill>
        </w:rPr>
      </w:pP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78CCB821">
        <w:pPr>
          <w:pStyle w:val="10"/>
          <w:jc w:val="center"/>
        </w:pPr>
        <w:r>
          <w:fldChar w:fldCharType="begin"/>
        </w:r>
        <w:r>
          <w:instrText xml:space="preserve">PAGE   \* MERGEFORMAT</w:instrText>
        </w:r>
        <w:r>
          <w:fldChar w:fldCharType="separate"/>
        </w:r>
        <w:r>
          <w:rPr>
            <w:lang w:val="zh-CN"/>
          </w:rPr>
          <w:t>2</w:t>
        </w:r>
        <w:r>
          <w:fldChar w:fldCharType="end"/>
        </w:r>
      </w:p>
    </w:sdtContent>
  </w:sdt>
  <w:p w14:paraId="60C0D2CE">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C9B07">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0C3A4EBA"/>
    <w:multiLevelType w:val="singleLevel"/>
    <w:tmpl w:val="0C3A4EBA"/>
    <w:lvl w:ilvl="0" w:tentative="0">
      <w:start w:val="3"/>
      <w:numFmt w:val="chineseCounting"/>
      <w:suff w:val="nothing"/>
      <w:lvlText w:val="%1、"/>
      <w:lvlJc w:val="left"/>
      <w:rPr>
        <w:rFonts w:hint="eastAsia"/>
      </w:r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40E7"/>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19B0"/>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F6619"/>
    <w:rsid w:val="00406254"/>
    <w:rsid w:val="00416CD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4F403E"/>
    <w:rsid w:val="00505A47"/>
    <w:rsid w:val="00512FDA"/>
    <w:rsid w:val="00520DA0"/>
    <w:rsid w:val="005664BB"/>
    <w:rsid w:val="00566FFA"/>
    <w:rsid w:val="0057481D"/>
    <w:rsid w:val="00575F0B"/>
    <w:rsid w:val="0058486E"/>
    <w:rsid w:val="00585B33"/>
    <w:rsid w:val="0059014D"/>
    <w:rsid w:val="005B5C64"/>
    <w:rsid w:val="005C6BD0"/>
    <w:rsid w:val="005C6C4C"/>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27533"/>
    <w:rsid w:val="007351A4"/>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F1991"/>
    <w:rsid w:val="007F2C2F"/>
    <w:rsid w:val="007F55FC"/>
    <w:rsid w:val="007F5665"/>
    <w:rsid w:val="00800112"/>
    <w:rsid w:val="00813348"/>
    <w:rsid w:val="008253BB"/>
    <w:rsid w:val="00833962"/>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D0C6C"/>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E98"/>
    <w:rsid w:val="009C37FB"/>
    <w:rsid w:val="009D3447"/>
    <w:rsid w:val="009D4711"/>
    <w:rsid w:val="009F1185"/>
    <w:rsid w:val="009F18CD"/>
    <w:rsid w:val="009F2A13"/>
    <w:rsid w:val="009F7527"/>
    <w:rsid w:val="00A039ED"/>
    <w:rsid w:val="00A04EB0"/>
    <w:rsid w:val="00A13CC1"/>
    <w:rsid w:val="00A16847"/>
    <w:rsid w:val="00A237D8"/>
    <w:rsid w:val="00A268C4"/>
    <w:rsid w:val="00A307CD"/>
    <w:rsid w:val="00A331C8"/>
    <w:rsid w:val="00A35117"/>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0F83"/>
    <w:rsid w:val="00AD5620"/>
    <w:rsid w:val="00AD656B"/>
    <w:rsid w:val="00AD7C1B"/>
    <w:rsid w:val="00AE16BA"/>
    <w:rsid w:val="00AE1EBE"/>
    <w:rsid w:val="00AF37A0"/>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0E69"/>
    <w:rsid w:val="00C33E72"/>
    <w:rsid w:val="00C354B2"/>
    <w:rsid w:val="00C35554"/>
    <w:rsid w:val="00C42709"/>
    <w:rsid w:val="00C533CC"/>
    <w:rsid w:val="00C5751C"/>
    <w:rsid w:val="00C61BFC"/>
    <w:rsid w:val="00C62B85"/>
    <w:rsid w:val="00C65438"/>
    <w:rsid w:val="00C91CBB"/>
    <w:rsid w:val="00CB4E70"/>
    <w:rsid w:val="00CC09B6"/>
    <w:rsid w:val="00CC666F"/>
    <w:rsid w:val="00CD1E3F"/>
    <w:rsid w:val="00CE44F6"/>
    <w:rsid w:val="00CE49DA"/>
    <w:rsid w:val="00CE7B61"/>
    <w:rsid w:val="00D00095"/>
    <w:rsid w:val="00D114F0"/>
    <w:rsid w:val="00D179F5"/>
    <w:rsid w:val="00D20620"/>
    <w:rsid w:val="00D2207C"/>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DF7548"/>
    <w:rsid w:val="00E01053"/>
    <w:rsid w:val="00E07ACF"/>
    <w:rsid w:val="00E331A1"/>
    <w:rsid w:val="00E33202"/>
    <w:rsid w:val="00E336A9"/>
    <w:rsid w:val="00E472B1"/>
    <w:rsid w:val="00E50624"/>
    <w:rsid w:val="00E568DF"/>
    <w:rsid w:val="00E64269"/>
    <w:rsid w:val="00E66797"/>
    <w:rsid w:val="00E82267"/>
    <w:rsid w:val="00E853CE"/>
    <w:rsid w:val="00E867B6"/>
    <w:rsid w:val="00E87F08"/>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4F500FF"/>
    <w:rsid w:val="0DAB0B21"/>
    <w:rsid w:val="0FA90D09"/>
    <w:rsid w:val="10C055FF"/>
    <w:rsid w:val="12501EE9"/>
    <w:rsid w:val="1363207C"/>
    <w:rsid w:val="15A43201"/>
    <w:rsid w:val="16BB723D"/>
    <w:rsid w:val="1B565931"/>
    <w:rsid w:val="22F612AA"/>
    <w:rsid w:val="240371BF"/>
    <w:rsid w:val="29FD04D3"/>
    <w:rsid w:val="2DBC32DC"/>
    <w:rsid w:val="2ECA13B7"/>
    <w:rsid w:val="319F7F4E"/>
    <w:rsid w:val="3B3868B0"/>
    <w:rsid w:val="44BB478F"/>
    <w:rsid w:val="4ECE2238"/>
    <w:rsid w:val="59B83DE0"/>
    <w:rsid w:val="5CC914C0"/>
    <w:rsid w:val="5D2E500C"/>
    <w:rsid w:val="608728B0"/>
    <w:rsid w:val="64325E43"/>
    <w:rsid w:val="66AD212C"/>
    <w:rsid w:val="6BB85235"/>
    <w:rsid w:val="70DE2569"/>
    <w:rsid w:val="72734D90"/>
    <w:rsid w:val="742F5F22"/>
    <w:rsid w:val="7C0E79F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7"/>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2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1"/>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pPr>
  </w:style>
  <w:style w:type="paragraph" w:styleId="3">
    <w:name w:val="Body Text Indent"/>
    <w:basedOn w:val="1"/>
    <w:qFormat/>
    <w:uiPriority w:val="99"/>
    <w:pPr>
      <w:spacing w:line="540" w:lineRule="exact"/>
      <w:ind w:firstLine="640" w:firstLineChars="200"/>
    </w:pPr>
    <w:rPr>
      <w:rFonts w:eastAsia="仿宋_GB2312"/>
      <w:sz w:val="32"/>
    </w:rPr>
  </w:style>
  <w:style w:type="paragraph" w:styleId="7">
    <w:name w:val="Body Text"/>
    <w:basedOn w:val="1"/>
    <w:link w:val="24"/>
    <w:qFormat/>
    <w:uiPriority w:val="99"/>
    <w:pPr>
      <w:spacing w:beforeLines="30"/>
    </w:pPr>
    <w:rPr>
      <w:rFonts w:ascii="仿宋_GB2312" w:eastAsia="仿宋_GB2312"/>
      <w:kern w:val="0"/>
      <w:sz w:val="30"/>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0"/>
    <w:unhideWhenUsed/>
    <w:qFormat/>
    <w:uiPriority w:val="99"/>
    <w:rPr>
      <w:sz w:val="18"/>
      <w:szCs w:val="18"/>
    </w:rPr>
  </w:style>
  <w:style w:type="paragraph" w:styleId="10">
    <w:name w:val="footer"/>
    <w:basedOn w:val="1"/>
    <w:link w:val="22"/>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0"/>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2"/>
    <w:basedOn w:val="1"/>
    <w:next w:val="1"/>
    <w:unhideWhenUsed/>
    <w:qFormat/>
    <w:uiPriority w:val="39"/>
    <w:pPr>
      <w:tabs>
        <w:tab w:val="right" w:leader="dot" w:pos="8296"/>
      </w:tabs>
      <w:ind w:left="420" w:leftChars="200"/>
    </w:pPr>
  </w:style>
  <w:style w:type="paragraph" w:styleId="14">
    <w:name w:val="Normal (Web)"/>
    <w:basedOn w:val="1"/>
    <w:qFormat/>
    <w:uiPriority w:val="99"/>
    <w:pPr>
      <w:spacing w:beforeAutospacing="1" w:afterAutospacing="1"/>
    </w:pPr>
    <w:rPr>
      <w:rFonts w:ascii="宋体" w:hAnsi="宋体" w:cs="宋体"/>
      <w:sz w:val="24"/>
    </w:r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character" w:customStyle="1" w:styleId="19">
    <w:name w:val="Header Char"/>
    <w:basedOn w:val="16"/>
    <w:semiHidden/>
    <w:qFormat/>
    <w:uiPriority w:val="99"/>
    <w:rPr>
      <w:rFonts w:ascii="Times New Roman" w:hAnsi="Times New Roman"/>
      <w:sz w:val="18"/>
      <w:szCs w:val="18"/>
    </w:rPr>
  </w:style>
  <w:style w:type="character" w:customStyle="1" w:styleId="20">
    <w:name w:val="页眉 字符"/>
    <w:link w:val="11"/>
    <w:semiHidden/>
    <w:qFormat/>
    <w:locked/>
    <w:uiPriority w:val="99"/>
    <w:rPr>
      <w:sz w:val="18"/>
    </w:rPr>
  </w:style>
  <w:style w:type="character" w:customStyle="1" w:styleId="21">
    <w:name w:val="Footer Char"/>
    <w:basedOn w:val="16"/>
    <w:semiHidden/>
    <w:qFormat/>
    <w:uiPriority w:val="99"/>
    <w:rPr>
      <w:rFonts w:ascii="Times New Roman" w:hAnsi="Times New Roman"/>
      <w:sz w:val="18"/>
      <w:szCs w:val="18"/>
    </w:rPr>
  </w:style>
  <w:style w:type="character" w:customStyle="1" w:styleId="22">
    <w:name w:val="页脚 字符"/>
    <w:link w:val="10"/>
    <w:qFormat/>
    <w:locked/>
    <w:uiPriority w:val="99"/>
    <w:rPr>
      <w:sz w:val="18"/>
    </w:rPr>
  </w:style>
  <w:style w:type="character" w:customStyle="1" w:styleId="23">
    <w:name w:val="Body Text Char"/>
    <w:basedOn w:val="16"/>
    <w:semiHidden/>
    <w:qFormat/>
    <w:uiPriority w:val="99"/>
    <w:rPr>
      <w:rFonts w:ascii="Times New Roman" w:hAnsi="Times New Roman"/>
      <w:szCs w:val="24"/>
    </w:rPr>
  </w:style>
  <w:style w:type="character" w:customStyle="1" w:styleId="24">
    <w:name w:val="正文文本 字符"/>
    <w:link w:val="7"/>
    <w:qFormat/>
    <w:locked/>
    <w:uiPriority w:val="99"/>
    <w:rPr>
      <w:rFonts w:ascii="仿宋_GB2312" w:hAnsi="Times New Roman" w:eastAsia="仿宋_GB2312"/>
      <w:sz w:val="24"/>
    </w:rPr>
  </w:style>
  <w:style w:type="paragraph" w:customStyle="1" w:styleId="25">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6">
    <w:name w:val="列表段落1"/>
    <w:basedOn w:val="1"/>
    <w:qFormat/>
    <w:uiPriority w:val="34"/>
    <w:pPr>
      <w:ind w:firstLine="420" w:firstLineChars="200"/>
    </w:pPr>
  </w:style>
  <w:style w:type="character" w:customStyle="1" w:styleId="27">
    <w:name w:val="标题 1 字符"/>
    <w:basedOn w:val="16"/>
    <w:link w:val="4"/>
    <w:qFormat/>
    <w:uiPriority w:val="9"/>
    <w:rPr>
      <w:rFonts w:ascii="Times New Roman" w:hAnsi="Times New Roman"/>
      <w:b/>
      <w:bCs/>
      <w:kern w:val="44"/>
      <w:sz w:val="44"/>
      <w:szCs w:val="44"/>
    </w:rPr>
  </w:style>
  <w:style w:type="character" w:customStyle="1" w:styleId="28">
    <w:name w:val="标题 2 字符"/>
    <w:basedOn w:val="16"/>
    <w:link w:val="5"/>
    <w:qFormat/>
    <w:uiPriority w:val="9"/>
    <w:rPr>
      <w:rFonts w:asciiTheme="majorHAnsi" w:hAnsiTheme="majorHAnsi" w:eastAsiaTheme="majorEastAsia" w:cstheme="majorBidi"/>
      <w:b/>
      <w:bCs/>
      <w:kern w:val="2"/>
      <w:sz w:val="32"/>
      <w:szCs w:val="32"/>
    </w:rPr>
  </w:style>
  <w:style w:type="paragraph" w:customStyle="1" w:styleId="29">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0">
    <w:name w:val="批注框文本 字符"/>
    <w:basedOn w:val="16"/>
    <w:link w:val="9"/>
    <w:semiHidden/>
    <w:qFormat/>
    <w:uiPriority w:val="99"/>
    <w:rPr>
      <w:rFonts w:ascii="Times New Roman" w:hAnsi="Times New Roman"/>
      <w:kern w:val="2"/>
      <w:sz w:val="18"/>
      <w:szCs w:val="18"/>
    </w:rPr>
  </w:style>
  <w:style w:type="character" w:customStyle="1" w:styleId="31">
    <w:name w:val="标题 3 字符"/>
    <w:basedOn w:val="16"/>
    <w:link w:val="6"/>
    <w:qFormat/>
    <w:uiPriority w:val="9"/>
    <w:rPr>
      <w:rFonts w:ascii="Times New Roman" w:hAnsi="Times New Roman"/>
      <w:b/>
      <w:bCs/>
      <w:kern w:val="2"/>
      <w:sz w:val="32"/>
      <w:szCs w:val="32"/>
    </w:rPr>
  </w:style>
  <w:style w:type="paragraph" w:customStyle="1" w:styleId="32">
    <w:name w:val="TOC 标题2"/>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3">
    <w:name w:val="WPSOffice手动目录 1"/>
    <w:qFormat/>
    <w:uiPriority w:val="0"/>
    <w:rPr>
      <w:rFonts w:ascii="Times New Roman" w:hAnsi="Times New Roman" w:eastAsia="宋体" w:cs="Times New Roman"/>
      <w:lang w:val="en-US" w:eastAsia="zh-CN" w:bidi="ar-SA"/>
    </w:rPr>
  </w:style>
  <w:style w:type="paragraph" w:customStyle="1" w:styleId="34">
    <w:name w:val="WPSOffice手动目录 2"/>
    <w:qFormat/>
    <w:uiPriority w:val="0"/>
    <w:pPr>
      <w:ind w:left="200" w:left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1FA5C-FBC4-4E0C-90C9-F7AB8D53FD89}">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18</Pages>
  <Words>6429</Words>
  <Characters>7194</Characters>
  <Lines>65</Lines>
  <Paragraphs>18</Paragraphs>
  <TotalTime>2</TotalTime>
  <ScaleCrop>false</ScaleCrop>
  <LinksUpToDate>false</LinksUpToDate>
  <CharactersWithSpaces>7488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2020-08-04T01:49:00Z</dcterms:created>
  <dc:creator>曹颖</dc:creator>
  <cp:lastModifiedBy>对影成三人</cp:lastModifiedBy>
  <cp:lastPrinted>2020-07-23T02:58:00Z</cp:lastPrinted>
  <dcterms:modified xsi:type="dcterms:W3CDTF">2026-09-15T08:59:00Z</dcterms:modified>
  <dc:title>四川省***</dc:title>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06DCEDAE5AAA427EBA4FA7F189F94B5A</vt:lpwstr>
  </property>
  <property fmtid="{D5CDD505-2E9C-101B-9397-08002B2CF9AE}" pid="4" name="KSOTemplateDocerSaveRecord">
    <vt:lpwstr>eyJoZGlkIjoiYjA1ZDg3Y2Y1MzJlNDVjZjA5NTk4YjViYTliYmM3NTYiLCJ1c2VySWQiOiIyNDIyNDYwNDUifQ==</vt:lpwstr>
  </property>
</Properties>
</file>