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DD0D5">
      <w:pPr>
        <w:spacing w:line="600" w:lineRule="exact"/>
        <w:jc w:val="center"/>
        <w:outlineLvl w:val="0"/>
        <w:rPr>
          <w:rFonts w:ascii="方正小标宋简体" w:hAnsi="宋体" w:eastAsia="方正小标宋简体"/>
          <w:color w:val="000000"/>
          <w:sz w:val="72"/>
          <w:szCs w:val="72"/>
        </w:rPr>
      </w:pPr>
      <w:bookmarkStart w:id="0" w:name="_Toc15306267"/>
      <w:bookmarkStart w:id="73" w:name="_GoBack"/>
      <w:bookmarkEnd w:id="73"/>
    </w:p>
    <w:p w14:paraId="7F215AFC">
      <w:pPr>
        <w:spacing w:line="600" w:lineRule="exact"/>
        <w:jc w:val="center"/>
        <w:outlineLvl w:val="0"/>
        <w:rPr>
          <w:rFonts w:ascii="方正小标宋简体" w:hAnsi="宋体" w:eastAsia="方正小标宋简体"/>
          <w:color w:val="000000"/>
          <w:sz w:val="72"/>
          <w:szCs w:val="72"/>
        </w:rPr>
      </w:pPr>
    </w:p>
    <w:p w14:paraId="3DAC6D0F">
      <w:pPr>
        <w:spacing w:line="600" w:lineRule="exact"/>
        <w:jc w:val="center"/>
        <w:outlineLvl w:val="0"/>
        <w:rPr>
          <w:rFonts w:ascii="方正小标宋简体" w:hAnsi="宋体" w:eastAsia="方正小标宋简体"/>
          <w:color w:val="000000"/>
          <w:sz w:val="72"/>
          <w:szCs w:val="72"/>
        </w:rPr>
      </w:pPr>
    </w:p>
    <w:p w14:paraId="1AE0A780">
      <w:pPr>
        <w:spacing w:line="600" w:lineRule="exact"/>
        <w:jc w:val="center"/>
        <w:outlineLvl w:val="0"/>
        <w:rPr>
          <w:rFonts w:ascii="方正小标宋简体" w:hAnsi="宋体" w:eastAsia="方正小标宋简体"/>
          <w:color w:val="000000"/>
          <w:sz w:val="72"/>
          <w:szCs w:val="72"/>
        </w:rPr>
      </w:pPr>
    </w:p>
    <w:p w14:paraId="3786A52E">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96597"/>
      <w:bookmarkStart w:id="2" w:name="_Toc15377425"/>
      <w:bookmarkStart w:id="3" w:name="_Toc15377193"/>
      <w:bookmarkStart w:id="4" w:name="_Toc15396475"/>
      <w:bookmarkStart w:id="5" w:name="_Toc15378441"/>
      <w:r>
        <w:rPr>
          <w:rFonts w:ascii="黑体" w:hAnsi="黑体" w:eastAsia="黑体"/>
          <w:color w:val="000000"/>
          <w:sz w:val="72"/>
          <w:szCs w:val="72"/>
        </w:rPr>
        <w:t>20</w:t>
      </w:r>
      <w:r>
        <w:rPr>
          <w:rFonts w:hint="eastAsia" w:ascii="黑体" w:hAnsi="黑体" w:eastAsia="黑体"/>
          <w:color w:val="000000"/>
          <w:sz w:val="72"/>
          <w:szCs w:val="72"/>
        </w:rPr>
        <w:t>201</w:t>
      </w:r>
      <w:r>
        <w:rPr>
          <w:rFonts w:hint="eastAsia" w:ascii="方正小标宋简体" w:hAnsi="宋体" w:eastAsia="方正小标宋简体"/>
          <w:color w:val="000000"/>
          <w:sz w:val="72"/>
          <w:szCs w:val="72"/>
        </w:rPr>
        <w:t>年度</w:t>
      </w:r>
      <w:bookmarkEnd w:id="1"/>
      <w:bookmarkEnd w:id="2"/>
      <w:bookmarkEnd w:id="3"/>
      <w:bookmarkEnd w:id="4"/>
      <w:bookmarkEnd w:id="5"/>
    </w:p>
    <w:p w14:paraId="437B9AB8">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8442"/>
      <w:bookmarkStart w:id="7" w:name="_Toc15396476"/>
      <w:bookmarkStart w:id="8" w:name="_Toc15377426"/>
      <w:bookmarkStart w:id="9" w:name="_Toc15377194"/>
      <w:bookmarkStart w:id="10" w:name="_Toc15396598"/>
      <w:r>
        <w:rPr>
          <w:rFonts w:hint="eastAsia" w:ascii="方正小标宋简体" w:hAnsi="宋体" w:eastAsia="方正小标宋简体"/>
          <w:color w:val="000000"/>
          <w:sz w:val="72"/>
          <w:szCs w:val="72"/>
        </w:rPr>
        <w:t>四川省阿坝州</w:t>
      </w:r>
      <w:bookmarkEnd w:id="0"/>
      <w:bookmarkStart w:id="11" w:name="_Toc15306268"/>
      <w:r>
        <w:rPr>
          <w:rFonts w:hint="eastAsia" w:ascii="方正小标宋简体" w:hAnsi="宋体" w:eastAsia="方正小标宋简体"/>
          <w:color w:val="000000"/>
          <w:sz w:val="72"/>
          <w:szCs w:val="72"/>
        </w:rPr>
        <w:t>松潘县交通运输局部门决算</w:t>
      </w:r>
      <w:bookmarkEnd w:id="6"/>
      <w:bookmarkEnd w:id="7"/>
      <w:bookmarkEnd w:id="8"/>
      <w:bookmarkEnd w:id="9"/>
      <w:bookmarkEnd w:id="10"/>
      <w:bookmarkEnd w:id="11"/>
    </w:p>
    <w:p w14:paraId="77EB69D8">
      <w:pPr>
        <w:widowControl/>
        <w:jc w:val="center"/>
        <w:rPr>
          <w:rFonts w:ascii="方正小标宋简体" w:hAnsi="宋体" w:eastAsia="方正小标宋简体"/>
          <w:color w:val="000000"/>
          <w:sz w:val="36"/>
          <w:szCs w:val="36"/>
        </w:rPr>
      </w:pPr>
    </w:p>
    <w:p w14:paraId="1D487DFB">
      <w:pPr>
        <w:rPr>
          <w:rFonts w:ascii="方正小标宋简体" w:hAnsi="宋体" w:eastAsia="方正小标宋简体"/>
          <w:sz w:val="36"/>
          <w:szCs w:val="36"/>
        </w:rPr>
      </w:pPr>
    </w:p>
    <w:p w14:paraId="0115B910">
      <w:pPr>
        <w:rPr>
          <w:rFonts w:ascii="方正小标宋简体" w:hAnsi="宋体" w:eastAsia="方正小标宋简体"/>
          <w:sz w:val="36"/>
          <w:szCs w:val="36"/>
        </w:rPr>
      </w:pPr>
    </w:p>
    <w:p w14:paraId="39695B1A">
      <w:pPr>
        <w:rPr>
          <w:rFonts w:ascii="方正小标宋简体" w:hAnsi="宋体" w:eastAsia="方正小标宋简体"/>
          <w:sz w:val="36"/>
          <w:szCs w:val="36"/>
        </w:rPr>
      </w:pPr>
    </w:p>
    <w:p w14:paraId="19D8C872">
      <w:pPr>
        <w:autoSpaceDE w:val="0"/>
        <w:autoSpaceDN w:val="0"/>
        <w:adjustRightInd w:val="0"/>
        <w:ind w:firstLine="1276"/>
        <w:jc w:val="left"/>
        <w:rPr>
          <w:rFonts w:eastAsia="仿宋_GB2312"/>
          <w:sz w:val="32"/>
          <w:szCs w:val="32"/>
        </w:rPr>
      </w:pPr>
      <w:r>
        <w:rPr>
          <w:rFonts w:hint="eastAsia" w:ascii="仿宋_GB2312" w:hAnsi="Calibri" w:eastAsia="仿宋_GB2312" w:cs="仿宋_GB2312"/>
          <w:sz w:val="32"/>
          <w:szCs w:val="32"/>
        </w:rPr>
        <w:t>保密审查情况：已审查，内容审定</w:t>
      </w:r>
    </w:p>
    <w:p w14:paraId="2C8E6DBF">
      <w:pPr>
        <w:autoSpaceDE w:val="0"/>
        <w:autoSpaceDN w:val="0"/>
        <w:adjustRightInd w:val="0"/>
        <w:ind w:firstLine="1276"/>
        <w:jc w:val="left"/>
        <w:rPr>
          <w:rFonts w:eastAsia="仿宋_GB2312"/>
          <w:sz w:val="32"/>
          <w:szCs w:val="32"/>
        </w:rPr>
      </w:pPr>
      <w:r>
        <w:rPr>
          <w:rFonts w:hint="eastAsia" w:ascii="仿宋_GB2312" w:eastAsia="仿宋_GB2312" w:cs="仿宋_GB2312"/>
          <w:sz w:val="32"/>
          <w:szCs w:val="32"/>
        </w:rPr>
        <w:t>部门主要负责人审签情况：已审签</w:t>
      </w:r>
      <w:r>
        <w:rPr>
          <w:rFonts w:hint="eastAsia" w:ascii="仿宋_GB2312" w:hAnsi="Calibri" w:eastAsia="仿宋_GB2312" w:cs="仿宋_GB2312"/>
          <w:sz w:val="32"/>
          <w:szCs w:val="32"/>
        </w:rPr>
        <w:t>，同意对外公开</w:t>
      </w:r>
    </w:p>
    <w:p w14:paraId="6F14F1EE">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1192247C">
      <w:pPr>
        <w:widowControl/>
        <w:jc w:val="center"/>
        <w:rPr>
          <w:rFonts w:ascii="黑体" w:hAnsi="黑体" w:eastAsia="黑体" w:cstheme="minorBidi"/>
          <w:sz w:val="28"/>
          <w:szCs w:val="28"/>
        </w:rPr>
      </w:pPr>
    </w:p>
    <w:p w14:paraId="2E8E679D">
      <w:pPr>
        <w:pStyle w:val="11"/>
      </w:pPr>
      <w:r>
        <w:rPr>
          <w:rFonts w:hint="eastAsia"/>
        </w:rPr>
        <w:t>公开时间：2022年9月</w:t>
      </w:r>
      <w:r>
        <w:t>2</w:t>
      </w:r>
      <w:r>
        <w:rPr>
          <w:rFonts w:hint="eastAsia"/>
        </w:rPr>
        <w:t>3日</w:t>
      </w:r>
    </w:p>
    <w:p w14:paraId="2829BF37"/>
    <w:p w14:paraId="649957E7">
      <w:pPr>
        <w:pStyle w:val="11"/>
        <w:adjustRightInd w:val="0"/>
        <w:snapToGrid w:val="0"/>
        <w:spacing w:before="0" w:line="440" w:lineRule="exact"/>
        <w:jc w:val="left"/>
        <w:rPr>
          <w:rFonts w:eastAsiaTheme="minorEastAsia" w:cstheme="minorBidi"/>
          <w:sz w:val="24"/>
          <w:szCs w:val="24"/>
        </w:rPr>
      </w:pPr>
      <w:r>
        <w:rPr>
          <w:rFonts w:hint="eastAsia"/>
          <w:sz w:val="24"/>
        </w:rPr>
        <w:t>第一部分</w:t>
      </w:r>
      <w:r>
        <w:rPr>
          <w:sz w:val="24"/>
        </w:rPr>
        <w:t xml:space="preserve"> </w:t>
      </w:r>
      <w:r>
        <w:rPr>
          <w:rFonts w:hint="eastAsia"/>
          <w:sz w:val="24"/>
        </w:rPr>
        <w:t>部门概况</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4</w:t>
      </w:r>
    </w:p>
    <w:p w14:paraId="69CE1839">
      <w:pPr>
        <w:pStyle w:val="12"/>
        <w:adjustRightInd w:val="0"/>
        <w:snapToGrid w:val="0"/>
        <w:spacing w:line="440" w:lineRule="exact"/>
        <w:jc w:val="left"/>
        <w:rPr>
          <w:rFonts w:ascii="仿宋" w:hAnsi="仿宋" w:eastAsiaTheme="minorEastAsia"/>
          <w:sz w:val="24"/>
        </w:rPr>
      </w:pPr>
      <w:r>
        <w:rPr>
          <w:rFonts w:hint="eastAsia"/>
          <w:sz w:val="24"/>
        </w:rPr>
        <w:t>一、基本职能及主要工作</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4</w:t>
      </w:r>
    </w:p>
    <w:p w14:paraId="228444B6">
      <w:pPr>
        <w:pStyle w:val="12"/>
        <w:adjustRightInd w:val="0"/>
        <w:snapToGrid w:val="0"/>
        <w:spacing w:line="440" w:lineRule="exact"/>
        <w:jc w:val="left"/>
        <w:rPr>
          <w:rFonts w:eastAsiaTheme="minorEastAsia"/>
          <w:sz w:val="24"/>
        </w:rPr>
      </w:pPr>
      <w:r>
        <w:rPr>
          <w:rFonts w:hint="eastAsia"/>
          <w:sz w:val="24"/>
        </w:rPr>
        <w:t>二、机构设置</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8</w:t>
      </w:r>
    </w:p>
    <w:p w14:paraId="474CB336">
      <w:pPr>
        <w:pStyle w:val="11"/>
        <w:adjustRightInd w:val="0"/>
        <w:snapToGrid w:val="0"/>
        <w:spacing w:before="0" w:line="440" w:lineRule="exact"/>
        <w:jc w:val="left"/>
        <w:rPr>
          <w:rFonts w:eastAsiaTheme="minorEastAsia"/>
          <w:sz w:val="24"/>
          <w:szCs w:val="24"/>
        </w:rPr>
      </w:pPr>
      <w:r>
        <w:rPr>
          <w:rFonts w:hint="eastAsia"/>
          <w:sz w:val="24"/>
        </w:rPr>
        <w:t>第二部分度部门决算情况说明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13</w:t>
      </w:r>
    </w:p>
    <w:p w14:paraId="64840830">
      <w:pPr>
        <w:pStyle w:val="12"/>
        <w:adjustRightInd w:val="0"/>
        <w:snapToGrid w:val="0"/>
        <w:spacing w:line="440" w:lineRule="exact"/>
        <w:jc w:val="left"/>
        <w:rPr>
          <w:rFonts w:ascii="仿宋" w:hAnsi="仿宋" w:eastAsiaTheme="minorEastAsia" w:cstheme="minorBidi"/>
          <w:sz w:val="24"/>
        </w:rPr>
      </w:pPr>
      <w:r>
        <w:rPr>
          <w:rFonts w:hint="eastAsia"/>
          <w:sz w:val="24"/>
        </w:rPr>
        <w:t>一、收入支出决算总体情况说明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13</w:t>
      </w:r>
    </w:p>
    <w:p w14:paraId="383B1705">
      <w:pPr>
        <w:pStyle w:val="12"/>
        <w:adjustRightInd w:val="0"/>
        <w:snapToGrid w:val="0"/>
        <w:spacing w:line="440" w:lineRule="exact"/>
        <w:jc w:val="left"/>
        <w:rPr>
          <w:rFonts w:ascii="仿宋" w:hAnsi="仿宋" w:eastAsiaTheme="minorEastAsia" w:cstheme="minorBidi"/>
          <w:sz w:val="24"/>
        </w:rPr>
      </w:pPr>
      <w:r>
        <w:rPr>
          <w:rFonts w:hint="eastAsia"/>
          <w:sz w:val="24"/>
        </w:rPr>
        <w:t>二、收入决算情况说明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13</w:t>
      </w:r>
    </w:p>
    <w:p w14:paraId="4DEEDEC7">
      <w:pPr>
        <w:pStyle w:val="12"/>
        <w:adjustRightInd w:val="0"/>
        <w:snapToGrid w:val="0"/>
        <w:spacing w:line="440" w:lineRule="exact"/>
        <w:jc w:val="left"/>
        <w:rPr>
          <w:rFonts w:ascii="仿宋" w:hAnsi="仿宋" w:eastAsiaTheme="minorEastAsia" w:cstheme="minorBidi"/>
          <w:sz w:val="24"/>
        </w:rPr>
      </w:pPr>
      <w:r>
        <w:rPr>
          <w:rFonts w:hint="eastAsia"/>
          <w:sz w:val="24"/>
        </w:rPr>
        <w:t>三、支出决算情况说明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14</w:t>
      </w:r>
    </w:p>
    <w:p w14:paraId="5FE54877">
      <w:pPr>
        <w:pStyle w:val="12"/>
        <w:adjustRightInd w:val="0"/>
        <w:snapToGrid w:val="0"/>
        <w:spacing w:line="440" w:lineRule="exact"/>
        <w:jc w:val="left"/>
        <w:rPr>
          <w:rFonts w:ascii="仿宋" w:hAnsi="仿宋" w:eastAsiaTheme="minorEastAsia" w:cstheme="minorBidi"/>
          <w:sz w:val="24"/>
        </w:rPr>
      </w:pPr>
      <w:r>
        <w:rPr>
          <w:rFonts w:hint="eastAsia"/>
          <w:sz w:val="24"/>
        </w:rPr>
        <w:t>四、财政拨款收入支出决算总体情况说明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15</w:t>
      </w:r>
    </w:p>
    <w:p w14:paraId="7A19E4B4">
      <w:pPr>
        <w:pStyle w:val="12"/>
        <w:adjustRightInd w:val="0"/>
        <w:snapToGrid w:val="0"/>
        <w:spacing w:line="440" w:lineRule="exact"/>
        <w:jc w:val="left"/>
        <w:rPr>
          <w:rFonts w:ascii="仿宋" w:hAnsi="仿宋" w:eastAsiaTheme="minorEastAsia" w:cstheme="minorBidi"/>
          <w:sz w:val="24"/>
        </w:rPr>
      </w:pPr>
      <w:r>
        <w:rPr>
          <w:rFonts w:hint="eastAsia"/>
          <w:sz w:val="24"/>
        </w:rPr>
        <w:t>五、一般公共预算财政拨款支出决算情况说明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15</w:t>
      </w:r>
    </w:p>
    <w:p w14:paraId="4E67C7AC">
      <w:pPr>
        <w:pStyle w:val="12"/>
        <w:adjustRightInd w:val="0"/>
        <w:snapToGrid w:val="0"/>
        <w:spacing w:line="440" w:lineRule="exact"/>
        <w:jc w:val="left"/>
        <w:rPr>
          <w:rFonts w:ascii="仿宋" w:hAnsi="仿宋" w:eastAsiaTheme="minorEastAsia" w:cstheme="minorBidi"/>
          <w:sz w:val="24"/>
        </w:rPr>
      </w:pPr>
      <w:r>
        <w:rPr>
          <w:rFonts w:hint="eastAsia"/>
          <w:sz w:val="24"/>
        </w:rPr>
        <w:t>六、一般公共预算财政拨款基本支出决算情况说明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18</w:t>
      </w:r>
    </w:p>
    <w:p w14:paraId="7E63FC1B">
      <w:pPr>
        <w:pStyle w:val="12"/>
        <w:adjustRightInd w:val="0"/>
        <w:snapToGrid w:val="0"/>
        <w:spacing w:line="440" w:lineRule="exact"/>
        <w:jc w:val="left"/>
        <w:rPr>
          <w:rFonts w:ascii="仿宋" w:hAnsi="仿宋" w:eastAsiaTheme="minorEastAsia" w:cstheme="minorBidi"/>
          <w:sz w:val="24"/>
        </w:rPr>
      </w:pPr>
      <w:r>
        <w:rPr>
          <w:rFonts w:hint="eastAsia"/>
          <w:sz w:val="24"/>
        </w:rPr>
        <w:t>七、</w:t>
      </w:r>
      <w:r>
        <w:rPr>
          <w:sz w:val="24"/>
        </w:rPr>
        <w:t>“</w:t>
      </w:r>
      <w:r>
        <w:rPr>
          <w:rFonts w:hint="eastAsia"/>
          <w:sz w:val="24"/>
        </w:rPr>
        <w:t>三公”经费财政拨款支出决算情况说明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18</w:t>
      </w:r>
    </w:p>
    <w:p w14:paraId="5CCB83DB">
      <w:pPr>
        <w:pStyle w:val="12"/>
        <w:adjustRightInd w:val="0"/>
        <w:snapToGrid w:val="0"/>
        <w:spacing w:line="440" w:lineRule="exact"/>
        <w:jc w:val="left"/>
        <w:rPr>
          <w:rFonts w:ascii="仿宋" w:hAnsi="仿宋" w:eastAsiaTheme="minorEastAsia" w:cstheme="minorBidi"/>
          <w:sz w:val="24"/>
        </w:rPr>
      </w:pPr>
      <w:r>
        <w:rPr>
          <w:rFonts w:hint="eastAsia"/>
          <w:sz w:val="24"/>
        </w:rPr>
        <w:t>八、政府性基金预算支出决算情况说明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20</w:t>
      </w:r>
    </w:p>
    <w:p w14:paraId="068E3FB4">
      <w:pPr>
        <w:pStyle w:val="12"/>
        <w:adjustRightInd w:val="0"/>
        <w:snapToGrid w:val="0"/>
        <w:spacing w:line="440" w:lineRule="exact"/>
        <w:ind w:leftChars="0"/>
        <w:jc w:val="left"/>
        <w:rPr>
          <w:rFonts w:ascii="仿宋" w:hAnsi="仿宋" w:eastAsiaTheme="minorEastAsia"/>
          <w:sz w:val="24"/>
        </w:rPr>
      </w:pPr>
      <w:r>
        <w:rPr>
          <w:rFonts w:hint="eastAsia" w:ascii="仿宋" w:hAnsi="仿宋" w:eastAsia="仿宋"/>
          <w:sz w:val="24"/>
        </w:rPr>
        <w:t>九、</w:t>
      </w:r>
      <w:r>
        <w:rPr>
          <w:sz w:val="24"/>
        </w:rPr>
        <w:t xml:space="preserve"> 国</w:t>
      </w:r>
      <w:r>
        <w:rPr>
          <w:rFonts w:hint="eastAsia"/>
          <w:sz w:val="24"/>
        </w:rPr>
        <w:t>有资本经营预算支出决算情况说明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20</w:t>
      </w:r>
    </w:p>
    <w:p w14:paraId="1A2E9963">
      <w:pPr>
        <w:pStyle w:val="12"/>
        <w:adjustRightInd w:val="0"/>
        <w:snapToGrid w:val="0"/>
        <w:spacing w:line="440" w:lineRule="exact"/>
        <w:ind w:leftChars="0"/>
        <w:jc w:val="left"/>
        <w:rPr>
          <w:rFonts w:ascii="仿宋" w:hAnsi="仿宋" w:eastAsia="仿宋" w:cstheme="minorBidi"/>
          <w:sz w:val="24"/>
        </w:rPr>
      </w:pPr>
      <w:r>
        <w:rPr>
          <w:rFonts w:hint="eastAsia" w:ascii="仿宋" w:hAnsi="仿宋" w:eastAsia="仿宋"/>
          <w:sz w:val="24"/>
        </w:rPr>
        <w:t>九、</w:t>
      </w:r>
      <w:r>
        <w:rPr>
          <w:sz w:val="24"/>
        </w:rPr>
        <w:t xml:space="preserve"> </w:t>
      </w:r>
      <w:r>
        <w:rPr>
          <w:rFonts w:hint="eastAsia"/>
          <w:sz w:val="24"/>
        </w:rPr>
        <w:t>其他重要事项的情况说明</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20</w:t>
      </w:r>
    </w:p>
    <w:p w14:paraId="08BF18E6">
      <w:pPr>
        <w:pStyle w:val="11"/>
        <w:adjustRightInd w:val="0"/>
        <w:snapToGrid w:val="0"/>
        <w:spacing w:before="0" w:line="440" w:lineRule="exact"/>
        <w:jc w:val="left"/>
        <w:rPr>
          <w:rFonts w:eastAsiaTheme="minorEastAsia" w:cstheme="minorBidi"/>
          <w:sz w:val="24"/>
          <w:szCs w:val="24"/>
        </w:rPr>
      </w:pPr>
      <w:r>
        <w:rPr>
          <w:rFonts w:hint="eastAsia"/>
          <w:sz w:val="24"/>
        </w:rPr>
        <w:t>第三部分</w:t>
      </w:r>
      <w:r>
        <w:rPr>
          <w:sz w:val="24"/>
        </w:rPr>
        <w:t xml:space="preserve"> </w:t>
      </w:r>
      <w:r>
        <w:rPr>
          <w:rFonts w:hint="eastAsia"/>
          <w:sz w:val="24"/>
        </w:rPr>
        <w:t>名词解释</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22</w:t>
      </w:r>
    </w:p>
    <w:p w14:paraId="262AF04B">
      <w:pPr>
        <w:pStyle w:val="11"/>
        <w:adjustRightInd w:val="0"/>
        <w:snapToGrid w:val="0"/>
        <w:spacing w:before="0" w:line="440" w:lineRule="exact"/>
        <w:jc w:val="left"/>
        <w:rPr>
          <w:rFonts w:eastAsiaTheme="minorEastAsia" w:cstheme="minorBidi"/>
          <w:sz w:val="24"/>
          <w:szCs w:val="24"/>
        </w:rPr>
      </w:pPr>
      <w:r>
        <w:rPr>
          <w:rFonts w:hint="eastAsia"/>
          <w:sz w:val="24"/>
        </w:rPr>
        <w:t>第四部分</w:t>
      </w:r>
      <w:r>
        <w:rPr>
          <w:sz w:val="24"/>
        </w:rPr>
        <w:t xml:space="preserve"> </w:t>
      </w:r>
      <w:r>
        <w:rPr>
          <w:rFonts w:hint="eastAsia"/>
          <w:sz w:val="24"/>
        </w:rPr>
        <w:t>附件</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24</w:t>
      </w:r>
    </w:p>
    <w:p w14:paraId="585144B0">
      <w:pPr>
        <w:pStyle w:val="12"/>
        <w:adjustRightInd w:val="0"/>
        <w:snapToGrid w:val="0"/>
        <w:spacing w:line="440" w:lineRule="exact"/>
        <w:jc w:val="left"/>
        <w:rPr>
          <w:rFonts w:ascii="仿宋" w:hAnsi="仿宋" w:eastAsiaTheme="minorEastAsia" w:cstheme="minorBidi"/>
          <w:sz w:val="24"/>
        </w:rPr>
      </w:pPr>
      <w:r>
        <w:rPr>
          <w:rFonts w:hint="eastAsia"/>
          <w:sz w:val="24"/>
        </w:rPr>
        <w:t>附件</w:t>
      </w:r>
      <w:r>
        <w:rPr>
          <w:sz w:val="24"/>
        </w:rPr>
        <w:t>1</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24</w:t>
      </w:r>
    </w:p>
    <w:p w14:paraId="40C4ECCD">
      <w:pPr>
        <w:pStyle w:val="11"/>
        <w:adjustRightInd w:val="0"/>
        <w:snapToGrid w:val="0"/>
        <w:spacing w:before="0" w:line="440" w:lineRule="exact"/>
        <w:jc w:val="left"/>
        <w:rPr>
          <w:rFonts w:eastAsiaTheme="minorEastAsia" w:cstheme="minorBidi"/>
          <w:sz w:val="24"/>
          <w:szCs w:val="24"/>
        </w:rPr>
      </w:pPr>
      <w:r>
        <w:rPr>
          <w:rFonts w:hint="eastAsia"/>
          <w:sz w:val="24"/>
        </w:rPr>
        <w:t>第五部分</w:t>
      </w:r>
      <w:r>
        <w:rPr>
          <w:sz w:val="24"/>
        </w:rPr>
        <w:t xml:space="preserve"> </w:t>
      </w:r>
      <w:r>
        <w:rPr>
          <w:rFonts w:hint="eastAsia"/>
          <w:sz w:val="24"/>
        </w:rPr>
        <w:t>附表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31</w:t>
      </w:r>
    </w:p>
    <w:p w14:paraId="5DBD5EA5">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一、</w:t>
      </w:r>
      <w:r>
        <w:rPr>
          <w:rFonts w:hint="eastAsia"/>
          <w:sz w:val="24"/>
        </w:rPr>
        <w:t>收入支出决算总表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44E4C88B">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17EE45DB">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2AFA8F5E">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四、</w:t>
      </w:r>
      <w:r>
        <w:rPr>
          <w:rFonts w:hint="eastAsia"/>
          <w:sz w:val="24"/>
        </w:rPr>
        <w:t>财政拨款收入支出决算总表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695AD473">
      <w:pPr>
        <w:pStyle w:val="12"/>
        <w:adjustRightInd w:val="0"/>
        <w:snapToGrid w:val="0"/>
        <w:spacing w:line="440" w:lineRule="exact"/>
        <w:jc w:val="left"/>
        <w:rPr>
          <w:rFonts w:ascii="仿宋" w:hAnsi="仿宋" w:eastAsiaTheme="minorEastAsia"/>
          <w:sz w:val="24"/>
        </w:rPr>
      </w:pPr>
      <w:r>
        <w:rPr>
          <w:rFonts w:hint="eastAsia" w:ascii="仿宋" w:hAnsi="仿宋" w:eastAsia="仿宋"/>
          <w:sz w:val="24"/>
        </w:rPr>
        <w:t>五、财政拨款支出决算明细表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5C952EAB">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六、</w:t>
      </w:r>
      <w:r>
        <w:rPr>
          <w:rFonts w:hint="eastAsia"/>
          <w:sz w:val="24"/>
        </w:rPr>
        <w:t>一般公共预算财政拨款支出决算表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622C4FBA">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七、</w:t>
      </w:r>
      <w:r>
        <w:rPr>
          <w:rFonts w:hint="eastAsia"/>
          <w:sz w:val="24"/>
        </w:rPr>
        <w:t>一般公共预算财政拨款支出决算明细表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58FB8B34">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八、</w:t>
      </w:r>
      <w:r>
        <w:rPr>
          <w:rFonts w:hint="eastAsia"/>
          <w:sz w:val="24"/>
        </w:rPr>
        <w:t>一般公共预算财政拨款基本支出决算表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451834AA">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九、</w:t>
      </w:r>
      <w:r>
        <w:rPr>
          <w:rFonts w:hint="eastAsia"/>
          <w:sz w:val="24"/>
        </w:rPr>
        <w:t>一般公共预算财政拨款项目支出决算表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4CA93161">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十、</w:t>
      </w:r>
      <w:r>
        <w:rPr>
          <w:rFonts w:hint="eastAsia"/>
          <w:sz w:val="24"/>
        </w:rPr>
        <w:t>一般公共预算财政拨款“三公”经费支出决算表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11D824FE">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十一、</w:t>
      </w:r>
      <w:r>
        <w:rPr>
          <w:rFonts w:hint="eastAsia"/>
          <w:sz w:val="24"/>
        </w:rPr>
        <w:t>政府性基金预算财政拨款收入支出决算表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2C0FD414">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十二、</w:t>
      </w:r>
      <w:r>
        <w:rPr>
          <w:rFonts w:hint="eastAsia"/>
          <w:sz w:val="24"/>
        </w:rPr>
        <w:t>政府性基金预算财政拨款“三公”经费支出决算表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7647D8C1">
      <w:pPr>
        <w:pStyle w:val="12"/>
        <w:adjustRightInd w:val="0"/>
        <w:snapToGrid w:val="0"/>
        <w:spacing w:line="440" w:lineRule="exact"/>
        <w:jc w:val="left"/>
        <w:rPr>
          <w:rFonts w:ascii="仿宋" w:hAnsi="仿宋" w:eastAsiaTheme="minorEastAsia" w:cstheme="minorBidi"/>
          <w:sz w:val="24"/>
        </w:rPr>
      </w:pPr>
      <w:r>
        <w:rPr>
          <w:rFonts w:hint="eastAsia" w:ascii="仿宋" w:hAnsi="仿宋" w:eastAsia="仿宋"/>
          <w:sz w:val="24"/>
        </w:rPr>
        <w:t>十三、</w:t>
      </w:r>
      <w:r>
        <w:rPr>
          <w:rFonts w:hint="eastAsia"/>
          <w:sz w:val="24"/>
        </w:rPr>
        <w:t>国有资本经营预算支出决算表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t>34</w:t>
      </w:r>
    </w:p>
    <w:p w14:paraId="3D536DFB">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44AF186A">
      <w:pPr>
        <w:pStyle w:val="3"/>
        <w:jc w:val="center"/>
        <w:rPr>
          <w:rStyle w:val="28"/>
          <w:rFonts w:ascii="黑体" w:hAnsi="黑体" w:eastAsia="黑体"/>
          <w:b/>
          <w:bCs w:val="0"/>
        </w:rPr>
      </w:pPr>
      <w:r>
        <w:rPr>
          <w:rFonts w:hint="eastAsia" w:ascii="黑体" w:hAnsi="黑体" w:eastAsia="黑体"/>
          <w:b w:val="0"/>
        </w:rPr>
        <w:t xml:space="preserve">第一部分 </w:t>
      </w:r>
      <w:r>
        <w:rPr>
          <w:rStyle w:val="28"/>
          <w:rFonts w:hint="eastAsia" w:ascii="黑体" w:hAnsi="黑体" w:eastAsia="黑体"/>
          <w:b w:val="0"/>
          <w:bCs w:val="0"/>
        </w:rPr>
        <w:t>部门概况</w:t>
      </w:r>
      <w:bookmarkEnd w:id="12"/>
      <w:bookmarkEnd w:id="13"/>
    </w:p>
    <w:p w14:paraId="0C48795F">
      <w:pPr>
        <w:widowControl/>
        <w:jc w:val="left"/>
        <w:rPr>
          <w:rFonts w:ascii="黑体" w:eastAsia="黑体"/>
          <w:color w:val="000000"/>
          <w:sz w:val="32"/>
          <w:szCs w:val="32"/>
        </w:rPr>
      </w:pPr>
    </w:p>
    <w:p w14:paraId="5364E357">
      <w:pPr>
        <w:pStyle w:val="4"/>
        <w:rPr>
          <w:rStyle w:val="29"/>
          <w:rFonts w:ascii="仿宋" w:hAnsi="仿宋" w:eastAsia="仿宋"/>
          <w:b w:val="0"/>
          <w:bCs w:val="0"/>
        </w:rPr>
      </w:pPr>
      <w:bookmarkStart w:id="14" w:name="_Toc15396600"/>
      <w:bookmarkStart w:id="15" w:name="_Toc15377197"/>
      <w:r>
        <w:rPr>
          <w:rFonts w:hint="eastAsia" w:ascii="黑体" w:hAnsi="黑体" w:eastAsia="黑体"/>
          <w:b w:val="0"/>
          <w:color w:val="000000"/>
        </w:rPr>
        <w:t>一、基</w:t>
      </w:r>
      <w:r>
        <w:rPr>
          <w:rStyle w:val="29"/>
          <w:rFonts w:hint="eastAsia" w:ascii="黑体" w:hAnsi="黑体" w:eastAsia="黑体"/>
          <w:b w:val="0"/>
          <w:bCs w:val="0"/>
        </w:rPr>
        <w:t>本职能及主要工作</w:t>
      </w:r>
      <w:bookmarkEnd w:id="14"/>
      <w:bookmarkEnd w:id="15"/>
    </w:p>
    <w:p w14:paraId="6072526D">
      <w:pPr>
        <w:pStyle w:val="2"/>
        <w:adjustRightInd w:val="0"/>
        <w:snapToGrid w:val="0"/>
        <w:spacing w:before="93" w:line="600" w:lineRule="exact"/>
        <w:ind w:firstLine="672" w:firstLineChars="210"/>
        <w:outlineLvl w:val="2"/>
        <w:rPr>
          <w:rFonts w:ascii="仿宋" w:hAnsi="仿宋" w:eastAsia="仿宋"/>
          <w:bCs/>
          <w:color w:val="000000"/>
          <w:sz w:val="32"/>
          <w:szCs w:val="32"/>
        </w:rPr>
      </w:pPr>
      <w:bookmarkStart w:id="16" w:name="_Toc15378445"/>
      <w:bookmarkStart w:id="17" w:name="_Toc15377198"/>
      <w:r>
        <w:rPr>
          <w:rFonts w:hint="eastAsia" w:ascii="仿宋" w:hAnsi="仿宋" w:eastAsia="仿宋"/>
          <w:bCs/>
          <w:color w:val="000000"/>
          <w:sz w:val="32"/>
          <w:szCs w:val="32"/>
        </w:rPr>
        <w:t>（一）主要职能。</w:t>
      </w:r>
    </w:p>
    <w:p w14:paraId="1CD106ED">
      <w:pPr>
        <w:spacing w:line="600" w:lineRule="exact"/>
        <w:ind w:firstLine="640" w:firstLineChars="200"/>
        <w:rPr>
          <w:rFonts w:ascii="仿宋_GB2312" w:eastAsia="仿宋_GB2312"/>
          <w:sz w:val="32"/>
          <w:szCs w:val="32"/>
        </w:rPr>
      </w:pPr>
      <w:r>
        <w:rPr>
          <w:rFonts w:hint="eastAsia" w:ascii="仿宋_GB2312" w:eastAsia="仿宋_GB2312"/>
          <w:sz w:val="32"/>
          <w:szCs w:val="32"/>
        </w:rPr>
        <w:t>1.贯彻执行国家、省、州有关交通运输行业的方针、政策和法律、法规。组织拟订并监督实施公路、水路等行业规划、政策和标准，会同有关部门资质编制综合运输体系规划，参与拟订物流业发展战略和规划。</w:t>
      </w:r>
    </w:p>
    <w:p w14:paraId="1A037815">
      <w:pPr>
        <w:spacing w:line="600" w:lineRule="exact"/>
        <w:ind w:firstLine="640" w:firstLineChars="200"/>
        <w:rPr>
          <w:rFonts w:ascii="仿宋_GB2312" w:eastAsia="仿宋_GB2312"/>
          <w:sz w:val="32"/>
          <w:szCs w:val="32"/>
        </w:rPr>
      </w:pPr>
      <w:r>
        <w:rPr>
          <w:rFonts w:hint="eastAsia" w:ascii="仿宋_GB2312" w:eastAsia="仿宋_GB2312"/>
          <w:sz w:val="32"/>
          <w:szCs w:val="32"/>
        </w:rPr>
        <w:t>2.拟订全县交通运输地方性法规、规章草案，负责本系统、本部门依法行政工作，落实行政执法责任制。指导公路、水路行业有关体制改革工作，承担全县高速公路协调管理的有关工作。</w:t>
      </w:r>
    </w:p>
    <w:p w14:paraId="12228A22">
      <w:pPr>
        <w:spacing w:line="600" w:lineRule="exact"/>
        <w:ind w:firstLine="640" w:firstLineChars="200"/>
        <w:rPr>
          <w:rFonts w:ascii="仿宋_GB2312" w:eastAsia="仿宋_GB2312"/>
          <w:sz w:val="32"/>
          <w:szCs w:val="32"/>
        </w:rPr>
      </w:pPr>
      <w:r>
        <w:rPr>
          <w:rFonts w:hint="eastAsia" w:ascii="仿宋_GB2312" w:eastAsia="仿宋_GB2312"/>
          <w:sz w:val="32"/>
          <w:szCs w:val="32"/>
        </w:rPr>
        <w:t>3.承担道路、水路交通运输市场监管责任，组织制定道路、水路运输有关政策、技术标准和运营规范并监督实施，指导城乡客运管理工作，指导出租汽车行业管理工作，会同有关部门制定运输价格。</w:t>
      </w:r>
    </w:p>
    <w:p w14:paraId="5219FF49">
      <w:pPr>
        <w:spacing w:line="600" w:lineRule="exact"/>
        <w:ind w:firstLine="640" w:firstLineChars="200"/>
        <w:rPr>
          <w:rFonts w:ascii="仿宋_GB2312" w:eastAsia="仿宋_GB2312"/>
          <w:sz w:val="32"/>
          <w:szCs w:val="32"/>
        </w:rPr>
      </w:pPr>
      <w:r>
        <w:rPr>
          <w:rFonts w:hint="eastAsia" w:ascii="仿宋_GB2312" w:eastAsia="仿宋_GB2312"/>
          <w:sz w:val="32"/>
          <w:szCs w:val="32"/>
        </w:rPr>
        <w:t>4.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或参与事故调查处理工作。</w:t>
      </w:r>
    </w:p>
    <w:p w14:paraId="4A63718E">
      <w:pPr>
        <w:spacing w:line="600" w:lineRule="exact"/>
        <w:ind w:firstLine="640" w:firstLineChars="200"/>
        <w:rPr>
          <w:rFonts w:ascii="仿宋_GB2312" w:eastAsia="仿宋_GB2312"/>
          <w:sz w:val="32"/>
          <w:szCs w:val="32"/>
        </w:rPr>
      </w:pPr>
      <w:r>
        <w:rPr>
          <w:rFonts w:hint="eastAsia" w:ascii="仿宋_GB2312" w:eastAsia="仿宋_GB2312"/>
          <w:sz w:val="32"/>
          <w:szCs w:val="32"/>
        </w:rPr>
        <w:t>5.负责提出公路、水路固定资产投资规模和方向、县财政性资金安排建议，组织实施省、州、县规划内和年度计划规模内固定资产投资项目。会同有关部门拟定公路、水路有关规费政策并监督实施，提出有关财政、土地、价格等政策建议。指导交通运输行业审计工作。</w:t>
      </w:r>
    </w:p>
    <w:p w14:paraId="64082CD9">
      <w:pPr>
        <w:spacing w:line="600" w:lineRule="exact"/>
        <w:ind w:firstLine="640" w:firstLineChars="200"/>
        <w:rPr>
          <w:rFonts w:ascii="仿宋_GB2312" w:eastAsia="仿宋_GB2312"/>
          <w:sz w:val="32"/>
          <w:szCs w:val="32"/>
        </w:rPr>
      </w:pPr>
      <w:r>
        <w:rPr>
          <w:rFonts w:hint="eastAsia" w:ascii="仿宋_GB2312" w:eastAsia="仿宋_GB2312"/>
          <w:sz w:val="32"/>
          <w:szCs w:val="32"/>
        </w:rPr>
        <w:t>6.承担公路、水路建设市场监管责任。拟定公路、水路工程建设相关政策、技术标准并监督实施，组织协调公路、水路有关重点工程建设和工程质量、安全生产监督管理工作。负责对交通行业和产业项目的招标投标活动的监督执法。指导交通运输基础设施管理和维护，承担有关重要设施的管理和维护。按规定负责码头规划和码头岸线使用管理工作，指导交通运输行业基础设施管理和维护，承担有关重要设施的管理和维护。按规定负责码头规划和码头岸线使用管理工作，指导交通运输行业特许经营管理，会同有关部门组织实施交通运输行业职业资格管理。</w:t>
      </w:r>
    </w:p>
    <w:p w14:paraId="28AD7FFD">
      <w:pPr>
        <w:spacing w:line="600" w:lineRule="exact"/>
        <w:ind w:firstLine="640" w:firstLineChars="200"/>
        <w:rPr>
          <w:rFonts w:ascii="仿宋_GB2312" w:eastAsia="仿宋_GB2312"/>
          <w:sz w:val="32"/>
          <w:szCs w:val="32"/>
        </w:rPr>
      </w:pPr>
      <w:r>
        <w:rPr>
          <w:rFonts w:hint="eastAsia" w:ascii="仿宋_GB2312" w:eastAsia="仿宋_GB2312"/>
          <w:sz w:val="32"/>
          <w:szCs w:val="32"/>
        </w:rPr>
        <w:t>7.指导公路、水路行业安全生产和应急管理工作，按规定组织协调重点物资和紧急客货运输，负责全县境内高速公路及重点干线路网运行监测和协调。组织协调地方交通战备工作，承担国防动员有关工作。</w:t>
      </w:r>
    </w:p>
    <w:p w14:paraId="2313C9C1">
      <w:pPr>
        <w:spacing w:line="600" w:lineRule="exact"/>
        <w:ind w:firstLine="640" w:firstLineChars="200"/>
        <w:rPr>
          <w:rFonts w:ascii="仿宋_GB2312" w:eastAsia="仿宋_GB2312"/>
          <w:sz w:val="32"/>
          <w:szCs w:val="32"/>
        </w:rPr>
      </w:pPr>
      <w:r>
        <w:rPr>
          <w:rFonts w:hint="eastAsia" w:ascii="仿宋_GB2312" w:eastAsia="仿宋_GB2312"/>
          <w:sz w:val="32"/>
          <w:szCs w:val="32"/>
        </w:rPr>
        <w:t>8.制定交通运输科技政策并监督实施，组织重大科技开发。指导全县交通运输信息化建设，监测分析运行情况，开展相关统计工作，发布有关信息。指导公路、水路行业环境保护和节能减排工作。</w:t>
      </w:r>
    </w:p>
    <w:p w14:paraId="492FB779">
      <w:pPr>
        <w:spacing w:line="600" w:lineRule="exact"/>
        <w:ind w:firstLine="640" w:firstLineChars="200"/>
        <w:rPr>
          <w:rFonts w:ascii="仿宋_GB2312" w:eastAsia="仿宋_GB2312"/>
          <w:sz w:val="32"/>
          <w:szCs w:val="32"/>
        </w:rPr>
      </w:pPr>
      <w:r>
        <w:rPr>
          <w:rFonts w:hint="eastAsia" w:ascii="仿宋_GB2312" w:eastAsia="仿宋_GB2312"/>
          <w:sz w:val="32"/>
          <w:szCs w:val="32"/>
        </w:rPr>
        <w:t>9.负责公路、水路有关涉外工作，开展对外经济交流与合作，指导全县交通运输行业招商引资和利用外资工作。</w:t>
      </w:r>
    </w:p>
    <w:p w14:paraId="469E65F0">
      <w:pPr>
        <w:spacing w:line="600" w:lineRule="exact"/>
        <w:ind w:firstLine="640" w:firstLineChars="200"/>
        <w:rPr>
          <w:rFonts w:ascii="仿宋_GB2312" w:eastAsia="仿宋_GB2312"/>
          <w:sz w:val="32"/>
          <w:szCs w:val="32"/>
        </w:rPr>
      </w:pPr>
      <w:r>
        <w:rPr>
          <w:rFonts w:hint="eastAsia" w:ascii="仿宋_GB2312" w:eastAsia="仿宋_GB2312"/>
          <w:sz w:val="32"/>
          <w:szCs w:val="32"/>
        </w:rPr>
        <w:t>10.承担县政府公布的有关行政审批事项。</w:t>
      </w:r>
    </w:p>
    <w:p w14:paraId="45B97EE1">
      <w:pPr>
        <w:spacing w:line="600" w:lineRule="exact"/>
        <w:ind w:firstLine="640" w:firstLineChars="200"/>
      </w:pPr>
      <w:r>
        <w:rPr>
          <w:rFonts w:hint="eastAsia" w:ascii="仿宋_GB2312" w:eastAsia="仿宋_GB2312"/>
          <w:sz w:val="32"/>
          <w:szCs w:val="32"/>
        </w:rPr>
        <w:t>11.承办县政府交办的其他事项。</w:t>
      </w:r>
    </w:p>
    <w:bookmarkEnd w:id="16"/>
    <w:bookmarkEnd w:id="17"/>
    <w:p w14:paraId="78455DA5">
      <w:pPr>
        <w:pStyle w:val="2"/>
        <w:adjustRightInd w:val="0"/>
        <w:snapToGrid w:val="0"/>
        <w:spacing w:before="93" w:line="600" w:lineRule="exact"/>
        <w:ind w:firstLine="640" w:firstLineChars="200"/>
        <w:outlineLvl w:val="2"/>
        <w:rPr>
          <w:rFonts w:ascii="仿宋" w:hAnsi="仿宋" w:eastAsia="仿宋"/>
          <w:bCs/>
          <w:color w:val="000000"/>
          <w:sz w:val="32"/>
          <w:szCs w:val="32"/>
        </w:rPr>
      </w:pPr>
      <w:bookmarkStart w:id="18" w:name="_Toc15378446"/>
      <w:bookmarkStart w:id="19" w:name="_Toc15377199"/>
      <w:r>
        <w:rPr>
          <w:rFonts w:hint="eastAsia" w:ascii="仿宋" w:hAnsi="仿宋" w:eastAsia="仿宋"/>
          <w:bCs/>
          <w:color w:val="000000"/>
          <w:sz w:val="32"/>
          <w:szCs w:val="32"/>
        </w:rPr>
        <w:t>（二）</w:t>
      </w:r>
      <w:r>
        <w:rPr>
          <w:rFonts w:ascii="仿宋" w:hAnsi="仿宋" w:eastAsia="仿宋"/>
          <w:bCs/>
          <w:color w:val="000000"/>
          <w:sz w:val="32"/>
          <w:szCs w:val="32"/>
        </w:rPr>
        <w:t>20</w:t>
      </w:r>
      <w:r>
        <w:rPr>
          <w:rFonts w:hint="eastAsia" w:ascii="仿宋" w:hAnsi="仿宋" w:eastAsia="仿宋"/>
          <w:bCs/>
          <w:color w:val="000000"/>
          <w:sz w:val="32"/>
          <w:szCs w:val="32"/>
        </w:rPr>
        <w:t>21年重点工作完成情况。</w:t>
      </w:r>
      <w:bookmarkEnd w:id="18"/>
      <w:bookmarkEnd w:id="19"/>
    </w:p>
    <w:p w14:paraId="18266FF7">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1.加快推进交通基础设施建设项目</w:t>
      </w:r>
    </w:p>
    <w:p w14:paraId="15A2154C">
      <w:pPr>
        <w:adjustRightInd w:val="0"/>
        <w:snapToGrid w:val="0"/>
        <w:spacing w:line="578" w:lineRule="exact"/>
        <w:ind w:firstLine="640" w:firstLineChars="200"/>
        <w:rPr>
          <w:rFonts w:eastAsia="仿宋_GB2312"/>
          <w:color w:val="000000"/>
          <w:sz w:val="32"/>
          <w:szCs w:val="32"/>
        </w:rPr>
      </w:pPr>
      <w:r>
        <w:rPr>
          <w:rFonts w:hint="eastAsia" w:eastAsia="仿宋_GB2312"/>
          <w:color w:val="000000"/>
          <w:sz w:val="32"/>
          <w:szCs w:val="32"/>
        </w:rPr>
        <w:t>2021</w:t>
      </w:r>
      <w:r>
        <w:rPr>
          <w:rFonts w:eastAsia="仿宋_GB2312"/>
          <w:color w:val="000000"/>
          <w:sz w:val="32"/>
          <w:szCs w:val="32"/>
        </w:rPr>
        <w:t>年度全县交通类建设项目共计</w:t>
      </w:r>
      <w:r>
        <w:rPr>
          <w:rFonts w:hint="eastAsia" w:eastAsia="仿宋_GB2312"/>
          <w:color w:val="000000"/>
          <w:sz w:val="32"/>
          <w:szCs w:val="32"/>
        </w:rPr>
        <w:t>14</w:t>
      </w:r>
      <w:r>
        <w:rPr>
          <w:rFonts w:eastAsia="仿宋_GB2312"/>
          <w:color w:val="000000"/>
          <w:sz w:val="32"/>
          <w:szCs w:val="32"/>
        </w:rPr>
        <w:t>个，总概算投资约</w:t>
      </w:r>
      <w:r>
        <w:rPr>
          <w:rFonts w:hint="eastAsia" w:eastAsia="仿宋_GB2312"/>
          <w:color w:val="000000"/>
          <w:sz w:val="32"/>
          <w:szCs w:val="32"/>
        </w:rPr>
        <w:t>16.56</w:t>
      </w:r>
      <w:r>
        <w:rPr>
          <w:rFonts w:eastAsia="仿宋_GB2312"/>
          <w:color w:val="000000"/>
          <w:sz w:val="32"/>
          <w:szCs w:val="32"/>
        </w:rPr>
        <w:t>亿元，年内计划完成投资约</w:t>
      </w:r>
      <w:r>
        <w:rPr>
          <w:rFonts w:hint="eastAsia" w:eastAsia="仿宋_GB2312"/>
          <w:color w:val="000000"/>
          <w:sz w:val="32"/>
          <w:szCs w:val="32"/>
        </w:rPr>
        <w:t>3.2</w:t>
      </w:r>
      <w:r>
        <w:rPr>
          <w:rFonts w:eastAsia="仿宋_GB2312"/>
          <w:color w:val="000000"/>
          <w:sz w:val="32"/>
          <w:szCs w:val="32"/>
        </w:rPr>
        <w:t>亿元，已</w:t>
      </w:r>
      <w:r>
        <w:rPr>
          <w:rFonts w:eastAsia="仿宋_GB2312"/>
          <w:snapToGrid w:val="0"/>
          <w:color w:val="000000"/>
          <w:kern w:val="0"/>
          <w:sz w:val="32"/>
          <w:szCs w:val="32"/>
        </w:rPr>
        <w:t>完成投资</w:t>
      </w:r>
      <w:r>
        <w:rPr>
          <w:rFonts w:hint="eastAsia" w:eastAsia="仿宋_GB2312"/>
          <w:snapToGrid w:val="0"/>
          <w:color w:val="000000"/>
          <w:kern w:val="0"/>
          <w:sz w:val="32"/>
          <w:szCs w:val="32"/>
        </w:rPr>
        <w:t>2.36</w:t>
      </w:r>
      <w:r>
        <w:rPr>
          <w:rFonts w:eastAsia="仿宋_GB2312"/>
          <w:snapToGrid w:val="0"/>
          <w:color w:val="000000"/>
          <w:kern w:val="0"/>
          <w:sz w:val="32"/>
          <w:szCs w:val="32"/>
        </w:rPr>
        <w:t>亿元，完成年度投资任务</w:t>
      </w:r>
      <w:r>
        <w:rPr>
          <w:rFonts w:hint="eastAsia" w:eastAsia="仿宋_GB2312"/>
          <w:snapToGrid w:val="0"/>
          <w:color w:val="000000"/>
          <w:kern w:val="0"/>
          <w:sz w:val="32"/>
          <w:szCs w:val="32"/>
        </w:rPr>
        <w:t>73.75</w:t>
      </w:r>
      <w:r>
        <w:rPr>
          <w:rFonts w:eastAsia="仿宋_GB2312"/>
          <w:snapToGrid w:val="0"/>
          <w:color w:val="000000"/>
          <w:kern w:val="0"/>
          <w:sz w:val="32"/>
          <w:szCs w:val="32"/>
        </w:rPr>
        <w:t>%。</w:t>
      </w:r>
    </w:p>
    <w:p w14:paraId="0617D1CA">
      <w:pPr>
        <w:adjustRightInd w:val="0"/>
        <w:snapToGrid w:val="0"/>
        <w:spacing w:line="578" w:lineRule="exact"/>
        <w:ind w:firstLine="643" w:firstLineChars="200"/>
        <w:rPr>
          <w:rFonts w:eastAsia="仿宋_GB2312"/>
          <w:sz w:val="32"/>
          <w:szCs w:val="32"/>
        </w:rPr>
      </w:pPr>
      <w:r>
        <w:rPr>
          <w:rFonts w:eastAsia="仿宋_GB2312"/>
          <w:b/>
          <w:bCs/>
          <w:color w:val="000000"/>
          <w:sz w:val="32"/>
          <w:szCs w:val="32"/>
        </w:rPr>
        <w:t>（一）坚持迎难而上，奋力推进重点项目建设。</w:t>
      </w:r>
      <w:r>
        <w:rPr>
          <w:rFonts w:eastAsia="仿宋_GB2312"/>
          <w:snapToGrid w:val="0"/>
          <w:color w:val="000000"/>
          <w:kern w:val="0"/>
          <w:sz w:val="32"/>
          <w:szCs w:val="32"/>
        </w:rPr>
        <w:t>今年以来，我局严格按照县委县政府相关工作要求，积极克服新冠疫情带来的不利影响，精准有序、扎实推进各类项目复工复产，努力把受影响的时间抢回来，确保</w:t>
      </w:r>
      <w:r>
        <w:rPr>
          <w:rFonts w:hint="eastAsia" w:eastAsia="仿宋_GB2312"/>
          <w:snapToGrid w:val="0"/>
          <w:color w:val="000000"/>
          <w:kern w:val="0"/>
          <w:sz w:val="32"/>
          <w:szCs w:val="32"/>
        </w:rPr>
        <w:t>9</w:t>
      </w:r>
      <w:r>
        <w:rPr>
          <w:rFonts w:eastAsia="仿宋_GB2312"/>
          <w:snapToGrid w:val="0"/>
          <w:color w:val="000000"/>
          <w:kern w:val="0"/>
          <w:sz w:val="32"/>
          <w:szCs w:val="32"/>
        </w:rPr>
        <w:t>个项目顺利完工。完成</w:t>
      </w:r>
      <w:r>
        <w:rPr>
          <w:rFonts w:eastAsia="仿宋_GB2312"/>
          <w:sz w:val="32"/>
          <w:szCs w:val="32"/>
        </w:rPr>
        <w:t>S216线松潘白羊乡至北川段灾毁恢复重建工程（一、二期共计2800万元）、小姓乡龙头寺桥建设项目（296.97万元）、红土乡桥梁建设项目（62万元）等9个项</w:t>
      </w:r>
      <w:r>
        <w:rPr>
          <w:rFonts w:hint="eastAsia" w:eastAsia="仿宋_GB2312"/>
          <w:sz w:val="32"/>
          <w:szCs w:val="32"/>
        </w:rPr>
        <w:t>目</w:t>
      </w:r>
      <w:r>
        <w:rPr>
          <w:rFonts w:eastAsia="仿宋_GB2312"/>
          <w:sz w:val="32"/>
          <w:szCs w:val="32"/>
        </w:rPr>
        <w:t>。累计完成投资2.36亿元，占全年计划73.75%</w:t>
      </w:r>
      <w:r>
        <w:rPr>
          <w:rFonts w:hint="eastAsia" w:eastAsia="仿宋_GB2312"/>
          <w:sz w:val="32"/>
          <w:szCs w:val="32"/>
        </w:rPr>
        <w:t>。</w:t>
      </w:r>
    </w:p>
    <w:p w14:paraId="5AD7E94E">
      <w:pPr>
        <w:adjustRightInd w:val="0"/>
        <w:snapToGrid w:val="0"/>
        <w:spacing w:line="578" w:lineRule="exact"/>
        <w:ind w:firstLine="643" w:firstLineChars="200"/>
        <w:rPr>
          <w:rFonts w:eastAsia="仿宋_GB2312"/>
          <w:snapToGrid w:val="0"/>
          <w:color w:val="000000"/>
          <w:kern w:val="0"/>
          <w:sz w:val="32"/>
          <w:szCs w:val="32"/>
        </w:rPr>
      </w:pPr>
      <w:r>
        <w:rPr>
          <w:rFonts w:eastAsia="仿宋_GB2312"/>
          <w:b/>
          <w:bCs/>
          <w:color w:val="000000"/>
          <w:sz w:val="32"/>
          <w:szCs w:val="32"/>
        </w:rPr>
        <w:t>（二）持续用力，抓紧在建项目有序推进。</w:t>
      </w:r>
      <w:r>
        <w:rPr>
          <w:rFonts w:eastAsia="仿宋_GB2312"/>
          <w:snapToGrid w:val="0"/>
          <w:color w:val="000000"/>
          <w:kern w:val="0"/>
          <w:sz w:val="32"/>
          <w:szCs w:val="32"/>
        </w:rPr>
        <w:t>今年以来，我局不断增强项目建设紧迫感、责任感，紧盯进度目标、细化工作举措、倒排时间节点，认真细致落实前期工作、扎实高效推进项目建设，切实保障各类在建项目有序推进。</w:t>
      </w:r>
    </w:p>
    <w:p w14:paraId="281E34A6">
      <w:pPr>
        <w:spacing w:line="578" w:lineRule="exact"/>
        <w:ind w:firstLine="640" w:firstLineChars="200"/>
        <w:rPr>
          <w:rFonts w:eastAsia="仿宋_GB2312"/>
          <w:sz w:val="32"/>
          <w:szCs w:val="32"/>
        </w:rPr>
      </w:pPr>
      <w:r>
        <w:rPr>
          <w:rFonts w:eastAsia="仿宋_GB2312"/>
          <w:snapToGrid w:val="0"/>
          <w:color w:val="000000"/>
          <w:kern w:val="0"/>
          <w:sz w:val="32"/>
          <w:szCs w:val="32"/>
        </w:rPr>
        <w:t>1.国道213线松潘县城过境段改线工程，</w:t>
      </w:r>
      <w:r>
        <w:rPr>
          <w:rFonts w:eastAsia="仿宋_GB2312"/>
          <w:color w:val="000000"/>
          <w:sz w:val="32"/>
          <w:szCs w:val="32"/>
        </w:rPr>
        <w:t>概算投资4.92亿元，目前隧道主洞整体已进尺</w:t>
      </w:r>
      <w:r>
        <w:rPr>
          <w:rFonts w:hint="eastAsia" w:eastAsia="仿宋_GB2312"/>
          <w:color w:val="000000"/>
          <w:sz w:val="32"/>
          <w:szCs w:val="32"/>
        </w:rPr>
        <w:t>3106</w:t>
      </w:r>
      <w:r>
        <w:rPr>
          <w:rFonts w:eastAsia="仿宋_GB2312"/>
          <w:color w:val="000000"/>
          <w:sz w:val="32"/>
          <w:szCs w:val="32"/>
        </w:rPr>
        <w:t>米（一标段</w:t>
      </w:r>
      <w:r>
        <w:rPr>
          <w:rFonts w:hint="eastAsia" w:eastAsia="仿宋_GB2312"/>
          <w:color w:val="000000"/>
          <w:sz w:val="32"/>
          <w:szCs w:val="32"/>
        </w:rPr>
        <w:t>1052</w:t>
      </w:r>
      <w:r>
        <w:rPr>
          <w:rFonts w:eastAsia="仿宋_GB2312"/>
          <w:color w:val="000000"/>
          <w:sz w:val="32"/>
          <w:szCs w:val="32"/>
        </w:rPr>
        <w:t>米、二标段</w:t>
      </w:r>
      <w:r>
        <w:rPr>
          <w:rFonts w:hint="eastAsia" w:eastAsia="仿宋_GB2312"/>
          <w:color w:val="000000"/>
          <w:sz w:val="32"/>
          <w:szCs w:val="32"/>
        </w:rPr>
        <w:t>2054</w:t>
      </w:r>
      <w:r>
        <w:rPr>
          <w:rFonts w:eastAsia="仿宋_GB2312"/>
          <w:color w:val="000000"/>
          <w:sz w:val="32"/>
          <w:szCs w:val="32"/>
        </w:rPr>
        <w:t>米）、平导进尺</w:t>
      </w:r>
      <w:r>
        <w:rPr>
          <w:rFonts w:hint="eastAsia" w:eastAsia="仿宋_GB2312"/>
          <w:color w:val="000000"/>
          <w:sz w:val="32"/>
          <w:szCs w:val="32"/>
        </w:rPr>
        <w:t>295</w:t>
      </w:r>
      <w:r>
        <w:rPr>
          <w:rFonts w:eastAsia="仿宋_GB2312"/>
          <w:color w:val="000000"/>
          <w:sz w:val="32"/>
          <w:szCs w:val="32"/>
        </w:rPr>
        <w:t>米，路基挖填方已完成工程量8</w:t>
      </w:r>
      <w:r>
        <w:rPr>
          <w:rFonts w:hint="eastAsia" w:eastAsia="仿宋_GB2312"/>
          <w:color w:val="000000"/>
          <w:sz w:val="32"/>
          <w:szCs w:val="32"/>
        </w:rPr>
        <w:t>9</w:t>
      </w:r>
      <w:r>
        <w:rPr>
          <w:rFonts w:eastAsia="仿宋_GB2312"/>
          <w:color w:val="000000"/>
          <w:sz w:val="32"/>
          <w:szCs w:val="32"/>
        </w:rPr>
        <w:t>%，挡防工程完成工程量</w:t>
      </w:r>
      <w:r>
        <w:rPr>
          <w:rFonts w:hint="eastAsia" w:eastAsia="仿宋_GB2312"/>
          <w:color w:val="000000"/>
          <w:sz w:val="32"/>
          <w:szCs w:val="32"/>
        </w:rPr>
        <w:t>79</w:t>
      </w:r>
      <w:r>
        <w:rPr>
          <w:rFonts w:eastAsia="仿宋_GB2312"/>
          <w:color w:val="000000"/>
          <w:sz w:val="32"/>
          <w:szCs w:val="32"/>
        </w:rPr>
        <w:t>%</w:t>
      </w:r>
      <w:r>
        <w:rPr>
          <w:rFonts w:eastAsia="仿宋_GB2312"/>
          <w:sz w:val="32"/>
          <w:szCs w:val="32"/>
        </w:rPr>
        <w:t>，已完成投资约</w:t>
      </w:r>
      <w:r>
        <w:rPr>
          <w:rFonts w:hint="eastAsia" w:eastAsia="仿宋_GB2312"/>
          <w:sz w:val="32"/>
          <w:szCs w:val="32"/>
        </w:rPr>
        <w:t>3.82</w:t>
      </w:r>
      <w:r>
        <w:rPr>
          <w:rFonts w:eastAsia="仿宋_GB2312"/>
          <w:sz w:val="32"/>
          <w:szCs w:val="32"/>
        </w:rPr>
        <w:t>亿元，完成年度任务</w:t>
      </w:r>
      <w:r>
        <w:rPr>
          <w:rFonts w:hint="eastAsia" w:eastAsia="仿宋_GB2312"/>
          <w:sz w:val="32"/>
          <w:szCs w:val="32"/>
        </w:rPr>
        <w:t>84</w:t>
      </w:r>
      <w:r>
        <w:rPr>
          <w:rFonts w:eastAsia="仿宋_GB2312"/>
          <w:sz w:val="32"/>
          <w:szCs w:val="32"/>
        </w:rPr>
        <w:t>%。</w:t>
      </w:r>
    </w:p>
    <w:p w14:paraId="29D67995">
      <w:pPr>
        <w:spacing w:line="578" w:lineRule="exact"/>
        <w:ind w:firstLine="640" w:firstLineChars="200"/>
        <w:rPr>
          <w:rFonts w:eastAsia="仿宋_GB2312"/>
          <w:color w:val="000000"/>
          <w:sz w:val="32"/>
          <w:szCs w:val="32"/>
        </w:rPr>
      </w:pPr>
      <w:r>
        <w:rPr>
          <w:rFonts w:eastAsia="仿宋_GB2312"/>
          <w:snapToGrid w:val="0"/>
          <w:kern w:val="0"/>
          <w:sz w:val="32"/>
          <w:szCs w:val="32"/>
        </w:rPr>
        <w:t>2.</w:t>
      </w:r>
      <w:r>
        <w:rPr>
          <w:rFonts w:eastAsia="仿宋_GB2312"/>
          <w:sz w:val="32"/>
          <w:szCs w:val="32"/>
        </w:rPr>
        <w:t>省道313线松潘县镇江关至草原乡提升改造工程，路线全长104.7km,概算投资8.61亿元，业主为州交投公司，施工单位已于8月进场施工，目前正在进行施工驻地、搅拌站等临建设施修建</w:t>
      </w:r>
      <w:r>
        <w:rPr>
          <w:rFonts w:hint="eastAsia" w:eastAsia="仿宋_GB2312"/>
          <w:sz w:val="32"/>
          <w:szCs w:val="32"/>
        </w:rPr>
        <w:t>。</w:t>
      </w:r>
    </w:p>
    <w:p w14:paraId="2403023A">
      <w:pPr>
        <w:spacing w:line="578" w:lineRule="exact"/>
        <w:ind w:firstLine="640" w:firstLineChars="200"/>
        <w:rPr>
          <w:rFonts w:eastAsia="仿宋_GB2312"/>
          <w:color w:val="000000"/>
          <w:sz w:val="32"/>
          <w:szCs w:val="32"/>
        </w:rPr>
      </w:pPr>
      <w:r>
        <w:rPr>
          <w:rFonts w:eastAsia="仿宋_GB2312"/>
          <w:snapToGrid w:val="0"/>
          <w:color w:val="000000"/>
          <w:kern w:val="0"/>
          <w:sz w:val="32"/>
          <w:szCs w:val="32"/>
        </w:rPr>
        <w:t>3.</w:t>
      </w:r>
      <w:r>
        <w:rPr>
          <w:rFonts w:eastAsia="仿宋_GB2312"/>
          <w:sz w:val="32"/>
          <w:szCs w:val="32"/>
        </w:rPr>
        <w:t>青云客货运综合站</w:t>
      </w:r>
      <w:r>
        <w:rPr>
          <w:rFonts w:eastAsia="仿宋_GB2312"/>
          <w:b/>
          <w:bCs/>
          <w:sz w:val="32"/>
          <w:szCs w:val="32"/>
        </w:rPr>
        <w:t>，</w:t>
      </w:r>
      <w:r>
        <w:rPr>
          <w:rFonts w:eastAsia="仿宋_GB2312"/>
          <w:sz w:val="32"/>
          <w:szCs w:val="32"/>
        </w:rPr>
        <w:t>概算投资3000万元，目前已完成站房主体建设，完成总工程量85%，预计11月底完工</w:t>
      </w:r>
      <w:r>
        <w:rPr>
          <w:rFonts w:hint="eastAsia" w:eastAsia="仿宋_GB2312"/>
          <w:sz w:val="32"/>
          <w:szCs w:val="32"/>
        </w:rPr>
        <w:t>。</w:t>
      </w:r>
    </w:p>
    <w:p w14:paraId="22792E48">
      <w:pPr>
        <w:pStyle w:val="19"/>
        <w:keepNext w:val="0"/>
        <w:keepLines w:val="0"/>
        <w:spacing w:before="0" w:line="578" w:lineRule="exact"/>
        <w:ind w:firstLine="640" w:firstLineChars="200"/>
        <w:rPr>
          <w:rFonts w:ascii="Times New Roman" w:hAnsi="Times New Roman" w:eastAsia="仿宋_GB2312"/>
          <w:b w:val="0"/>
          <w:bCs w:val="0"/>
          <w:color w:val="auto"/>
          <w:kern w:val="2"/>
        </w:rPr>
      </w:pPr>
      <w:r>
        <w:rPr>
          <w:rFonts w:ascii="Times New Roman" w:hAnsi="Times New Roman" w:eastAsia="仿宋_GB2312"/>
          <w:b w:val="0"/>
          <w:bCs w:val="0"/>
          <w:snapToGrid w:val="0"/>
        </w:rPr>
        <w:t>4</w:t>
      </w:r>
      <w:r>
        <w:rPr>
          <w:rFonts w:ascii="Times New Roman" w:hAnsi="Times New Roman" w:eastAsia="仿宋_GB2312"/>
          <w:color w:val="auto"/>
          <w:kern w:val="2"/>
        </w:rPr>
        <w:t>.</w:t>
      </w:r>
      <w:r>
        <w:rPr>
          <w:rFonts w:ascii="Times New Roman" w:hAnsi="Times New Roman" w:eastAsia="仿宋_GB2312"/>
          <w:b w:val="0"/>
          <w:bCs w:val="0"/>
          <w:color w:val="auto"/>
          <w:kern w:val="2"/>
        </w:rPr>
        <w:t>成兰铁路青云站物流仓储中心建设项目，概算投资5640万元，项目主体设施已完成封顶，预计本年度完成主体施工</w:t>
      </w:r>
      <w:r>
        <w:rPr>
          <w:rFonts w:hint="eastAsia" w:ascii="Times New Roman" w:hAnsi="Times New Roman" w:eastAsia="仿宋_GB2312"/>
          <w:b w:val="0"/>
          <w:bCs w:val="0"/>
          <w:color w:val="auto"/>
          <w:kern w:val="2"/>
        </w:rPr>
        <w:t>。</w:t>
      </w:r>
    </w:p>
    <w:p w14:paraId="1DF15760">
      <w:pPr>
        <w:spacing w:line="578" w:lineRule="exact"/>
        <w:ind w:firstLine="640" w:firstLineChars="200"/>
        <w:rPr>
          <w:rFonts w:eastAsia="仿宋_GB2312"/>
          <w:color w:val="000000"/>
          <w:sz w:val="32"/>
          <w:szCs w:val="32"/>
        </w:rPr>
      </w:pPr>
      <w:r>
        <w:rPr>
          <w:rFonts w:eastAsia="仿宋_GB2312"/>
          <w:snapToGrid w:val="0"/>
          <w:color w:val="000000"/>
          <w:kern w:val="0"/>
          <w:sz w:val="32"/>
          <w:szCs w:val="32"/>
        </w:rPr>
        <w:t>5.</w:t>
      </w:r>
      <w:r>
        <w:rPr>
          <w:rFonts w:eastAsia="仿宋_GB2312"/>
          <w:sz w:val="32"/>
          <w:szCs w:val="32"/>
        </w:rPr>
        <w:t>吴家梁村至燕子坪村撤并建制村畅通工程，路线全长7.6公里，概算投694.81万元，项目已于9月初进场施工，预计11月底完工</w:t>
      </w:r>
      <w:r>
        <w:rPr>
          <w:rFonts w:hint="eastAsia" w:eastAsia="仿宋_GB2312"/>
          <w:sz w:val="32"/>
          <w:szCs w:val="32"/>
        </w:rPr>
        <w:t>。</w:t>
      </w:r>
    </w:p>
    <w:p w14:paraId="4EB1C1D6">
      <w:pPr>
        <w:spacing w:line="576" w:lineRule="exact"/>
        <w:ind w:firstLine="643" w:firstLineChars="200"/>
        <w:rPr>
          <w:rFonts w:eastAsia="仿宋_GB2312"/>
          <w:color w:val="000000"/>
          <w:sz w:val="32"/>
          <w:szCs w:val="32"/>
        </w:rPr>
      </w:pPr>
      <w:r>
        <w:rPr>
          <w:rFonts w:eastAsia="仿宋_GB2312"/>
          <w:b/>
          <w:bCs/>
          <w:color w:val="000000"/>
          <w:sz w:val="32"/>
          <w:szCs w:val="32"/>
        </w:rPr>
        <w:t>（三）</w:t>
      </w:r>
      <w:r>
        <w:rPr>
          <w:rFonts w:eastAsia="仿宋_GB2312"/>
          <w:b/>
          <w:bCs/>
          <w:sz w:val="32"/>
          <w:szCs w:val="32"/>
        </w:rPr>
        <w:t>锐意进取，全力推动储备项目落地</w:t>
      </w:r>
      <w:r>
        <w:rPr>
          <w:rFonts w:hint="eastAsia" w:eastAsia="仿宋_GB2312"/>
          <w:b/>
          <w:bCs/>
          <w:sz w:val="32"/>
          <w:szCs w:val="32"/>
        </w:rPr>
        <w:t>。</w:t>
      </w:r>
      <w:r>
        <w:rPr>
          <w:rFonts w:eastAsia="仿宋_GB2312"/>
          <w:kern w:val="0"/>
          <w:sz w:val="32"/>
          <w:szCs w:val="32"/>
          <w:lang w:bidi="ar"/>
        </w:rPr>
        <w:t>加快储备项目前期进度，争取已纳入“全省幸福美丽乡村路项目库”的两个项</w:t>
      </w:r>
      <w:r>
        <w:rPr>
          <w:rFonts w:eastAsia="仿宋_GB2312"/>
          <w:sz w:val="32"/>
          <w:szCs w:val="32"/>
        </w:rPr>
        <w:t>目（大上路、安牟路提升改造）尽早开工，</w:t>
      </w:r>
      <w:r>
        <w:rPr>
          <w:rFonts w:eastAsia="仿宋_GB2312"/>
          <w:kern w:val="0"/>
          <w:sz w:val="32"/>
          <w:szCs w:val="32"/>
          <w:lang w:bidi="ar"/>
        </w:rPr>
        <w:t>其中：安牟路提升改造工程，全程24公里，概算投资7836万元，目前该项目已完成工可报告批复等前期工作，正在勘察设计；上大路大姓乡至上纳咪村提升改造工程，路线全长23公里，概算投资7136万元，目前该项目已完成初步设计评审，正在报送省厅审批。全力以赴加大资金争取力度，尽最大努力保障争取项目尽快落实落地，其中：省道301平松路提升改造工程，项目概算投资3.81亿元，全程56公里，目前已将初步设计请示上报至省公路局；省道216北松路提升改造工程。项目概算投资1.2亿元，全程13.6公里，已完成选址意见书办理及勘测定界。</w:t>
      </w:r>
    </w:p>
    <w:p w14:paraId="1465FEEB">
      <w:pPr>
        <w:pStyle w:val="14"/>
        <w:spacing w:after="0" w:line="576" w:lineRule="exact"/>
        <w:ind w:left="0" w:leftChars="0" w:firstLine="643"/>
        <w:rPr>
          <w:rFonts w:eastAsia="仿宋_GB2312"/>
          <w:color w:val="000000"/>
          <w:sz w:val="32"/>
          <w:szCs w:val="32"/>
        </w:rPr>
      </w:pPr>
      <w:r>
        <w:rPr>
          <w:rFonts w:eastAsia="仿宋_GB2312"/>
          <w:b/>
          <w:bCs/>
          <w:color w:val="000000"/>
          <w:sz w:val="32"/>
          <w:szCs w:val="32"/>
        </w:rPr>
        <w:t>（四）坚持久久为功，持续强化工程项目质量安全监督。</w:t>
      </w:r>
      <w:r>
        <w:rPr>
          <w:rFonts w:eastAsia="仿宋_GB2312"/>
          <w:sz w:val="32"/>
          <w:szCs w:val="32"/>
        </w:rPr>
        <w:t>固树立“两线”（底线、红线）意识，严格落全州“坚守公路水运工程质量安全红线”专项行动，认真开展自查自纠，不断强化人员履约、质量安全过程监管，全年开展项目建设领域联合执法5次，现场整改问题21条，对一般质量问题和一般质量缺陷，下发工程质量整改通知书5份，责令限期整改。同时，紧紧围绕县委、政府中心工作，主动担当作为，坚持事前施工方案备案审核、事中强化监督检查、事后严格竣工验收</w:t>
      </w:r>
      <w:r>
        <w:rPr>
          <w:rFonts w:eastAsia="仿宋_GB2312"/>
          <w:kern w:val="0"/>
          <w:sz w:val="32"/>
          <w:szCs w:val="32"/>
          <w:lang w:bidi="ar"/>
        </w:rPr>
        <w:t>，</w:t>
      </w:r>
      <w:r>
        <w:rPr>
          <w:rFonts w:eastAsia="仿宋_GB2312"/>
          <w:sz w:val="32"/>
          <w:szCs w:val="32"/>
        </w:rPr>
        <w:t>全面加强全66个县交通类政府性投资项目质量监管。</w:t>
      </w:r>
    </w:p>
    <w:p w14:paraId="27F13E7C">
      <w:pPr>
        <w:spacing w:line="600" w:lineRule="exact"/>
        <w:ind w:firstLine="420" w:firstLineChars="200"/>
        <w:rPr>
          <w:rStyle w:val="29"/>
          <w:b w:val="0"/>
          <w:bCs w:val="0"/>
        </w:rPr>
      </w:pPr>
      <w:bookmarkStart w:id="20" w:name="_Toc15396601"/>
      <w:bookmarkStart w:id="21" w:name="_Toc15377200"/>
      <w:r>
        <w:rPr>
          <w:rFonts w:hint="eastAsia" w:ascii="黑体" w:eastAsia="黑体"/>
          <w:color w:val="000000"/>
        </w:rPr>
        <w:t>二、</w:t>
      </w:r>
      <w:r>
        <w:rPr>
          <w:rStyle w:val="29"/>
          <w:rFonts w:hint="eastAsia" w:ascii="黑体" w:hAnsi="黑体" w:eastAsia="黑体"/>
          <w:b w:val="0"/>
          <w:bCs w:val="0"/>
        </w:rPr>
        <w:t>机构设置</w:t>
      </w:r>
      <w:bookmarkEnd w:id="20"/>
      <w:bookmarkEnd w:id="21"/>
    </w:p>
    <w:p w14:paraId="6CF6EEF7">
      <w:pPr>
        <w:spacing w:line="600" w:lineRule="exact"/>
        <w:ind w:firstLine="640" w:firstLineChars="200"/>
        <w:rPr>
          <w:rFonts w:ascii="仿宋_GB2312" w:eastAsia="仿宋_GB2312"/>
          <w:sz w:val="32"/>
          <w:szCs w:val="32"/>
        </w:rPr>
      </w:pPr>
      <w:r>
        <w:rPr>
          <w:rFonts w:hint="eastAsia" w:ascii="仿宋_GB2312" w:eastAsia="仿宋_GB2312"/>
          <w:sz w:val="32"/>
          <w:szCs w:val="32"/>
        </w:rPr>
        <w:t>（一）办公室</w:t>
      </w:r>
    </w:p>
    <w:p w14:paraId="583A645A">
      <w:pPr>
        <w:spacing w:line="600" w:lineRule="exact"/>
        <w:ind w:firstLine="640" w:firstLineChars="200"/>
        <w:rPr>
          <w:rFonts w:ascii="仿宋_GB2312" w:eastAsia="仿宋_GB2312"/>
          <w:sz w:val="32"/>
          <w:szCs w:val="32"/>
        </w:rPr>
      </w:pPr>
      <w:r>
        <w:rPr>
          <w:rFonts w:hint="eastAsia" w:ascii="仿宋_GB2312" w:eastAsia="仿宋_GB2312"/>
          <w:sz w:val="32"/>
          <w:szCs w:val="32"/>
        </w:rPr>
        <w:t>组织协调局机关工作；负责文秘、政务信息、目标管理、督办、提案办理、档案、机要、保密、值班、接待工作；负责起草局的重要报告、综合性文件；负责有关会议组织工作；负责局机关行政后勤管理工作；指导全县交通行业的精神文明建设、宣传报道工作。依法监督本单位的财务收支及其他经济活动；组织实施对交通投资建设项目和专项资金使用及管理情况的审计或审计调查工作，组织实施全县交通行业财务会记章程制度，指导和监督全县交通行业会记核算，财务管理工作；贯彻执行国家财经法规；负责编制部门预算；负责局及直属单位财务收支、预算、决算管理工作；负责交通专项资金的筹集、监督、管理；负责县属交通各单位国有资产管理和保值增值的监督；监督管理全县水陆干线基础设施国有资产的使用；负责局机关的计划财务和局机关职工的社会保险和医疗保险工作。负责交通扶贫以工代赈资金的管理工作；负责管理交通综合统计工作。负责局机关机构编制、人事管理、劳动工资、社会保险和年度考核工作；负责局机关人才队伍建设、智力引进、专业技术等级的培训、劳动保护及职业病防治工作；管理专业技术人员聘用工作；负责局机关离防治工作；管理专业技术人员聘用工作；负责局机关离退休人员工作；负责接待、处理群众来信来访，督查督办信访案件，协调处理群众性上访事件。组织拟订交通运输行业教育发展规划、政策、制度并监督实施，指导交通运输行业职业教育和培训工作。</w:t>
      </w:r>
    </w:p>
    <w:p w14:paraId="5328BCD1">
      <w:pPr>
        <w:spacing w:line="600" w:lineRule="exact"/>
        <w:ind w:firstLine="640" w:firstLineChars="200"/>
        <w:rPr>
          <w:rFonts w:ascii="仿宋_GB2312" w:eastAsia="仿宋_GB2312"/>
          <w:sz w:val="32"/>
          <w:szCs w:val="32"/>
        </w:rPr>
      </w:pPr>
      <w:r>
        <w:rPr>
          <w:rFonts w:hint="eastAsia" w:ascii="仿宋_GB2312" w:eastAsia="仿宋_GB2312"/>
          <w:sz w:val="32"/>
          <w:szCs w:val="32"/>
        </w:rPr>
        <w:t>（二）交通建设规划管理股</w:t>
      </w:r>
    </w:p>
    <w:p w14:paraId="5CE07BE2">
      <w:pPr>
        <w:spacing w:line="600" w:lineRule="exact"/>
        <w:ind w:firstLine="640" w:firstLineChars="200"/>
        <w:rPr>
          <w:rFonts w:ascii="仿宋_GB2312" w:eastAsia="仿宋_GB2312"/>
          <w:sz w:val="32"/>
          <w:szCs w:val="32"/>
        </w:rPr>
      </w:pPr>
      <w:r>
        <w:rPr>
          <w:rFonts w:hint="eastAsia" w:ascii="仿宋_GB2312" w:eastAsia="仿宋_GB2312"/>
          <w:sz w:val="32"/>
          <w:szCs w:val="32"/>
        </w:rPr>
        <w:t>编制综合运输体系规划，研究拟定公路和水路行业发展战备、投融资政策，组织拟订公路和运输枢纽等行业发展规划、中长期规划、年度计划并监督实施；审核专用公路规划，参与拟订物流业发展战备和规划；承担公路、水路重点建设项目的前期工作和后期评价工作和后期评价工作，承担地方交通建设项目审查工作；承担公路、桥梁、隧道收取通道费、战卡设置的协调和管理以及经验权转让的行业管理工作；承担交通扶贫管理工作、公路和水路行业的统计及预测工作。指导交通运输行业招商引资工作，组织开展经济技术合作,组织开展经济技术合作与交流，指导交通行业特许经营管理工作；承担交通运输有关外事工作。组织拟订交通运输行业工程建设政策、制度和技术标准；监督管理公路、水路建设项目实施，维护公路、水路建设市场秩序；承担公路、水路建设从业单位和从业人员的信用评价、资质管理工作；承担建设工程项目设计文件审查、施工许可审查和竣工验收；负责对交通建设工程项目的招标投标活动的监督执法；监督建设工程的工程进度、工程质量、工程造价；指导公路、水路基础建设设施的维护和管理。组织拟订交通运输行业科技发展规划、政策、制度并监督实施，组织实施交通运输重大科技项目、科技信息交流工程，组织重大科技成果鉴定和评审、推广工作，承担交通运输行业有关标准、计量工作。</w:t>
      </w:r>
    </w:p>
    <w:p w14:paraId="2AFD84C3">
      <w:pPr>
        <w:spacing w:line="600" w:lineRule="exact"/>
        <w:ind w:firstLine="640" w:firstLineChars="200"/>
        <w:rPr>
          <w:rFonts w:ascii="仿宋_GB2312" w:eastAsia="仿宋_GB2312"/>
          <w:sz w:val="32"/>
          <w:szCs w:val="32"/>
        </w:rPr>
      </w:pPr>
      <w:r>
        <w:rPr>
          <w:rFonts w:hint="eastAsia" w:ascii="仿宋_GB2312" w:eastAsia="仿宋_GB2312"/>
          <w:sz w:val="32"/>
          <w:szCs w:val="32"/>
        </w:rPr>
        <w:t>（三）安全运输管理股</w:t>
      </w:r>
    </w:p>
    <w:p w14:paraId="5ADB09C0">
      <w:pPr>
        <w:spacing w:line="600" w:lineRule="exact"/>
        <w:ind w:firstLine="640" w:firstLineChars="200"/>
        <w:rPr>
          <w:rFonts w:ascii="仿宋_GB2312" w:eastAsia="仿宋_GB2312"/>
          <w:sz w:val="32"/>
          <w:szCs w:val="32"/>
        </w:rPr>
      </w:pPr>
      <w:r>
        <w:rPr>
          <w:rFonts w:hint="eastAsia" w:ascii="仿宋_GB2312" w:eastAsia="仿宋_GB2312"/>
          <w:sz w:val="32"/>
          <w:szCs w:val="32"/>
        </w:rPr>
        <w:t>参与拟订综合运输发展战略，承担综合运输体系建设有关协调工作；组织拟订公路、水路运输行业发展政策、发展规划、中长期计划及有关标准规划并监督实施；指导公路、水路运输市场监督管理和公路、水路客货运输及站场、车辆维修、汽车租赁、驾驶员培训等行业管理；组织协调重点运输、紧急客货运输和公路、水路联合运输，承担公路、水路运输业经济运行分析，参与运输价格管理；按规定承担物流市场有关管理工作。指导交通运输行业节能减排的有关管理工作。组织拟订城市公共客运的行业管理政策、标准和规范并监督实施；指导城市公共客运及有关设施规划和监管工作，指导出租汽车行业管理工作；指导城市公共客运服务质量的监督管理工作。组织拟订公路、水路行业安全生产正常和综合性安全生产、应急管理的相关制度并监督实施；指导交通运输行业应急处置体系建设；依法组织或参与有关事故调查处理工作。承担局机关的安全保卫、社会治安综合治理的反恐维稳相关工作。</w:t>
      </w:r>
    </w:p>
    <w:p w14:paraId="2011ED95">
      <w:pPr>
        <w:spacing w:line="600" w:lineRule="exact"/>
        <w:ind w:firstLine="640" w:firstLineChars="200"/>
        <w:rPr>
          <w:rFonts w:ascii="仿宋_GB2312" w:eastAsia="仿宋_GB2312"/>
          <w:sz w:val="32"/>
          <w:szCs w:val="32"/>
        </w:rPr>
      </w:pPr>
      <w:r>
        <w:rPr>
          <w:rFonts w:hint="eastAsia" w:ascii="仿宋_GB2312" w:eastAsia="仿宋_GB2312"/>
          <w:sz w:val="32"/>
          <w:szCs w:val="32"/>
        </w:rPr>
        <w:t>（四）松潘县交通战备办公室（松潘县保护通信线路安全办公室）</w:t>
      </w:r>
    </w:p>
    <w:p w14:paraId="6AD43702">
      <w:pPr>
        <w:spacing w:line="600" w:lineRule="exact"/>
        <w:ind w:firstLine="640" w:firstLineChars="200"/>
        <w:rPr>
          <w:rFonts w:ascii="仿宋_GB2312" w:eastAsia="仿宋_GB2312"/>
          <w:sz w:val="32"/>
          <w:szCs w:val="32"/>
        </w:rPr>
      </w:pPr>
      <w:r>
        <w:rPr>
          <w:rFonts w:hint="eastAsia" w:ascii="仿宋_GB2312" w:eastAsia="仿宋_GB2312"/>
          <w:sz w:val="32"/>
          <w:szCs w:val="32"/>
        </w:rPr>
        <w:t>负责草拟全县交通战备规章草案，制定有关政策和措施，规划全县交通道路网布局，对县内交通建设提出有关国防要求的建议；监督检查和协助组织国防交通要求的贯彻落实；拟订全县国防交通保障计划，组织国防交通保障队伍；负责抢险救灾等突发事件的交通保障、物资调用协调工作负责全县的国防运输动员和运输征用；负责全县保护通信线路安全工作的组织、协调，督促工作，参与有关保护通线路安全的综合治理工作；组织全县国防交通科学成果的推广、应用；负责指导，检查和监督全县交通、邮电、航运等部门的交通国防工作，协调处理有关问题。</w:t>
      </w:r>
    </w:p>
    <w:p w14:paraId="6A4F254F">
      <w:pPr>
        <w:spacing w:line="600" w:lineRule="exact"/>
        <w:ind w:firstLine="640" w:firstLineChars="200"/>
        <w:rPr>
          <w:rFonts w:ascii="仿宋_GB2312" w:eastAsia="仿宋_GB2312"/>
          <w:sz w:val="32"/>
          <w:szCs w:val="32"/>
        </w:rPr>
      </w:pPr>
      <w:r>
        <w:rPr>
          <w:rFonts w:hint="eastAsia" w:ascii="仿宋_GB2312" w:eastAsia="仿宋_GB2312"/>
          <w:sz w:val="32"/>
          <w:szCs w:val="32"/>
        </w:rPr>
        <w:t>（五）行政审批股</w:t>
      </w:r>
    </w:p>
    <w:p w14:paraId="795742F4">
      <w:pPr>
        <w:spacing w:line="600" w:lineRule="exact"/>
        <w:ind w:firstLine="640" w:firstLineChars="200"/>
        <w:rPr>
          <w:rFonts w:ascii="仿宋_GB2312" w:eastAsia="仿宋_GB2312"/>
          <w:sz w:val="32"/>
          <w:szCs w:val="32"/>
        </w:rPr>
      </w:pPr>
      <w:r>
        <w:rPr>
          <w:rFonts w:hint="eastAsia" w:ascii="仿宋_GB2312" w:eastAsia="仿宋_GB2312"/>
          <w:sz w:val="32"/>
          <w:szCs w:val="32"/>
        </w:rPr>
        <w:t>组织开展交通运输行业重大政策研究，指导交通运输行业体制改革工作；组织起草交通运输地方性法规、规章草案；承担本系统、本部门推进依法行政工作的组织协调和督促指导；承担行政执法监督、行政复议、行政应诉和规范性文件审核备案工作；指导交通运输法制宣传教育工作；组织拟订交通运输行政执法装备标准规范并监督实施，管理交通运输执法文件；承办有关行政审批工作。承担局机关党风廉政建设、精神文明、党建和行业作风建设工作；承担局机关工、青、妇工作。</w:t>
      </w:r>
    </w:p>
    <w:p w14:paraId="23B08321">
      <w:pPr>
        <w:pStyle w:val="2"/>
        <w:adjustRightInd w:val="0"/>
        <w:snapToGrid w:val="0"/>
        <w:spacing w:before="93" w:line="600" w:lineRule="exact"/>
        <w:ind w:firstLine="672" w:firstLineChars="210"/>
        <w:rPr>
          <w:rFonts w:ascii="仿宋" w:hAnsi="仿宋" w:eastAsia="仿宋"/>
          <w:color w:val="000000"/>
          <w:sz w:val="32"/>
          <w:szCs w:val="32"/>
        </w:rPr>
      </w:pPr>
    </w:p>
    <w:p w14:paraId="45A33F76">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22C66DBB">
      <w:pPr>
        <w:pStyle w:val="3"/>
        <w:ind w:right="440"/>
        <w:jc w:val="right"/>
        <w:rPr>
          <w:rStyle w:val="28"/>
          <w:rFonts w:ascii="黑体" w:hAnsi="黑体" w:eastAsia="黑体"/>
          <w:b w:val="0"/>
          <w:bCs w:val="0"/>
        </w:rPr>
      </w:pPr>
      <w:bookmarkStart w:id="22" w:name="_Toc15396602"/>
      <w:bookmarkStart w:id="23" w:name="_Toc15377204"/>
      <w:r>
        <w:rPr>
          <w:rFonts w:hint="eastAsia" w:ascii="黑体" w:hAnsi="黑体" w:eastAsia="黑体"/>
          <w:b w:val="0"/>
          <w:color w:val="000000"/>
        </w:rPr>
        <w:t>第二部分</w:t>
      </w:r>
      <w:r>
        <w:rPr>
          <w:rFonts w:hint="eastAsia" w:ascii="黑体" w:hAnsi="黑体" w:eastAsia="黑体"/>
          <w:color w:val="000000"/>
        </w:rPr>
        <w:t xml:space="preserve"> </w:t>
      </w:r>
      <w:r>
        <w:rPr>
          <w:rStyle w:val="28"/>
          <w:rFonts w:hint="eastAsia" w:ascii="黑体" w:hAnsi="黑体" w:eastAsia="黑体"/>
          <w:b w:val="0"/>
          <w:bCs w:val="0"/>
        </w:rPr>
        <w:t>2021年度部门决算情况说明</w:t>
      </w:r>
      <w:bookmarkEnd w:id="22"/>
      <w:bookmarkEnd w:id="23"/>
    </w:p>
    <w:p w14:paraId="316C6CEF"/>
    <w:p w14:paraId="279BEA09">
      <w:pPr>
        <w:pStyle w:val="27"/>
        <w:numPr>
          <w:ilvl w:val="0"/>
          <w:numId w:val="1"/>
        </w:numPr>
        <w:spacing w:line="600" w:lineRule="exact"/>
        <w:ind w:firstLineChars="0"/>
        <w:outlineLvl w:val="1"/>
        <w:rPr>
          <w:rStyle w:val="29"/>
          <w:rFonts w:ascii="黑体" w:hAnsi="黑体" w:eastAsia="黑体"/>
          <w:b w:val="0"/>
        </w:rPr>
      </w:pPr>
      <w:bookmarkStart w:id="24" w:name="_Toc15377205"/>
      <w:bookmarkStart w:id="25" w:name="_Toc15396603"/>
      <w:r>
        <w:rPr>
          <w:rFonts w:hint="eastAsia" w:ascii="黑体" w:hAnsi="黑体" w:eastAsia="黑体"/>
          <w:color w:val="000000"/>
          <w:sz w:val="32"/>
          <w:szCs w:val="32"/>
        </w:rPr>
        <w:t>收</w:t>
      </w:r>
      <w:r>
        <w:rPr>
          <w:rStyle w:val="29"/>
          <w:rFonts w:hint="eastAsia" w:ascii="黑体" w:hAnsi="黑体" w:eastAsia="黑体"/>
          <w:b w:val="0"/>
        </w:rPr>
        <w:t>入支出决算总体情况说明</w:t>
      </w:r>
      <w:bookmarkEnd w:id="24"/>
      <w:bookmarkEnd w:id="25"/>
    </w:p>
    <w:p w14:paraId="236E339D">
      <w:pPr>
        <w:spacing w:line="600" w:lineRule="exact"/>
        <w:ind w:firstLine="640" w:firstLineChars="200"/>
        <w:rPr>
          <w:rFonts w:ascii="仿宋_GB2312" w:eastAsia="仿宋_GB2312"/>
          <w:color w:val="000000"/>
          <w:sz w:val="32"/>
          <w:szCs w:val="32"/>
        </w:rPr>
      </w:pPr>
      <w:r>
        <w:rPr>
          <w:rFonts w:hint="eastAsia" w:ascii="仿宋" w:hAnsi="仿宋" w:eastAsia="仿宋"/>
          <w:color w:val="000000"/>
          <w:sz w:val="32"/>
          <w:szCs w:val="32"/>
        </w:rPr>
        <w:t>2021年度收入总计6565.56万元，与2020年相比，收入总计减少7301.61万元，减少52.65</w:t>
      </w:r>
      <w:r>
        <w:rPr>
          <w:rFonts w:ascii="仿宋" w:hAnsi="仿宋" w:eastAsia="仿宋"/>
          <w:color w:val="000000"/>
          <w:sz w:val="32"/>
          <w:szCs w:val="32"/>
        </w:rPr>
        <w:t>%</w:t>
      </w:r>
      <w:r>
        <w:rPr>
          <w:rFonts w:hint="eastAsia" w:ascii="仿宋" w:hAnsi="仿宋" w:eastAsia="仿宋"/>
          <w:color w:val="000000"/>
          <w:sz w:val="32"/>
          <w:szCs w:val="32"/>
        </w:rPr>
        <w:t>。2021年度支出总计9927.43万元，与2020年相比，支出总计减少7953.87万元，减少44.48</w:t>
      </w:r>
      <w:r>
        <w:rPr>
          <w:rFonts w:ascii="仿宋" w:hAnsi="仿宋" w:eastAsia="仿宋"/>
          <w:color w:val="000000"/>
          <w:sz w:val="32"/>
          <w:szCs w:val="32"/>
        </w:rPr>
        <w:t>%</w:t>
      </w:r>
      <w:r>
        <w:rPr>
          <w:rFonts w:hint="eastAsia" w:ascii="仿宋" w:hAnsi="仿宋" w:eastAsia="仿宋"/>
          <w:color w:val="000000"/>
          <w:sz w:val="32"/>
          <w:szCs w:val="32"/>
        </w:rPr>
        <w:t>。主要变动原因是续建</w:t>
      </w:r>
      <w:r>
        <w:rPr>
          <w:rFonts w:hint="eastAsia" w:ascii="仿宋_GB2312" w:hAnsi="仿宋_GB2312" w:eastAsia="仿宋_GB2312" w:cs="仿宋_GB2312"/>
          <w:sz w:val="32"/>
          <w:szCs w:val="32"/>
        </w:rPr>
        <w:t>交通基础设施建设项目。</w:t>
      </w:r>
    </w:p>
    <w:p w14:paraId="55BEC76E">
      <w:pPr>
        <w:pStyle w:val="27"/>
        <w:numPr>
          <w:ilvl w:val="0"/>
          <w:numId w:val="1"/>
        </w:numPr>
        <w:spacing w:line="600" w:lineRule="exact"/>
        <w:ind w:firstLineChars="0"/>
        <w:outlineLvl w:val="1"/>
        <w:rPr>
          <w:rStyle w:val="29"/>
          <w:rFonts w:ascii="黑体" w:hAnsi="黑体" w:eastAsia="黑体"/>
          <w:b w:val="0"/>
        </w:rPr>
      </w:pPr>
      <w:bookmarkStart w:id="26" w:name="_Toc15377206"/>
      <w:bookmarkStart w:id="27" w:name="_Toc15396604"/>
      <w:r>
        <w:rPr>
          <w:rFonts w:hint="eastAsia" w:ascii="黑体" w:hAnsi="黑体" w:eastAsia="黑体"/>
          <w:color w:val="000000"/>
          <w:sz w:val="32"/>
          <w:szCs w:val="32"/>
        </w:rPr>
        <w:t>收</w:t>
      </w:r>
      <w:r>
        <w:rPr>
          <w:rStyle w:val="29"/>
          <w:rFonts w:hint="eastAsia" w:ascii="黑体" w:hAnsi="黑体" w:eastAsia="黑体"/>
          <w:b w:val="0"/>
        </w:rPr>
        <w:t>入决算情况说明</w:t>
      </w:r>
      <w:bookmarkEnd w:id="26"/>
      <w:bookmarkEnd w:id="27"/>
    </w:p>
    <w:p w14:paraId="12F5A60C">
      <w:pPr>
        <w:spacing w:line="600" w:lineRule="exact"/>
        <w:ind w:firstLine="640" w:firstLineChars="200"/>
        <w:outlineLvl w:val="1"/>
        <w:rPr>
          <w:rFonts w:ascii="仿宋_GB2312" w:eastAsia="仿宋_GB2312"/>
          <w:color w:val="FF0000"/>
          <w:sz w:val="32"/>
          <w:szCs w:val="32"/>
        </w:rPr>
      </w:pPr>
      <w:r>
        <w:rPr>
          <w:rFonts w:ascii="仿宋" w:hAnsi="仿宋" w:eastAsia="仿宋"/>
          <w:color w:val="000000"/>
          <w:sz w:val="32"/>
          <w:szCs w:val="32"/>
        </w:rPr>
        <w:t>20</w:t>
      </w:r>
      <w:r>
        <w:rPr>
          <w:rFonts w:hint="eastAsia" w:ascii="仿宋" w:hAnsi="仿宋" w:eastAsia="仿宋"/>
          <w:color w:val="000000"/>
          <w:sz w:val="32"/>
          <w:szCs w:val="32"/>
        </w:rPr>
        <w:t>21年本年收入合计6565.56万元，其中：一般公共预算财政拨款收入6565.56万元，占100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；政府性基金预算财政拨款收入0万元，占0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themeColor="text1"/>
          <w:sz w:val="32"/>
          <w:szCs w:val="32"/>
        </w:rPr>
        <w:t>上级补助收入0</w:t>
      </w:r>
      <w:r>
        <w:rPr>
          <w:rFonts w:hint="eastAsia" w:ascii="仿宋" w:hAnsi="仿宋" w:eastAsia="仿宋"/>
          <w:color w:val="000000"/>
          <w:sz w:val="32"/>
          <w:szCs w:val="32"/>
        </w:rPr>
        <w:t>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ascii="仿宋" w:hAnsi="仿宋" w:eastAsia="仿宋"/>
          <w:color w:val="000000"/>
          <w:sz w:val="32"/>
          <w:szCs w:val="32"/>
        </w:rPr>
        <w:t>%</w:t>
      </w:r>
      <w:r>
        <w:rPr>
          <w:rFonts w:hint="eastAsia" w:ascii="仿宋" w:hAnsi="仿宋" w:eastAsia="仿宋"/>
          <w:color w:val="000000"/>
          <w:sz w:val="32"/>
          <w:szCs w:val="32"/>
        </w:rPr>
        <w:t>。</w:t>
      </w:r>
    </w:p>
    <w:p w14:paraId="74EFE117">
      <w:pPr>
        <w:pStyle w:val="27"/>
        <w:numPr>
          <w:ilvl w:val="0"/>
          <w:numId w:val="1"/>
        </w:numPr>
        <w:spacing w:line="600" w:lineRule="exact"/>
        <w:ind w:firstLineChars="0"/>
        <w:outlineLvl w:val="1"/>
        <w:rPr>
          <w:rStyle w:val="29"/>
          <w:rFonts w:ascii="黑体" w:hAnsi="黑体" w:eastAsia="黑体"/>
          <w:b w:val="0"/>
        </w:rPr>
      </w:pPr>
      <w:bookmarkStart w:id="28" w:name="_Toc15396605"/>
      <w:bookmarkStart w:id="29" w:name="_Toc15377207"/>
      <w:r>
        <w:rPr>
          <w:rFonts w:hint="eastAsia" w:ascii="黑体" w:hAnsi="黑体" w:eastAsia="黑体"/>
          <w:color w:val="000000"/>
          <w:sz w:val="32"/>
          <w:szCs w:val="32"/>
        </w:rPr>
        <w:t>支</w:t>
      </w:r>
      <w:r>
        <w:rPr>
          <w:rStyle w:val="29"/>
          <w:rFonts w:hint="eastAsia" w:ascii="黑体" w:hAnsi="黑体" w:eastAsia="黑体"/>
          <w:b w:val="0"/>
        </w:rPr>
        <w:t>出决算情况说明</w:t>
      </w:r>
      <w:bookmarkEnd w:id="28"/>
      <w:bookmarkEnd w:id="29"/>
    </w:p>
    <w:p w14:paraId="319B1B2E">
      <w:pPr>
        <w:spacing w:line="600" w:lineRule="exact"/>
        <w:ind w:firstLine="640" w:firstLineChars="200"/>
        <w:outlineLvl w:val="1"/>
        <w:rPr>
          <w:rFonts w:ascii="仿宋_GB2312" w:eastAsia="仿宋_GB2312"/>
          <w:color w:val="FF0000"/>
          <w:sz w:val="32"/>
          <w:szCs w:val="32"/>
        </w:rPr>
      </w:pPr>
      <w:r>
        <w:rPr>
          <w:rFonts w:ascii="仿宋" w:hAnsi="仿宋" w:eastAsia="仿宋"/>
          <w:color w:val="000000"/>
          <w:sz w:val="32"/>
          <w:szCs w:val="32"/>
        </w:rPr>
        <w:t>20</w:t>
      </w:r>
      <w:r>
        <w:rPr>
          <w:rFonts w:hint="eastAsia" w:ascii="仿宋" w:hAnsi="仿宋" w:eastAsia="仿宋"/>
          <w:color w:val="000000"/>
          <w:sz w:val="32"/>
          <w:szCs w:val="32"/>
        </w:rPr>
        <w:t>21年本年支出合计9927.43万元，其中：基本支出591.55万元，占5.96</w:t>
      </w:r>
      <w:r>
        <w:rPr>
          <w:rFonts w:ascii="仿宋" w:hAnsi="仿宋" w:eastAsia="仿宋"/>
          <w:color w:val="000000"/>
          <w:sz w:val="32"/>
          <w:szCs w:val="32"/>
        </w:rPr>
        <w:t>%</w:t>
      </w:r>
      <w:r>
        <w:rPr>
          <w:rFonts w:hint="eastAsia" w:ascii="仿宋" w:hAnsi="仿宋" w:eastAsia="仿宋"/>
          <w:color w:val="000000"/>
          <w:sz w:val="32"/>
          <w:szCs w:val="32"/>
        </w:rPr>
        <w:t>；项目支出9335.88万元，占94.04</w:t>
      </w:r>
      <w:r>
        <w:rPr>
          <w:rFonts w:ascii="仿宋" w:hAnsi="仿宋" w:eastAsia="仿宋"/>
          <w:color w:val="000000"/>
          <w:sz w:val="32"/>
          <w:szCs w:val="32"/>
        </w:rPr>
        <w:t>%</w:t>
      </w:r>
      <w:r>
        <w:rPr>
          <w:rFonts w:hint="eastAsia" w:ascii="仿宋" w:hAnsi="仿宋" w:eastAsia="仿宋"/>
          <w:color w:val="000000"/>
          <w:sz w:val="32"/>
          <w:szCs w:val="32"/>
        </w:rPr>
        <w:t>；上缴上级支出0万元，占0</w:t>
      </w:r>
      <w:r>
        <w:rPr>
          <w:rFonts w:ascii="仿宋" w:hAnsi="仿宋" w:eastAsia="仿宋"/>
          <w:color w:val="000000"/>
          <w:sz w:val="32"/>
          <w:szCs w:val="32"/>
        </w:rPr>
        <w:t>%</w:t>
      </w:r>
      <w:r>
        <w:rPr>
          <w:rFonts w:hint="eastAsia" w:ascii="仿宋" w:hAnsi="仿宋" w:eastAsia="仿宋"/>
          <w:color w:val="000000"/>
          <w:sz w:val="32"/>
          <w:szCs w:val="32"/>
        </w:rPr>
        <w:t>；经营支出0万元，占0</w:t>
      </w:r>
      <w:r>
        <w:rPr>
          <w:rFonts w:ascii="仿宋" w:hAnsi="仿宋" w:eastAsia="仿宋"/>
          <w:color w:val="000000"/>
          <w:sz w:val="32"/>
          <w:szCs w:val="32"/>
        </w:rPr>
        <w:t>%</w:t>
      </w:r>
      <w:r>
        <w:rPr>
          <w:rFonts w:hint="eastAsia" w:ascii="仿宋" w:hAnsi="仿宋" w:eastAsia="仿宋"/>
          <w:color w:val="000000"/>
          <w:sz w:val="32"/>
          <w:szCs w:val="32"/>
        </w:rPr>
        <w:t>；对附属单位补助支出0万元，占0</w:t>
      </w:r>
      <w:r>
        <w:rPr>
          <w:rFonts w:ascii="仿宋" w:hAnsi="仿宋" w:eastAsia="仿宋"/>
          <w:color w:val="000000"/>
          <w:sz w:val="32"/>
          <w:szCs w:val="32"/>
        </w:rPr>
        <w:t>%</w:t>
      </w:r>
      <w:r>
        <w:rPr>
          <w:rFonts w:hint="eastAsia" w:ascii="仿宋" w:hAnsi="仿宋" w:eastAsia="仿宋"/>
          <w:color w:val="000000"/>
          <w:sz w:val="32"/>
          <w:szCs w:val="32"/>
        </w:rPr>
        <w:t>。</w:t>
      </w:r>
    </w:p>
    <w:p w14:paraId="266E75E0">
      <w:pPr>
        <w:spacing w:line="600" w:lineRule="exact"/>
        <w:ind w:firstLine="640" w:firstLineChars="200"/>
        <w:outlineLvl w:val="1"/>
        <w:rPr>
          <w:rStyle w:val="29"/>
          <w:rFonts w:ascii="黑体" w:hAnsi="黑体" w:eastAsia="黑体"/>
          <w:b w:val="0"/>
        </w:rPr>
      </w:pPr>
      <w:bookmarkStart w:id="30" w:name="_Toc15396606"/>
      <w:bookmarkStart w:id="31" w:name="_Toc15377208"/>
      <w:r>
        <w:rPr>
          <w:rFonts w:hint="eastAsia" w:ascii="黑体" w:hAnsi="黑体" w:eastAsia="黑体"/>
          <w:color w:val="000000"/>
          <w:sz w:val="32"/>
          <w:szCs w:val="32"/>
        </w:rPr>
        <w:t>四、财</w:t>
      </w:r>
      <w:r>
        <w:rPr>
          <w:rStyle w:val="29"/>
          <w:rFonts w:hint="eastAsia" w:ascii="黑体" w:hAnsi="黑体" w:eastAsia="黑体"/>
          <w:b w:val="0"/>
        </w:rPr>
        <w:t>政拨款收入支出决算总体情况说明</w:t>
      </w:r>
      <w:bookmarkEnd w:id="30"/>
      <w:bookmarkEnd w:id="31"/>
    </w:p>
    <w:p w14:paraId="76ACD4C2">
      <w:pPr>
        <w:spacing w:line="600" w:lineRule="exact"/>
        <w:ind w:firstLine="640" w:firstLineChars="200"/>
        <w:rPr>
          <w:rFonts w:ascii="仿宋" w:hAnsi="仿宋" w:eastAsia="仿宋"/>
          <w:b/>
          <w:color w:val="00B050"/>
          <w:sz w:val="32"/>
          <w:szCs w:val="32"/>
        </w:rPr>
      </w:pPr>
      <w:r>
        <w:rPr>
          <w:rFonts w:ascii="仿宋" w:hAnsi="仿宋" w:eastAsia="仿宋"/>
          <w:color w:val="000000"/>
          <w:sz w:val="32"/>
          <w:szCs w:val="32"/>
        </w:rPr>
        <w:t>20</w:t>
      </w:r>
      <w:r>
        <w:rPr>
          <w:rFonts w:hint="eastAsia" w:ascii="仿宋" w:hAnsi="仿宋" w:eastAsia="仿宋"/>
          <w:color w:val="000000"/>
          <w:sz w:val="32"/>
          <w:szCs w:val="32"/>
        </w:rPr>
        <w:t>21年财政拨款收</w:t>
      </w:r>
      <w:r>
        <w:rPr>
          <w:rFonts w:ascii="仿宋_GB2312" w:hAnsi="仿宋_GB2312" w:eastAsia="仿宋_GB2312" w:cs="仿宋_GB2312"/>
          <w:color w:val="000000"/>
          <w:sz w:val="32"/>
        </w:rPr>
        <w:t>入</w:t>
      </w:r>
      <w:r>
        <w:rPr>
          <w:rFonts w:hint="eastAsia" w:ascii="仿宋" w:hAnsi="仿宋" w:eastAsia="仿宋"/>
          <w:color w:val="000000"/>
          <w:sz w:val="32"/>
          <w:szCs w:val="32"/>
        </w:rPr>
        <w:t>总计</w:t>
      </w:r>
      <w:r>
        <w:rPr>
          <w:rFonts w:hint="eastAsia" w:ascii="仿宋_GB2312" w:hAnsi="仿宋_GB2312" w:eastAsia="仿宋_GB2312" w:cs="仿宋_GB2312"/>
          <w:color w:val="000000"/>
          <w:sz w:val="32"/>
        </w:rPr>
        <w:t>6565.56</w:t>
      </w:r>
      <w:r>
        <w:rPr>
          <w:rFonts w:ascii="仿宋_GB2312" w:hAnsi="仿宋_GB2312" w:eastAsia="仿宋_GB2312" w:cs="仿宋_GB2312"/>
          <w:color w:val="000000"/>
          <w:sz w:val="32"/>
        </w:rPr>
        <w:t>万元</w:t>
      </w:r>
      <w:r>
        <w:rPr>
          <w:rFonts w:hint="eastAsia" w:ascii="仿宋" w:hAnsi="仿宋" w:eastAsia="仿宋"/>
          <w:color w:val="000000"/>
          <w:sz w:val="32"/>
          <w:szCs w:val="32"/>
        </w:rPr>
        <w:t>与2020年相比，财政拨款收入总计减少7301.61万元，减少52.65</w:t>
      </w:r>
      <w:r>
        <w:rPr>
          <w:rFonts w:ascii="仿宋" w:hAnsi="仿宋" w:eastAsia="仿宋"/>
          <w:color w:val="000000"/>
          <w:sz w:val="32"/>
          <w:szCs w:val="32"/>
        </w:rPr>
        <w:t>%</w:t>
      </w:r>
      <w:r>
        <w:rPr>
          <w:rFonts w:hint="eastAsia" w:ascii="仿宋" w:hAnsi="仿宋" w:eastAsia="仿宋"/>
          <w:color w:val="000000"/>
          <w:sz w:val="32"/>
          <w:szCs w:val="32"/>
        </w:rPr>
        <w:t>。2021年度财政拨款支出总计9927.43万元，与2020年相比，财政拨款支出总计减少7953.87万元，减少44.48</w:t>
      </w:r>
      <w:r>
        <w:rPr>
          <w:rFonts w:ascii="仿宋" w:hAnsi="仿宋" w:eastAsia="仿宋"/>
          <w:color w:val="000000"/>
          <w:sz w:val="32"/>
          <w:szCs w:val="32"/>
        </w:rPr>
        <w:t>%</w:t>
      </w:r>
      <w:r>
        <w:rPr>
          <w:rFonts w:hint="eastAsia" w:ascii="仿宋" w:hAnsi="仿宋" w:eastAsia="仿宋"/>
          <w:color w:val="000000"/>
          <w:sz w:val="32"/>
          <w:szCs w:val="32"/>
        </w:rPr>
        <w:t>。主要变动原因是续建</w:t>
      </w:r>
      <w:r>
        <w:rPr>
          <w:rFonts w:hint="eastAsia" w:ascii="仿宋_GB2312" w:hAnsi="仿宋_GB2312" w:eastAsia="仿宋_GB2312" w:cs="仿宋_GB2312"/>
          <w:sz w:val="32"/>
          <w:szCs w:val="32"/>
        </w:rPr>
        <w:t>交通基础设施建设项目。</w:t>
      </w:r>
    </w:p>
    <w:p w14:paraId="5F6B1421">
      <w:pPr>
        <w:spacing w:line="600" w:lineRule="exact"/>
        <w:ind w:firstLine="640" w:firstLineChars="200"/>
        <w:outlineLvl w:val="1"/>
        <w:rPr>
          <w:rStyle w:val="29"/>
          <w:rFonts w:ascii="黑体" w:hAnsi="黑体" w:eastAsia="黑体"/>
          <w:b w:val="0"/>
        </w:rPr>
      </w:pPr>
      <w:bookmarkStart w:id="32" w:name="_Toc15396607"/>
      <w:bookmarkStart w:id="33" w:name="_Toc15377209"/>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9"/>
          <w:rFonts w:hint="eastAsia" w:ascii="黑体" w:hAnsi="黑体" w:eastAsia="黑体"/>
          <w:b w:val="0"/>
        </w:rPr>
        <w:t>般公共预算财政拨款支出决算情况说明</w:t>
      </w:r>
      <w:bookmarkEnd w:id="32"/>
      <w:bookmarkEnd w:id="33"/>
    </w:p>
    <w:p w14:paraId="29F0275B">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7D22A113">
      <w:pPr>
        <w:spacing w:line="600" w:lineRule="exact"/>
        <w:ind w:firstLine="640" w:firstLineChars="200"/>
        <w:rPr>
          <w:rFonts w:ascii="仿宋" w:hAnsi="仿宋" w:eastAsia="仿宋"/>
          <w:color w:val="000000" w:themeColor="text1"/>
          <w:sz w:val="32"/>
          <w:szCs w:val="32"/>
        </w:rPr>
      </w:pPr>
      <w:r>
        <w:rPr>
          <w:rFonts w:ascii="仿宋" w:hAnsi="仿宋" w:eastAsia="仿宋"/>
          <w:color w:val="000000"/>
          <w:sz w:val="32"/>
          <w:szCs w:val="32"/>
        </w:rPr>
        <w:t>20</w:t>
      </w:r>
      <w:r>
        <w:rPr>
          <w:rFonts w:hint="eastAsia" w:ascii="仿宋" w:hAnsi="仿宋" w:eastAsia="仿宋"/>
          <w:color w:val="000000"/>
          <w:sz w:val="32"/>
          <w:szCs w:val="32"/>
        </w:rPr>
        <w:t>21年一般公共预算财政拨款支出9927.43万元，占本年支出合计的100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rPr>
        <w:t>20年相比，一般公共预算财政拨款减少7953.87万元，减少44.48</w:t>
      </w:r>
      <w:r>
        <w:rPr>
          <w:rFonts w:ascii="仿宋" w:hAnsi="仿宋" w:eastAsia="仿宋"/>
          <w:color w:val="000000"/>
          <w:sz w:val="32"/>
          <w:szCs w:val="32"/>
        </w:rPr>
        <w:t>%</w:t>
      </w:r>
      <w:r>
        <w:rPr>
          <w:rFonts w:hint="eastAsia" w:ascii="仿宋" w:hAnsi="仿宋" w:eastAsia="仿宋"/>
          <w:color w:val="000000"/>
          <w:sz w:val="32"/>
          <w:szCs w:val="32"/>
        </w:rPr>
        <w:t>。主要变动原因是续建</w:t>
      </w:r>
      <w:r>
        <w:rPr>
          <w:rFonts w:hint="eastAsia" w:ascii="仿宋_GB2312" w:hAnsi="仿宋_GB2312" w:eastAsia="仿宋_GB2312" w:cs="仿宋_GB2312"/>
          <w:sz w:val="32"/>
          <w:szCs w:val="32"/>
        </w:rPr>
        <w:t>交通基础设施建设项目。</w:t>
      </w:r>
    </w:p>
    <w:p w14:paraId="348A5FFF">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3B918A7C">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w:t>
      </w:r>
      <w:r>
        <w:rPr>
          <w:rFonts w:hint="eastAsia" w:ascii="仿宋" w:hAnsi="仿宋" w:eastAsia="仿宋"/>
          <w:color w:val="000000"/>
          <w:sz w:val="32"/>
          <w:szCs w:val="32"/>
        </w:rPr>
        <w:t>21年一般公共预算财政拨款支出9927.43万元，主要用于以下方面</w:t>
      </w:r>
      <w:r>
        <w:rPr>
          <w:rFonts w:ascii="仿宋" w:hAnsi="仿宋" w:eastAsia="仿宋"/>
          <w:color w:val="000000"/>
          <w:sz w:val="32"/>
          <w:szCs w:val="32"/>
        </w:rPr>
        <w:t>:交通运输支出</w:t>
      </w:r>
      <w:r>
        <w:rPr>
          <w:rFonts w:hint="eastAsia" w:ascii="仿宋" w:hAnsi="仿宋" w:eastAsia="仿宋"/>
          <w:color w:val="000000"/>
          <w:sz w:val="32"/>
          <w:szCs w:val="32"/>
        </w:rPr>
        <w:t>9220..91</w:t>
      </w:r>
      <w:r>
        <w:rPr>
          <w:rFonts w:ascii="仿宋" w:hAnsi="仿宋" w:eastAsia="仿宋"/>
          <w:color w:val="000000"/>
          <w:sz w:val="32"/>
          <w:szCs w:val="32"/>
        </w:rPr>
        <w:t>万元，占</w:t>
      </w:r>
      <w:r>
        <w:rPr>
          <w:rFonts w:hint="eastAsia" w:ascii="仿宋" w:hAnsi="仿宋" w:eastAsia="仿宋"/>
          <w:color w:val="000000"/>
          <w:sz w:val="32"/>
          <w:szCs w:val="32"/>
        </w:rPr>
        <w:t>92.88</w:t>
      </w:r>
      <w:r>
        <w:rPr>
          <w:rFonts w:ascii="仿宋" w:hAnsi="仿宋" w:eastAsia="仿宋"/>
          <w:color w:val="000000"/>
          <w:sz w:val="32"/>
          <w:szCs w:val="32"/>
        </w:rPr>
        <w:t>%</w:t>
      </w:r>
      <w:r>
        <w:rPr>
          <w:rFonts w:hint="eastAsia" w:ascii="仿宋" w:hAnsi="仿宋" w:eastAsia="仿宋"/>
          <w:color w:val="000000"/>
          <w:sz w:val="32"/>
          <w:szCs w:val="32"/>
        </w:rPr>
        <w:t>；</w:t>
      </w:r>
      <w:r>
        <w:rPr>
          <w:rFonts w:ascii="仿宋" w:hAnsi="仿宋" w:eastAsia="仿宋"/>
          <w:color w:val="000000"/>
          <w:sz w:val="32"/>
          <w:szCs w:val="32"/>
        </w:rPr>
        <w:t>社会保障和就业（类）支出</w:t>
      </w:r>
      <w:r>
        <w:rPr>
          <w:rFonts w:hint="eastAsia" w:ascii="仿宋" w:hAnsi="仿宋" w:eastAsia="仿宋"/>
          <w:color w:val="000000"/>
          <w:sz w:val="32"/>
          <w:szCs w:val="32"/>
        </w:rPr>
        <w:t>40.36</w:t>
      </w:r>
      <w:r>
        <w:rPr>
          <w:rFonts w:ascii="仿宋" w:hAnsi="仿宋" w:eastAsia="仿宋"/>
          <w:color w:val="000000"/>
          <w:sz w:val="32"/>
          <w:szCs w:val="32"/>
        </w:rPr>
        <w:t>万元，占</w:t>
      </w:r>
      <w:r>
        <w:rPr>
          <w:rFonts w:hint="eastAsia" w:ascii="仿宋" w:hAnsi="仿宋" w:eastAsia="仿宋"/>
          <w:color w:val="000000"/>
          <w:sz w:val="32"/>
          <w:szCs w:val="32"/>
        </w:rPr>
        <w:t>0.41</w:t>
      </w:r>
      <w:r>
        <w:rPr>
          <w:rFonts w:ascii="仿宋" w:hAnsi="仿宋" w:eastAsia="仿宋"/>
          <w:color w:val="000000"/>
          <w:sz w:val="32"/>
          <w:szCs w:val="32"/>
        </w:rPr>
        <w:t>%；</w:t>
      </w:r>
      <w:r>
        <w:rPr>
          <w:rFonts w:hint="eastAsia" w:ascii="仿宋" w:hAnsi="仿宋" w:eastAsia="仿宋"/>
          <w:color w:val="000000"/>
          <w:sz w:val="32"/>
          <w:szCs w:val="32"/>
        </w:rPr>
        <w:t>卫生健康支出14.14</w:t>
      </w:r>
      <w:r>
        <w:rPr>
          <w:rFonts w:ascii="仿宋" w:hAnsi="仿宋" w:eastAsia="仿宋"/>
          <w:color w:val="000000"/>
          <w:sz w:val="32"/>
          <w:szCs w:val="32"/>
        </w:rPr>
        <w:t>万元，占</w:t>
      </w:r>
      <w:r>
        <w:rPr>
          <w:rFonts w:hint="eastAsia" w:ascii="仿宋" w:hAnsi="仿宋" w:eastAsia="仿宋"/>
          <w:color w:val="000000"/>
          <w:sz w:val="32"/>
          <w:szCs w:val="32"/>
        </w:rPr>
        <w:t>0.14</w:t>
      </w:r>
      <w:r>
        <w:rPr>
          <w:rFonts w:ascii="仿宋" w:hAnsi="仿宋" w:eastAsia="仿宋"/>
          <w:color w:val="000000"/>
          <w:sz w:val="32"/>
          <w:szCs w:val="32"/>
        </w:rPr>
        <w:t>%；住房保障支出</w:t>
      </w:r>
      <w:r>
        <w:rPr>
          <w:rFonts w:hint="eastAsia" w:ascii="仿宋" w:hAnsi="仿宋" w:eastAsia="仿宋"/>
          <w:color w:val="000000"/>
          <w:sz w:val="32"/>
          <w:szCs w:val="32"/>
        </w:rPr>
        <w:t>27.31</w:t>
      </w:r>
      <w:r>
        <w:rPr>
          <w:rFonts w:ascii="仿宋" w:hAnsi="仿宋" w:eastAsia="仿宋"/>
          <w:color w:val="000000"/>
          <w:sz w:val="32"/>
          <w:szCs w:val="32"/>
        </w:rPr>
        <w:t>万元，占</w:t>
      </w:r>
      <w:r>
        <w:rPr>
          <w:rFonts w:hint="eastAsia" w:ascii="仿宋" w:hAnsi="仿宋" w:eastAsia="仿宋"/>
          <w:color w:val="000000"/>
          <w:sz w:val="32"/>
          <w:szCs w:val="32"/>
        </w:rPr>
        <w:t>0.28</w:t>
      </w:r>
      <w:r>
        <w:rPr>
          <w:rFonts w:ascii="仿宋" w:hAnsi="仿宋" w:eastAsia="仿宋"/>
          <w:color w:val="000000"/>
          <w:sz w:val="32"/>
          <w:szCs w:val="32"/>
        </w:rPr>
        <w:t>%</w:t>
      </w:r>
      <w:r>
        <w:rPr>
          <w:rFonts w:hint="eastAsia" w:ascii="仿宋" w:hAnsi="仿宋" w:eastAsia="仿宋"/>
          <w:color w:val="000000"/>
          <w:sz w:val="32"/>
          <w:szCs w:val="32"/>
        </w:rPr>
        <w:t>；商业服务业等支出624.71万元，占6.29%。</w:t>
      </w:r>
    </w:p>
    <w:p w14:paraId="597A9083">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4E06C6C8">
      <w:pPr>
        <w:spacing w:line="600" w:lineRule="exact"/>
        <w:ind w:firstLine="640" w:firstLineChars="200"/>
        <w:outlineLvl w:val="2"/>
        <w:rPr>
          <w:rFonts w:ascii="仿宋" w:hAnsi="仿宋" w:eastAsia="仿宋"/>
          <w:color w:val="FF0000"/>
          <w:sz w:val="32"/>
          <w:szCs w:val="32"/>
        </w:rPr>
      </w:pPr>
      <w:bookmarkStart w:id="37" w:name="_Toc15377213"/>
      <w:bookmarkStart w:id="38" w:name="_Toc15378460"/>
      <w:bookmarkStart w:id="39" w:name="_Toc15377444"/>
      <w:r>
        <w:rPr>
          <w:rFonts w:hint="eastAsia" w:ascii="仿宋" w:hAnsi="仿宋" w:eastAsia="仿宋"/>
          <w:bCs/>
          <w:color w:val="000000" w:themeColor="text1"/>
          <w:sz w:val="32"/>
          <w:szCs w:val="32"/>
        </w:rPr>
        <w:t>2021年般公共预算支出决算数为9927.43万元，</w:t>
      </w:r>
      <w:r>
        <w:rPr>
          <w:rStyle w:val="17"/>
          <w:rFonts w:hint="eastAsia" w:ascii="仿宋" w:hAnsi="仿宋" w:eastAsia="仿宋"/>
          <w:b w:val="0"/>
          <w:bCs/>
          <w:color w:val="000000" w:themeColor="text1"/>
          <w:sz w:val="32"/>
          <w:szCs w:val="32"/>
        </w:rPr>
        <w:t>完成</w:t>
      </w:r>
      <w:r>
        <w:rPr>
          <w:rStyle w:val="17"/>
          <w:rFonts w:hint="eastAsia" w:ascii="仿宋" w:hAnsi="仿宋" w:eastAsia="仿宋"/>
          <w:b w:val="0"/>
          <w:bCs/>
          <w:color w:val="000000"/>
          <w:sz w:val="32"/>
          <w:szCs w:val="32"/>
        </w:rPr>
        <w:t>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。其中：</w:t>
      </w:r>
      <w:bookmarkEnd w:id="37"/>
      <w:bookmarkEnd w:id="38"/>
      <w:bookmarkEnd w:id="39"/>
    </w:p>
    <w:p w14:paraId="7504D4A6">
      <w:pPr>
        <w:numPr>
          <w:ilvl w:val="0"/>
          <w:numId w:val="2"/>
        </w:numPr>
        <w:spacing w:line="600" w:lineRule="exact"/>
        <w:ind w:firstLine="640" w:firstLineChars="200"/>
        <w:rPr>
          <w:rStyle w:val="17"/>
          <w:rFonts w:ascii="仿宋" w:hAnsi="仿宋" w:eastAsia="仿宋"/>
          <w:b w:val="0"/>
          <w:bCs/>
          <w:color w:val="000000"/>
          <w:sz w:val="32"/>
          <w:szCs w:val="32"/>
        </w:rPr>
      </w:pPr>
      <w:r>
        <w:rPr>
          <w:rFonts w:ascii="仿宋_GB2312" w:hAnsi="仿宋_GB2312" w:eastAsia="仿宋_GB2312" w:cs="仿宋_GB2312"/>
          <w:color w:val="000000"/>
          <w:sz w:val="32"/>
        </w:rPr>
        <w:t>交通运输支出</w:t>
      </w:r>
      <w:r>
        <w:rPr>
          <w:rFonts w:hint="eastAsia" w:ascii="仿宋_GB2312" w:hAnsi="仿宋_GB2312" w:eastAsia="仿宋_GB2312" w:cs="仿宋_GB2312"/>
          <w:color w:val="000000"/>
          <w:sz w:val="32"/>
        </w:rPr>
        <w:t>214，</w:t>
      </w:r>
      <w:r>
        <w:rPr>
          <w:rStyle w:val="17"/>
          <w:rFonts w:hint="eastAsia" w:ascii="仿宋" w:hAnsi="仿宋" w:eastAsia="仿宋"/>
          <w:b w:val="0"/>
          <w:bCs/>
          <w:color w:val="000000"/>
          <w:sz w:val="32"/>
          <w:szCs w:val="32"/>
        </w:rPr>
        <w:t>支出决算为</w:t>
      </w:r>
      <w:r>
        <w:rPr>
          <w:rFonts w:hint="eastAsia" w:ascii="仿宋_GB2312" w:hAnsi="仿宋_GB2312" w:eastAsia="仿宋_GB2312" w:cs="仿宋_GB2312"/>
          <w:color w:val="000000"/>
          <w:sz w:val="32"/>
        </w:rPr>
        <w:t>9220.91</w:t>
      </w:r>
      <w:r>
        <w:rPr>
          <w:rFonts w:ascii="仿宋_GB2312" w:hAnsi="仿宋_GB2312" w:eastAsia="仿宋_GB2312" w:cs="仿宋_GB2312"/>
          <w:color w:val="000000"/>
          <w:sz w:val="32"/>
        </w:rPr>
        <w:t>万元</w:t>
      </w:r>
      <w:r>
        <w:rPr>
          <w:rFonts w:hint="eastAsia" w:ascii="仿宋_GB2312" w:hAnsi="仿宋_GB2312" w:eastAsia="仿宋_GB2312" w:cs="仿宋_GB2312"/>
          <w:color w:val="000000"/>
          <w:sz w:val="32"/>
        </w:rPr>
        <w:t>，</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555ED705">
      <w:pPr>
        <w:numPr>
          <w:ilvl w:val="0"/>
          <w:numId w:val="2"/>
        </w:numPr>
        <w:spacing w:line="600" w:lineRule="exact"/>
        <w:ind w:firstLine="640" w:firstLineChars="200"/>
        <w:rPr>
          <w:rStyle w:val="17"/>
          <w:rFonts w:ascii="仿宋" w:hAnsi="仿宋" w:eastAsia="仿宋"/>
          <w:b w:val="0"/>
          <w:bCs/>
          <w:color w:val="000000"/>
          <w:sz w:val="32"/>
          <w:szCs w:val="32"/>
        </w:rPr>
      </w:pPr>
      <w:r>
        <w:rPr>
          <w:rFonts w:ascii="仿宋_GB2312" w:hAnsi="仿宋_GB2312" w:eastAsia="仿宋_GB2312" w:cs="仿宋_GB2312"/>
          <w:color w:val="000000"/>
          <w:sz w:val="32"/>
        </w:rPr>
        <w:t>社会保障和就业支出</w:t>
      </w:r>
      <w:r>
        <w:rPr>
          <w:rFonts w:hint="eastAsia" w:ascii="仿宋_GB2312" w:hAnsi="仿宋_GB2312" w:eastAsia="仿宋_GB2312" w:cs="仿宋_GB2312"/>
          <w:color w:val="000000"/>
          <w:sz w:val="32"/>
        </w:rPr>
        <w:t>208</w:t>
      </w:r>
      <w:r>
        <w:rPr>
          <w:rFonts w:ascii="仿宋_GB2312" w:hAnsi="仿宋_GB2312" w:eastAsia="仿宋_GB2312" w:cs="仿宋_GB2312"/>
          <w:color w:val="000000"/>
          <w:sz w:val="32"/>
        </w:rPr>
        <w:t>，</w:t>
      </w:r>
      <w:r>
        <w:rPr>
          <w:rStyle w:val="17"/>
          <w:rFonts w:hint="eastAsia" w:ascii="仿宋" w:hAnsi="仿宋" w:eastAsia="仿宋"/>
          <w:b w:val="0"/>
          <w:bCs/>
          <w:color w:val="000000"/>
          <w:sz w:val="32"/>
          <w:szCs w:val="32"/>
        </w:rPr>
        <w:t>支出决算为</w:t>
      </w:r>
      <w:r>
        <w:rPr>
          <w:rFonts w:hint="eastAsia" w:ascii="仿宋_GB2312" w:hAnsi="仿宋_GB2312" w:eastAsia="仿宋_GB2312" w:cs="仿宋_GB2312"/>
          <w:color w:val="000000"/>
          <w:sz w:val="32"/>
        </w:rPr>
        <w:t>40.36</w:t>
      </w:r>
      <w:r>
        <w:rPr>
          <w:rFonts w:ascii="仿宋_GB2312" w:hAnsi="仿宋_GB2312" w:eastAsia="仿宋_GB2312" w:cs="仿宋_GB2312"/>
          <w:color w:val="000000"/>
          <w:sz w:val="32"/>
        </w:rPr>
        <w:t>万元</w:t>
      </w:r>
      <w:r>
        <w:rPr>
          <w:rFonts w:hint="eastAsia" w:ascii="仿宋_GB2312" w:hAnsi="仿宋_GB2312" w:eastAsia="仿宋_GB2312" w:cs="仿宋_GB2312"/>
          <w:color w:val="000000"/>
          <w:sz w:val="32"/>
        </w:rPr>
        <w:t>，</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326BB841">
      <w:pPr>
        <w:numPr>
          <w:ilvl w:val="0"/>
          <w:numId w:val="2"/>
        </w:numPr>
        <w:spacing w:line="600" w:lineRule="exact"/>
        <w:ind w:firstLine="640" w:firstLineChars="200"/>
        <w:rPr>
          <w:rStyle w:val="17"/>
          <w:rFonts w:ascii="仿宋" w:hAnsi="仿宋" w:eastAsia="仿宋"/>
          <w:b w:val="0"/>
          <w:bCs/>
          <w:color w:val="000000"/>
          <w:sz w:val="32"/>
          <w:szCs w:val="32"/>
        </w:rPr>
      </w:pPr>
      <w:r>
        <w:rPr>
          <w:rFonts w:hint="eastAsia" w:ascii="仿宋_GB2312" w:hAnsi="仿宋_GB2312" w:eastAsia="仿宋_GB2312" w:cs="仿宋_GB2312"/>
          <w:color w:val="000000"/>
          <w:sz w:val="32"/>
        </w:rPr>
        <w:t>卫生健康支出210</w:t>
      </w:r>
      <w:r>
        <w:rPr>
          <w:rFonts w:ascii="仿宋_GB2312" w:hAnsi="仿宋_GB2312" w:eastAsia="仿宋_GB2312" w:cs="仿宋_GB2312"/>
          <w:color w:val="000000"/>
          <w:sz w:val="32"/>
        </w:rPr>
        <w:t>，</w:t>
      </w:r>
      <w:r>
        <w:rPr>
          <w:rStyle w:val="17"/>
          <w:rFonts w:hint="eastAsia" w:ascii="仿宋" w:hAnsi="仿宋" w:eastAsia="仿宋"/>
          <w:b w:val="0"/>
          <w:bCs/>
          <w:color w:val="000000"/>
          <w:sz w:val="32"/>
          <w:szCs w:val="32"/>
        </w:rPr>
        <w:t>支出决算为</w:t>
      </w:r>
      <w:r>
        <w:rPr>
          <w:rFonts w:hint="eastAsia" w:ascii="仿宋_GB2312" w:hAnsi="仿宋_GB2312" w:eastAsia="仿宋_GB2312" w:cs="仿宋_GB2312"/>
          <w:color w:val="000000"/>
          <w:sz w:val="32"/>
        </w:rPr>
        <w:t>14.14</w:t>
      </w:r>
      <w:r>
        <w:rPr>
          <w:rFonts w:ascii="仿宋_GB2312" w:hAnsi="仿宋_GB2312" w:eastAsia="仿宋_GB2312" w:cs="仿宋_GB2312"/>
          <w:color w:val="000000"/>
          <w:sz w:val="32"/>
        </w:rPr>
        <w:t>万元</w:t>
      </w:r>
      <w:r>
        <w:rPr>
          <w:rFonts w:hint="eastAsia" w:ascii="仿宋_GB2312" w:hAnsi="仿宋_GB2312" w:eastAsia="仿宋_GB2312" w:cs="仿宋_GB2312"/>
          <w:color w:val="000000"/>
          <w:sz w:val="32"/>
        </w:rPr>
        <w:t>，</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9885C7E">
      <w:pPr>
        <w:numPr>
          <w:ilvl w:val="0"/>
          <w:numId w:val="2"/>
        </w:numPr>
        <w:spacing w:line="600" w:lineRule="exact"/>
        <w:ind w:firstLine="640" w:firstLineChars="200"/>
        <w:rPr>
          <w:rStyle w:val="17"/>
          <w:rFonts w:ascii="仿宋" w:hAnsi="仿宋" w:eastAsia="仿宋"/>
          <w:b w:val="0"/>
          <w:bCs/>
          <w:color w:val="000000"/>
          <w:sz w:val="32"/>
          <w:szCs w:val="32"/>
        </w:rPr>
      </w:pPr>
      <w:r>
        <w:rPr>
          <w:rFonts w:ascii="仿宋_GB2312" w:hAnsi="仿宋_GB2312" w:eastAsia="仿宋_GB2312" w:cs="仿宋_GB2312"/>
          <w:color w:val="000000"/>
          <w:sz w:val="32"/>
        </w:rPr>
        <w:t>住房保障支出</w:t>
      </w:r>
      <w:r>
        <w:rPr>
          <w:rFonts w:hint="eastAsia" w:ascii="仿宋_GB2312" w:hAnsi="仿宋_GB2312" w:eastAsia="仿宋_GB2312" w:cs="仿宋_GB2312"/>
          <w:color w:val="000000"/>
          <w:sz w:val="32"/>
        </w:rPr>
        <w:t>221</w:t>
      </w:r>
      <w:r>
        <w:rPr>
          <w:rFonts w:ascii="仿宋_GB2312" w:hAnsi="仿宋_GB2312" w:eastAsia="仿宋_GB2312" w:cs="仿宋_GB2312"/>
          <w:color w:val="000000"/>
          <w:sz w:val="32"/>
        </w:rPr>
        <w:t>，</w:t>
      </w:r>
      <w:r>
        <w:rPr>
          <w:rStyle w:val="17"/>
          <w:rFonts w:hint="eastAsia" w:ascii="仿宋" w:hAnsi="仿宋" w:eastAsia="仿宋"/>
          <w:b w:val="0"/>
          <w:bCs/>
          <w:color w:val="000000"/>
          <w:sz w:val="32"/>
          <w:szCs w:val="32"/>
        </w:rPr>
        <w:t>支出决算为</w:t>
      </w:r>
      <w:r>
        <w:rPr>
          <w:rFonts w:hint="eastAsia" w:ascii="仿宋_GB2312" w:hAnsi="仿宋_GB2312" w:eastAsia="仿宋_GB2312" w:cs="仿宋_GB2312"/>
          <w:color w:val="000000"/>
          <w:sz w:val="32"/>
        </w:rPr>
        <w:t>27.31</w:t>
      </w:r>
      <w:r>
        <w:rPr>
          <w:rFonts w:ascii="仿宋_GB2312" w:hAnsi="仿宋_GB2312" w:eastAsia="仿宋_GB2312" w:cs="仿宋_GB2312"/>
          <w:color w:val="000000"/>
          <w:sz w:val="32"/>
        </w:rPr>
        <w:t>万元</w:t>
      </w:r>
      <w:r>
        <w:rPr>
          <w:rFonts w:hint="eastAsia" w:ascii="仿宋_GB2312" w:hAnsi="仿宋_GB2312" w:eastAsia="仿宋_GB2312" w:cs="仿宋_GB2312"/>
          <w:color w:val="000000"/>
          <w:sz w:val="32"/>
        </w:rPr>
        <w:t>，</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2F514789">
      <w:pPr>
        <w:spacing w:line="600" w:lineRule="exact"/>
        <w:ind w:firstLine="640" w:firstLineChars="200"/>
        <w:rPr>
          <w:rFonts w:ascii="仿宋" w:hAnsi="仿宋" w:eastAsia="仿宋"/>
          <w:b/>
          <w:color w:val="000000"/>
          <w:sz w:val="32"/>
          <w:szCs w:val="32"/>
        </w:rPr>
      </w:pPr>
      <w:r>
        <w:rPr>
          <w:rFonts w:hint="eastAsia" w:ascii="仿宋_GB2312" w:hAnsi="仿宋_GB2312" w:eastAsia="仿宋_GB2312" w:cs="仿宋_GB2312"/>
          <w:color w:val="000000"/>
          <w:sz w:val="32"/>
        </w:rPr>
        <w:t>6.商业服务业等支出216，</w:t>
      </w:r>
      <w:r>
        <w:rPr>
          <w:rStyle w:val="17"/>
          <w:rFonts w:hint="eastAsia" w:ascii="仿宋" w:hAnsi="仿宋" w:eastAsia="仿宋"/>
          <w:b w:val="0"/>
          <w:bCs/>
          <w:color w:val="000000"/>
          <w:sz w:val="32"/>
          <w:szCs w:val="32"/>
        </w:rPr>
        <w:t>支出决算为</w:t>
      </w:r>
      <w:r>
        <w:rPr>
          <w:rFonts w:hint="eastAsia" w:ascii="仿宋_GB2312" w:hAnsi="仿宋_GB2312" w:eastAsia="仿宋_GB2312" w:cs="仿宋_GB2312"/>
          <w:color w:val="000000"/>
          <w:sz w:val="32"/>
        </w:rPr>
        <w:t>624.71</w:t>
      </w:r>
      <w:r>
        <w:rPr>
          <w:rFonts w:ascii="仿宋_GB2312" w:hAnsi="仿宋_GB2312" w:eastAsia="仿宋_GB2312" w:cs="仿宋_GB2312"/>
          <w:color w:val="000000"/>
          <w:sz w:val="32"/>
        </w:rPr>
        <w:t>万元</w:t>
      </w:r>
      <w:r>
        <w:rPr>
          <w:rFonts w:hint="eastAsia" w:ascii="仿宋_GB2312" w:hAnsi="仿宋_GB2312" w:eastAsia="仿宋_GB2312" w:cs="仿宋_GB2312"/>
          <w:color w:val="000000"/>
          <w:sz w:val="32"/>
        </w:rPr>
        <w:t>，</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5C320C9D">
      <w:pPr>
        <w:tabs>
          <w:tab w:val="right" w:pos="8306"/>
        </w:tabs>
        <w:spacing w:line="600" w:lineRule="exact"/>
        <w:ind w:firstLine="640"/>
        <w:outlineLvl w:val="1"/>
        <w:rPr>
          <w:rStyle w:val="29"/>
        </w:rPr>
      </w:pPr>
      <w:bookmarkStart w:id="40" w:name="_Toc15377214"/>
      <w:bookmarkStart w:id="41"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9"/>
          <w:rFonts w:hint="eastAsia" w:ascii="黑体" w:hAnsi="黑体" w:eastAsia="黑体"/>
          <w:b w:val="0"/>
        </w:rPr>
        <w:t>般公共预算财政拨款基本支出决算情况说明</w:t>
      </w:r>
      <w:bookmarkEnd w:id="40"/>
      <w:bookmarkEnd w:id="41"/>
      <w:r>
        <w:rPr>
          <w:rStyle w:val="29"/>
          <w:rFonts w:ascii="黑体" w:hAnsi="黑体" w:eastAsia="黑体"/>
          <w:b w:val="0"/>
        </w:rPr>
        <w:tab/>
      </w:r>
    </w:p>
    <w:p w14:paraId="071AC592">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2021年一般公共预算财政拨款基本支出591.55万元，其中：</w:t>
      </w:r>
    </w:p>
    <w:p w14:paraId="291A200C">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455.32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A4C3410">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日常公用经费136.23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8764380">
      <w:pPr>
        <w:spacing w:line="600" w:lineRule="exact"/>
        <w:ind w:firstLine="640"/>
        <w:outlineLvl w:val="1"/>
        <w:rPr>
          <w:rStyle w:val="29"/>
          <w:rFonts w:ascii="黑体" w:hAnsi="黑体" w:eastAsia="黑体"/>
          <w:b w:val="0"/>
        </w:rPr>
      </w:pPr>
      <w:bookmarkStart w:id="42" w:name="_Toc15396609"/>
      <w:bookmarkStart w:id="43" w:name="_Toc15377215"/>
      <w:r>
        <w:rPr>
          <w:rFonts w:hint="eastAsia" w:ascii="黑体" w:eastAsia="黑体"/>
          <w:color w:val="000000"/>
          <w:sz w:val="32"/>
          <w:szCs w:val="32"/>
        </w:rPr>
        <w:t>七、</w:t>
      </w:r>
      <w:r>
        <w:rPr>
          <w:rStyle w:val="29"/>
          <w:rFonts w:hint="eastAsia" w:ascii="黑体" w:hAnsi="黑体" w:eastAsia="黑体"/>
        </w:rPr>
        <w:t>“</w:t>
      </w:r>
      <w:r>
        <w:rPr>
          <w:rStyle w:val="29"/>
          <w:rFonts w:hint="eastAsia" w:ascii="黑体" w:hAnsi="黑体" w:eastAsia="黑体"/>
          <w:b w:val="0"/>
        </w:rPr>
        <w:t>三公”经费财政拨款支出决算情况说明</w:t>
      </w:r>
      <w:bookmarkEnd w:id="42"/>
      <w:bookmarkEnd w:id="43"/>
    </w:p>
    <w:p w14:paraId="3C083860">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14:paraId="2267A187">
      <w:pPr>
        <w:spacing w:line="600" w:lineRule="exact"/>
        <w:ind w:firstLine="640"/>
        <w:rPr>
          <w:rFonts w:ascii="仿宋" w:hAnsi="仿宋" w:eastAsia="仿宋"/>
          <w:b/>
          <w:color w:val="FF0000"/>
          <w:sz w:val="32"/>
          <w:szCs w:val="32"/>
        </w:rPr>
      </w:pPr>
      <w:r>
        <w:rPr>
          <w:rFonts w:ascii="仿宋" w:hAnsi="仿宋" w:eastAsia="仿宋"/>
          <w:color w:val="000000"/>
          <w:sz w:val="32"/>
          <w:szCs w:val="32"/>
        </w:rPr>
        <w:t>20</w:t>
      </w:r>
      <w:r>
        <w:rPr>
          <w:rFonts w:hint="eastAsia" w:ascii="仿宋" w:hAnsi="仿宋" w:eastAsia="仿宋"/>
          <w:color w:val="000000"/>
          <w:sz w:val="32"/>
          <w:szCs w:val="32"/>
        </w:rPr>
        <w:t>21年“三公”经费财政拨款支出决算为5.43万元，完成预算100</w:t>
      </w:r>
      <w:r>
        <w:rPr>
          <w:rFonts w:ascii="仿宋" w:hAnsi="仿宋" w:eastAsia="仿宋"/>
          <w:color w:val="000000"/>
          <w:sz w:val="32"/>
          <w:szCs w:val="32"/>
        </w:rPr>
        <w:t>%</w:t>
      </w:r>
      <w:r>
        <w:rPr>
          <w:rFonts w:hint="eastAsia" w:ascii="仿宋" w:hAnsi="仿宋" w:eastAsia="仿宋"/>
          <w:color w:val="000000"/>
          <w:sz w:val="32"/>
          <w:szCs w:val="32"/>
        </w:rPr>
        <w:t>。</w:t>
      </w:r>
    </w:p>
    <w:p w14:paraId="7CAC8C09">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14:paraId="028526DD">
      <w:pPr>
        <w:spacing w:line="600" w:lineRule="exact"/>
        <w:ind w:firstLine="640"/>
      </w:pPr>
      <w:r>
        <w:rPr>
          <w:rFonts w:ascii="仿宋" w:hAnsi="仿宋" w:eastAsia="仿宋"/>
          <w:color w:val="000000"/>
          <w:sz w:val="32"/>
          <w:szCs w:val="32"/>
        </w:rPr>
        <w:t>20</w:t>
      </w:r>
      <w:r>
        <w:rPr>
          <w:rFonts w:hint="eastAsia" w:ascii="仿宋" w:hAnsi="仿宋" w:eastAsia="仿宋"/>
          <w:color w:val="000000"/>
          <w:sz w:val="32"/>
          <w:szCs w:val="32"/>
        </w:rPr>
        <w:t>21年“三公”经费财政拨款支出决算中，因公出国（境）费支出决算0万元，占0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；公务用车购置及运行维护费支出决算5.13万元，占95</w:t>
      </w:r>
      <w:r>
        <w:rPr>
          <w:rFonts w:ascii="仿宋" w:hAnsi="仿宋" w:eastAsia="仿宋"/>
          <w:color w:val="000000"/>
          <w:sz w:val="32"/>
          <w:szCs w:val="32"/>
        </w:rPr>
        <w:t>%</w:t>
      </w:r>
      <w:r>
        <w:rPr>
          <w:rFonts w:hint="eastAsia" w:ascii="仿宋" w:hAnsi="仿宋" w:eastAsia="仿宋"/>
          <w:color w:val="000000"/>
          <w:sz w:val="32"/>
          <w:szCs w:val="32"/>
        </w:rPr>
        <w:t>；公务接待费支出决算0.3万元，占5</w:t>
      </w:r>
      <w:r>
        <w:rPr>
          <w:rFonts w:ascii="仿宋" w:hAnsi="仿宋" w:eastAsia="仿宋"/>
          <w:color w:val="000000"/>
          <w:sz w:val="32"/>
          <w:szCs w:val="32"/>
        </w:rPr>
        <w:t>%</w:t>
      </w:r>
      <w:r>
        <w:rPr>
          <w:rFonts w:hint="eastAsia" w:ascii="仿宋" w:hAnsi="仿宋" w:eastAsia="仿宋"/>
          <w:color w:val="000000"/>
          <w:sz w:val="32"/>
          <w:szCs w:val="32"/>
        </w:rPr>
        <w:t>。</w:t>
      </w:r>
    </w:p>
    <w:p w14:paraId="4930ADD9">
      <w:pPr>
        <w:numPr>
          <w:ilvl w:val="0"/>
          <w:numId w:val="3"/>
        </w:numPr>
        <w:spacing w:line="600" w:lineRule="exact"/>
        <w:ind w:firstLine="640"/>
        <w:rPr>
          <w:rStyle w:val="17"/>
          <w:rFonts w:ascii="仿宋" w:hAnsi="仿宋" w:eastAsia="仿宋"/>
          <w:b w:val="0"/>
          <w:bCs/>
          <w:color w:val="000000"/>
          <w:sz w:val="32"/>
          <w:szCs w:val="32"/>
        </w:rPr>
      </w:pP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7"/>
          <w:rFonts w:hint="eastAsia" w:ascii="仿宋" w:hAnsi="仿宋" w:eastAsia="仿宋"/>
          <w:b w:val="0"/>
          <w:bCs/>
          <w:color w:val="000000"/>
          <w:sz w:val="32"/>
          <w:szCs w:val="32"/>
        </w:rPr>
        <w:t>完成预算0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B8A3533">
      <w:pPr>
        <w:spacing w:line="600" w:lineRule="exact"/>
        <w:ind w:firstLine="643" w:firstLineChars="20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5.13万元,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rPr>
        <w:t>20年减少0.37万元，减少6.72</w:t>
      </w:r>
      <w:r>
        <w:rPr>
          <w:rFonts w:ascii="仿宋_GB2312" w:eastAsia="仿宋_GB2312"/>
          <w:color w:val="000000"/>
          <w:sz w:val="32"/>
          <w:szCs w:val="32"/>
        </w:rPr>
        <w:t>%</w:t>
      </w:r>
      <w:r>
        <w:rPr>
          <w:rFonts w:hint="eastAsia" w:ascii="仿宋_GB2312" w:eastAsia="仿宋_GB2312"/>
          <w:color w:val="000000"/>
          <w:sz w:val="32"/>
          <w:szCs w:val="32"/>
        </w:rPr>
        <w:t>。</w:t>
      </w:r>
    </w:p>
    <w:p w14:paraId="3027CE6E">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0万元。全年按规定更新购置公务用车0辆，金额0</w:t>
      </w:r>
      <w:r>
        <w:rPr>
          <w:rFonts w:ascii="仿宋_GB2312" w:eastAsia="仿宋_GB2312"/>
          <w:color w:val="000000"/>
          <w:sz w:val="32"/>
          <w:szCs w:val="32"/>
        </w:rPr>
        <w:t>元。</w:t>
      </w:r>
      <w:r>
        <w:rPr>
          <w:rFonts w:hint="eastAsia" w:ascii="仿宋_GB2312" w:eastAsia="仿宋_GB2312"/>
          <w:color w:val="000000"/>
          <w:sz w:val="32"/>
          <w:szCs w:val="32"/>
        </w:rPr>
        <w:t>截至</w:t>
      </w:r>
      <w:r>
        <w:rPr>
          <w:rFonts w:ascii="仿宋_GB2312" w:eastAsia="仿宋_GB2312"/>
          <w:color w:val="000000"/>
          <w:sz w:val="32"/>
          <w:szCs w:val="32"/>
        </w:rPr>
        <w:t>20</w:t>
      </w:r>
      <w:r>
        <w:rPr>
          <w:rFonts w:hint="eastAsia" w:ascii="仿宋_GB2312" w:eastAsia="仿宋_GB2312"/>
          <w:color w:val="000000"/>
          <w:sz w:val="32"/>
          <w:szCs w:val="32"/>
        </w:rPr>
        <w:t>20年</w:t>
      </w:r>
      <w:r>
        <w:rPr>
          <w:rFonts w:ascii="仿宋_GB2312" w:eastAsia="仿宋_GB2312"/>
          <w:color w:val="000000"/>
          <w:sz w:val="32"/>
          <w:szCs w:val="32"/>
        </w:rPr>
        <w:t>12</w:t>
      </w:r>
      <w:r>
        <w:rPr>
          <w:rFonts w:hint="eastAsia" w:ascii="仿宋_GB2312" w:eastAsia="仿宋_GB2312"/>
          <w:color w:val="000000"/>
          <w:sz w:val="32"/>
          <w:szCs w:val="32"/>
        </w:rPr>
        <w:t>月底，单位共有公务用车10辆，其中：主要领导干部用车2辆、机要通信用车0辆、应急保障用车6辆、执法执勤用车2辆。</w:t>
      </w:r>
    </w:p>
    <w:p w14:paraId="022710D4">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rPr>
        <w:t>5.13万元。主要用于对项目的检查，道路的管护、养护，项目前期的协调等等所需的公务用车燃料费、维修费、过路过桥费、保险费等支出。</w:t>
      </w:r>
    </w:p>
    <w:p w14:paraId="2FBD57B4">
      <w:pPr>
        <w:spacing w:line="600" w:lineRule="auto"/>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0.3万元，</w:t>
      </w:r>
      <w:r>
        <w:rPr>
          <w:rStyle w:val="17"/>
          <w:rFonts w:hint="eastAsia" w:ascii="仿宋" w:hAnsi="仿宋" w:eastAsia="仿宋"/>
          <w:b w:val="0"/>
          <w:bCs/>
          <w:color w:val="000000"/>
          <w:sz w:val="32"/>
          <w:szCs w:val="32"/>
        </w:rPr>
        <w:t>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公务接待费支出决算比2020年减少0.01万元，下降3%。主要原因是坚持厉行节约的原则。其中：</w:t>
      </w:r>
    </w:p>
    <w:p w14:paraId="0DDA6133">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rPr>
        <w:t>0.3</w:t>
      </w:r>
      <w:r>
        <w:rPr>
          <w:rFonts w:hint="eastAsia" w:ascii="仿宋_GB2312" w:eastAsia="仿宋_GB2312"/>
          <w:color w:val="000000"/>
          <w:sz w:val="32"/>
          <w:szCs w:val="32"/>
        </w:rPr>
        <w:t>万元，主要用于农村公路检查用餐费等。国内公务接待3批次，14人次（不包括陪同人员），共计支出0.3万元，</w:t>
      </w:r>
      <w:r>
        <w:rPr>
          <w:rFonts w:ascii="仿宋_GB2312" w:hAnsi="仿宋_GB2312" w:eastAsia="仿宋_GB2312" w:cs="仿宋_GB2312"/>
          <w:color w:val="000000"/>
          <w:sz w:val="32"/>
        </w:rPr>
        <w:t>具体内容包括：项目检查0.1</w:t>
      </w:r>
      <w:r>
        <w:rPr>
          <w:rFonts w:hint="eastAsia" w:ascii="仿宋_GB2312" w:hAnsi="仿宋_GB2312" w:eastAsia="仿宋_GB2312" w:cs="仿宋_GB2312"/>
          <w:color w:val="000000"/>
          <w:sz w:val="32"/>
        </w:rPr>
        <w:t>5</w:t>
      </w:r>
      <w:r>
        <w:rPr>
          <w:rFonts w:ascii="仿宋_GB2312" w:hAnsi="仿宋_GB2312" w:eastAsia="仿宋_GB2312" w:cs="仿宋_GB2312"/>
          <w:color w:val="000000"/>
          <w:sz w:val="32"/>
        </w:rPr>
        <w:t>万元，道路运输安全检查2次</w:t>
      </w:r>
      <w:r>
        <w:rPr>
          <w:rFonts w:hint="eastAsia" w:ascii="仿宋_GB2312" w:hAnsi="仿宋_GB2312" w:eastAsia="仿宋_GB2312" w:cs="仿宋_GB2312"/>
          <w:color w:val="000000"/>
          <w:sz w:val="32"/>
        </w:rPr>
        <w:t>0.15</w:t>
      </w:r>
      <w:r>
        <w:rPr>
          <w:rFonts w:ascii="仿宋_GB2312" w:hAnsi="仿宋_GB2312" w:eastAsia="仿宋_GB2312" w:cs="仿宋_GB2312"/>
          <w:color w:val="000000"/>
          <w:sz w:val="32"/>
        </w:rPr>
        <w:t>万元</w:t>
      </w:r>
      <w:r>
        <w:rPr>
          <w:rFonts w:hint="eastAsia" w:ascii="仿宋_GB2312" w:eastAsia="仿宋_GB2312"/>
          <w:color w:val="000000"/>
          <w:sz w:val="32"/>
          <w:szCs w:val="32"/>
        </w:rPr>
        <w:t>。</w:t>
      </w:r>
    </w:p>
    <w:p w14:paraId="0DCF8C9D">
      <w:pPr>
        <w:spacing w:line="600" w:lineRule="exact"/>
        <w:ind w:firstLine="640"/>
        <w:outlineLvl w:val="1"/>
        <w:rPr>
          <w:rFonts w:ascii="黑体" w:eastAsia="黑体"/>
          <w:color w:val="000000"/>
          <w:sz w:val="32"/>
          <w:szCs w:val="32"/>
        </w:rPr>
      </w:pPr>
      <w:bookmarkStart w:id="46" w:name="_Toc15396610"/>
      <w:bookmarkStart w:id="47" w:name="_Toc15377218"/>
    </w:p>
    <w:p w14:paraId="6E522784">
      <w:pPr>
        <w:spacing w:line="600" w:lineRule="exact"/>
        <w:ind w:firstLine="640"/>
        <w:outlineLvl w:val="1"/>
        <w:rPr>
          <w:rStyle w:val="29"/>
          <w:rFonts w:ascii="黑体" w:hAnsi="黑体" w:eastAsia="黑体"/>
        </w:rPr>
      </w:pPr>
      <w:r>
        <w:rPr>
          <w:rFonts w:hint="eastAsia" w:ascii="黑体" w:eastAsia="黑体"/>
          <w:color w:val="000000"/>
          <w:sz w:val="32"/>
          <w:szCs w:val="32"/>
        </w:rPr>
        <w:t>八、</w:t>
      </w:r>
      <w:r>
        <w:rPr>
          <w:rStyle w:val="29"/>
          <w:rFonts w:hint="eastAsia" w:ascii="黑体" w:hAnsi="黑体" w:eastAsia="黑体"/>
          <w:b w:val="0"/>
        </w:rPr>
        <w:t>政府性基金预算支出决算情况说明</w:t>
      </w:r>
      <w:bookmarkEnd w:id="46"/>
      <w:bookmarkEnd w:id="47"/>
    </w:p>
    <w:p w14:paraId="60C2F3E7">
      <w:pPr>
        <w:spacing w:line="600"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21年政府性基金预算拨款支出0万元。</w:t>
      </w:r>
    </w:p>
    <w:p w14:paraId="3213D5FC">
      <w:pPr>
        <w:spacing w:line="600" w:lineRule="exact"/>
        <w:ind w:firstLine="640"/>
        <w:rPr>
          <w:rFonts w:ascii="仿宋_GB2312" w:eastAsia="仿宋_GB2312"/>
          <w:color w:val="000000"/>
          <w:sz w:val="32"/>
          <w:szCs w:val="32"/>
        </w:rPr>
      </w:pPr>
    </w:p>
    <w:p w14:paraId="3E05020F">
      <w:pPr>
        <w:numPr>
          <w:ilvl w:val="0"/>
          <w:numId w:val="4"/>
        </w:numPr>
        <w:spacing w:line="600" w:lineRule="exact"/>
        <w:ind w:firstLine="640"/>
        <w:outlineLvl w:val="1"/>
        <w:rPr>
          <w:rStyle w:val="29"/>
          <w:rFonts w:ascii="黑体" w:hAnsi="黑体" w:eastAsia="黑体"/>
          <w:b w:val="0"/>
        </w:rPr>
      </w:pPr>
      <w:bookmarkStart w:id="48" w:name="_Toc15396611"/>
      <w:bookmarkStart w:id="49" w:name="_Toc15377219"/>
      <w:r>
        <w:rPr>
          <w:rStyle w:val="29"/>
          <w:rFonts w:hint="eastAsia" w:ascii="黑体" w:hAnsi="黑体" w:eastAsia="黑体"/>
          <w:b w:val="0"/>
        </w:rPr>
        <w:t>国有资本经营预算支出决算情况说明</w:t>
      </w:r>
      <w:bookmarkEnd w:id="48"/>
      <w:bookmarkEnd w:id="49"/>
    </w:p>
    <w:p w14:paraId="612CC74C">
      <w:pPr>
        <w:spacing w:line="600"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21年国有资本经营预算拨款支出0万元。</w:t>
      </w:r>
    </w:p>
    <w:p w14:paraId="0DE6A440">
      <w:pPr>
        <w:spacing w:line="580" w:lineRule="exact"/>
        <w:jc w:val="center"/>
        <w:rPr>
          <w:rFonts w:ascii="方正小标宋简体" w:hAnsi="方正小标宋简体" w:eastAsia="方正小标宋简体" w:cs="方正小标宋简体"/>
          <w:sz w:val="44"/>
          <w:szCs w:val="44"/>
        </w:rPr>
      </w:pPr>
    </w:p>
    <w:p w14:paraId="6437E578">
      <w:pPr>
        <w:spacing w:line="600" w:lineRule="exact"/>
        <w:ind w:firstLine="800" w:firstLineChars="250"/>
        <w:outlineLvl w:val="1"/>
        <w:rPr>
          <w:rStyle w:val="29"/>
          <w:rFonts w:ascii="黑体" w:hAnsi="黑体" w:eastAsia="黑体"/>
        </w:rPr>
      </w:pPr>
      <w:bookmarkStart w:id="50" w:name="_Toc15377221"/>
      <w:bookmarkStart w:id="51" w:name="_Toc15396612"/>
      <w:r>
        <w:rPr>
          <w:rFonts w:hint="eastAsia" w:ascii="黑体" w:hAnsi="黑体" w:eastAsia="黑体"/>
          <w:color w:val="000000"/>
          <w:sz w:val="32"/>
          <w:szCs w:val="32"/>
        </w:rPr>
        <w:t>十</w:t>
      </w:r>
      <w:r>
        <w:rPr>
          <w:rStyle w:val="29"/>
          <w:rFonts w:hint="eastAsia" w:ascii="黑体" w:hAnsi="黑体" w:eastAsia="黑体"/>
        </w:rPr>
        <w:t>、</w:t>
      </w:r>
      <w:r>
        <w:rPr>
          <w:rStyle w:val="29"/>
          <w:rFonts w:hint="eastAsia" w:ascii="黑体" w:hAnsi="黑体" w:eastAsia="黑体"/>
          <w:b w:val="0"/>
        </w:rPr>
        <w:t>其他重要事项的情况说明</w:t>
      </w:r>
      <w:bookmarkEnd w:id="50"/>
      <w:bookmarkEnd w:id="51"/>
    </w:p>
    <w:p w14:paraId="4F6B0B9A">
      <w:pPr>
        <w:spacing w:line="600" w:lineRule="exact"/>
        <w:ind w:firstLine="643" w:firstLineChars="200"/>
        <w:outlineLvl w:val="2"/>
        <w:rPr>
          <w:rFonts w:ascii="仿宋" w:hAnsi="仿宋" w:eastAsia="仿宋"/>
          <w:color w:val="000000"/>
          <w:sz w:val="32"/>
          <w:szCs w:val="32"/>
        </w:rPr>
      </w:pPr>
      <w:bookmarkStart w:id="52" w:name="_Toc15377222"/>
      <w:r>
        <w:rPr>
          <w:rFonts w:hint="eastAsia" w:ascii="仿宋" w:hAnsi="仿宋" w:eastAsia="仿宋"/>
          <w:b/>
          <w:color w:val="000000"/>
          <w:sz w:val="32"/>
          <w:szCs w:val="32"/>
        </w:rPr>
        <w:t>（一）机关运行经费支出情况</w:t>
      </w:r>
      <w:bookmarkEnd w:id="52"/>
    </w:p>
    <w:p w14:paraId="58A8F912">
      <w:pPr>
        <w:spacing w:line="600" w:lineRule="exact"/>
        <w:ind w:firstLine="640" w:firstLineChars="200"/>
        <w:rPr>
          <w:rFonts w:ascii="仿宋_GB2312" w:eastAsia="仿宋_GB2312"/>
          <w:color w:val="000000" w:themeColor="text1"/>
          <w:sz w:val="32"/>
          <w:szCs w:val="32"/>
        </w:rPr>
      </w:pPr>
      <w:r>
        <w:rPr>
          <w:rFonts w:ascii="仿宋_GB2312" w:eastAsia="仿宋_GB2312"/>
          <w:color w:val="000000" w:themeColor="text1"/>
          <w:sz w:val="32"/>
          <w:szCs w:val="32"/>
        </w:rPr>
        <w:t>20</w:t>
      </w:r>
      <w:r>
        <w:rPr>
          <w:rFonts w:hint="eastAsia" w:ascii="仿宋_GB2312" w:eastAsia="仿宋_GB2312"/>
          <w:color w:val="000000" w:themeColor="text1"/>
          <w:sz w:val="32"/>
          <w:szCs w:val="32"/>
        </w:rPr>
        <w:t>21年，交通运输局机关运行经费支出41.16万元，比</w:t>
      </w:r>
      <w:r>
        <w:rPr>
          <w:rFonts w:ascii="仿宋_GB2312" w:eastAsia="仿宋_GB2312"/>
          <w:color w:val="000000" w:themeColor="text1"/>
          <w:sz w:val="32"/>
          <w:szCs w:val="32"/>
        </w:rPr>
        <w:t>20</w:t>
      </w:r>
      <w:r>
        <w:rPr>
          <w:rFonts w:hint="eastAsia" w:ascii="仿宋_GB2312" w:eastAsia="仿宋_GB2312"/>
          <w:color w:val="000000" w:themeColor="text1"/>
          <w:sz w:val="32"/>
          <w:szCs w:val="32"/>
        </w:rPr>
        <w:t>20年减少18.66万元，减少31.2</w:t>
      </w:r>
      <w:r>
        <w:rPr>
          <w:rFonts w:ascii="仿宋_GB2312" w:eastAsia="仿宋_GB2312"/>
          <w:color w:val="000000" w:themeColor="text1"/>
          <w:sz w:val="32"/>
          <w:szCs w:val="32"/>
        </w:rPr>
        <w:t>%</w:t>
      </w:r>
      <w:r>
        <w:rPr>
          <w:rFonts w:hint="eastAsia" w:ascii="仿宋_GB2312" w:eastAsia="仿宋_GB2312"/>
          <w:color w:val="000000" w:themeColor="text1"/>
          <w:sz w:val="32"/>
          <w:szCs w:val="32"/>
        </w:rPr>
        <w:t>。主要原因是农村公路养护费增加。</w:t>
      </w:r>
    </w:p>
    <w:p w14:paraId="6568177B">
      <w:pPr>
        <w:numPr>
          <w:ilvl w:val="0"/>
          <w:numId w:val="5"/>
        </w:num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3"/>
      <w:r>
        <w:rPr>
          <w:rFonts w:hint="eastAsia" w:ascii="仿宋" w:hAnsi="仿宋" w:eastAsia="仿宋"/>
          <w:b/>
          <w:color w:val="000000"/>
          <w:sz w:val="32"/>
          <w:szCs w:val="32"/>
        </w:rPr>
        <w:t>政府采购支出情况</w:t>
      </w:r>
      <w:bookmarkEnd w:id="53"/>
    </w:p>
    <w:p w14:paraId="6559B1C2">
      <w:pPr>
        <w:autoSpaceDE w:val="0"/>
        <w:autoSpaceDN w:val="0"/>
        <w:adjustRightInd w:val="0"/>
        <w:spacing w:line="600" w:lineRule="exact"/>
        <w:ind w:firstLine="640" w:firstLineChars="200"/>
        <w:jc w:val="left"/>
        <w:outlineLvl w:val="2"/>
      </w:pPr>
      <w:r>
        <w:rPr>
          <w:rFonts w:ascii="仿宋_GB2312" w:hAnsi="仿宋_GB2312" w:eastAsia="仿宋_GB2312" w:cs="仿宋_GB2312"/>
          <w:color w:val="000000"/>
          <w:sz w:val="32"/>
        </w:rPr>
        <w:t>我单位20</w:t>
      </w:r>
      <w:r>
        <w:rPr>
          <w:rFonts w:hint="eastAsia" w:ascii="仿宋_GB2312" w:hAnsi="仿宋_GB2312" w:eastAsia="仿宋_GB2312" w:cs="仿宋_GB2312"/>
          <w:color w:val="000000"/>
          <w:sz w:val="32"/>
        </w:rPr>
        <w:t>21</w:t>
      </w:r>
      <w:r>
        <w:rPr>
          <w:rFonts w:ascii="仿宋_GB2312" w:hAnsi="仿宋_GB2312" w:eastAsia="仿宋_GB2312" w:cs="仿宋_GB2312"/>
          <w:color w:val="000000"/>
          <w:sz w:val="32"/>
        </w:rPr>
        <w:t>年无政府采购支出。</w:t>
      </w:r>
    </w:p>
    <w:p w14:paraId="3D0544C8">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4" w:name="_Toc15377224"/>
      <w:r>
        <w:rPr>
          <w:rFonts w:hint="eastAsia" w:ascii="仿宋" w:hAnsi="仿宋" w:eastAsia="仿宋"/>
          <w:b/>
          <w:color w:val="000000"/>
          <w:sz w:val="32"/>
          <w:szCs w:val="32"/>
        </w:rPr>
        <w:t>（三）国有资产占有使用情况</w:t>
      </w:r>
      <w:bookmarkEnd w:id="54"/>
    </w:p>
    <w:p w14:paraId="0E2C7650">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w:t>
      </w:r>
      <w:r>
        <w:rPr>
          <w:rFonts w:hint="eastAsia" w:ascii="仿宋_GB2312" w:eastAsia="仿宋_GB2312"/>
          <w:color w:val="000000"/>
          <w:sz w:val="32"/>
          <w:szCs w:val="32"/>
        </w:rPr>
        <w:t>21年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日，交通运输局共有车辆10辆，其中：主要领导干部用车2辆、机要通信用车0辆、应急保障用车6辆、执法执勤用车2辆。</w:t>
      </w:r>
    </w:p>
    <w:p w14:paraId="5AC3A3BE">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1E6D9135">
      <w:pPr>
        <w:autoSpaceDE w:val="0"/>
        <w:autoSpaceDN w:val="0"/>
        <w:adjustRightInd w:val="0"/>
        <w:spacing w:line="560" w:lineRule="exact"/>
        <w:ind w:left="1" w:firstLine="720"/>
        <w:jc w:val="left"/>
        <w:rPr>
          <w:rFonts w:ascii="仿宋_GB2312" w:eastAsia="仿宋_GB2312" w:cs="仿宋_GB2312"/>
          <w:kern w:val="0"/>
          <w:sz w:val="32"/>
          <w:szCs w:val="32"/>
          <w:lang w:val="zh-CN"/>
        </w:rPr>
      </w:pPr>
      <w:r>
        <w:rPr>
          <w:rFonts w:hint="eastAsia" w:ascii="仿宋_GB2312" w:hAnsi="仿宋_GB2312" w:eastAsia="仿宋_GB2312" w:cs="仿宋_GB2312"/>
          <w:sz w:val="32"/>
          <w:szCs w:val="32"/>
        </w:rPr>
        <w:t>本部门按要求对2021年部门整体支出开展绩效自评，从评价情况来看</w:t>
      </w:r>
      <w:r>
        <w:rPr>
          <w:rFonts w:hint="eastAsia" w:ascii="仿宋_GB2312" w:eastAsia="仿宋_GB2312" w:cs="仿宋_GB2312"/>
          <w:kern w:val="0"/>
          <w:sz w:val="32"/>
          <w:szCs w:val="32"/>
          <w:lang w:val="zh-CN"/>
        </w:rPr>
        <w:t>20</w:t>
      </w:r>
      <w:r>
        <w:rPr>
          <w:rFonts w:hint="eastAsia" w:ascii="仿宋_GB2312" w:eastAsia="仿宋_GB2312" w:cs="仿宋_GB2312"/>
          <w:kern w:val="0"/>
          <w:sz w:val="32"/>
          <w:szCs w:val="32"/>
        </w:rPr>
        <w:t>21</w:t>
      </w:r>
      <w:r>
        <w:rPr>
          <w:rFonts w:hint="eastAsia" w:ascii="仿宋_GB2312" w:eastAsia="仿宋_GB2312" w:cs="仿宋_GB2312"/>
          <w:kern w:val="0"/>
          <w:sz w:val="32"/>
          <w:szCs w:val="32"/>
          <w:lang w:val="zh-CN"/>
        </w:rPr>
        <w:t>年我单位预算执行整体情况正常，按照各项工作有序开展的进度，财政资金收支情况同时也按进度执行。</w:t>
      </w:r>
    </w:p>
    <w:p w14:paraId="6C686848">
      <w:pPr>
        <w:spacing w:line="580" w:lineRule="exact"/>
        <w:ind w:left="638" w:leftChars="304"/>
        <w:rPr>
          <w:rFonts w:ascii="楷体_GB2312" w:hAnsi="楷体_GB2312" w:eastAsia="楷体_GB2312" w:cs="楷体_GB2312"/>
          <w:sz w:val="32"/>
          <w:szCs w:val="32"/>
        </w:rPr>
      </w:pPr>
      <w:r>
        <w:rPr>
          <w:rFonts w:hint="eastAsia" w:ascii="楷体_GB2312" w:hAnsi="楷体_GB2312" w:eastAsia="楷体_GB2312" w:cs="楷体_GB2312"/>
          <w:sz w:val="32"/>
          <w:szCs w:val="32"/>
        </w:rPr>
        <w:t>1.项目绩效目标完成情况。</w:t>
      </w:r>
    </w:p>
    <w:p w14:paraId="7C757DAD">
      <w:pPr>
        <w:spacing w:line="580" w:lineRule="exact"/>
        <w:ind w:left="638" w:leftChars="304"/>
        <w:rPr>
          <w:rFonts w:ascii="仿宋_GB2312" w:hAnsi="仿宋_GB2312" w:eastAsia="仿宋_GB2312" w:cs="仿宋_GB2312"/>
          <w:sz w:val="32"/>
          <w:szCs w:val="32"/>
        </w:rPr>
      </w:pPr>
      <w:r>
        <w:rPr>
          <w:rFonts w:ascii="仿宋_GB2312" w:hAnsi="仿宋_GB2312" w:eastAsia="仿宋_GB2312" w:cs="仿宋_GB2312"/>
          <w:sz w:val="32"/>
        </w:rPr>
        <w:t>我单位20</w:t>
      </w:r>
      <w:r>
        <w:rPr>
          <w:rFonts w:hint="eastAsia" w:ascii="仿宋_GB2312" w:hAnsi="仿宋_GB2312" w:eastAsia="仿宋_GB2312" w:cs="仿宋_GB2312"/>
          <w:sz w:val="32"/>
        </w:rPr>
        <w:t>21</w:t>
      </w:r>
      <w:r>
        <w:rPr>
          <w:rFonts w:ascii="仿宋_GB2312" w:hAnsi="仿宋_GB2312" w:eastAsia="仿宋_GB2312" w:cs="仿宋_GB2312"/>
          <w:sz w:val="32"/>
        </w:rPr>
        <w:t>年度无项目支出。</w:t>
      </w:r>
    </w:p>
    <w:p w14:paraId="426348DD">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75EF193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本部门按要求对2021年部门整体支出绩效评价情况开展自评，《松潘县交通运输局2021年部门整体支出绩效评价报告》见附件（附件1）。</w:t>
      </w:r>
    </w:p>
    <w:p w14:paraId="70A7C931">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6FDE5835">
      <w:pPr>
        <w:numPr>
          <w:ilvl w:val="0"/>
          <w:numId w:val="6"/>
        </w:numPr>
        <w:spacing w:line="600" w:lineRule="exact"/>
        <w:ind w:firstLine="660" w:firstLineChars="150"/>
        <w:jc w:val="center"/>
        <w:outlineLvl w:val="0"/>
        <w:rPr>
          <w:rStyle w:val="28"/>
          <w:rFonts w:ascii="黑体" w:hAnsi="黑体" w:eastAsia="黑体"/>
          <w:b w:val="0"/>
        </w:rPr>
      </w:pPr>
      <w:bookmarkStart w:id="55" w:name="_Toc15396613"/>
      <w:bookmarkStart w:id="56" w:name="_Toc15377225"/>
      <w:r>
        <w:rPr>
          <w:rFonts w:hint="eastAsia" w:ascii="黑体" w:hAnsi="黑体" w:eastAsia="黑体"/>
          <w:color w:val="000000"/>
          <w:sz w:val="44"/>
          <w:szCs w:val="44"/>
        </w:rPr>
        <w:t>名</w:t>
      </w:r>
      <w:r>
        <w:rPr>
          <w:rStyle w:val="28"/>
          <w:rFonts w:hint="eastAsia" w:ascii="黑体" w:hAnsi="黑体" w:eastAsia="黑体"/>
          <w:b w:val="0"/>
        </w:rPr>
        <w:t>词解释</w:t>
      </w:r>
      <w:bookmarkEnd w:id="55"/>
      <w:bookmarkEnd w:id="56"/>
    </w:p>
    <w:p w14:paraId="3FEAC963">
      <w:pPr>
        <w:spacing w:line="600" w:lineRule="exact"/>
        <w:jc w:val="left"/>
        <w:rPr>
          <w:rFonts w:ascii="宋体"/>
          <w:b/>
          <w:color w:val="000000"/>
          <w:sz w:val="44"/>
          <w:szCs w:val="44"/>
        </w:rPr>
      </w:pPr>
    </w:p>
    <w:p w14:paraId="2D3CB69B">
      <w:pPr>
        <w:pStyle w:val="26"/>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0D361168">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年初结转和结余：指以前年度尚未完成、结转到本年按有关规定继续使用的资金。</w:t>
      </w:r>
    </w:p>
    <w:p w14:paraId="6E4685FD">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结余分配：指事业单位按照事业单位会计制度的规定从非财政补助结余中分配的事业基金和职工福利基金等。</w:t>
      </w:r>
    </w:p>
    <w:p w14:paraId="228F387E">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4、年末结转和结余：指单位按有关规定结转到下年或以后年度继续使用的资金。</w:t>
      </w:r>
    </w:p>
    <w:p w14:paraId="6B76FDBB">
      <w:pPr>
        <w:ind w:firstLine="640" w:firstLineChars="200"/>
        <w:rPr>
          <w:rFonts w:ascii="仿宋_GB2312" w:eastAsia="仿宋_GB2312"/>
          <w:color w:val="000000"/>
          <w:sz w:val="32"/>
          <w:szCs w:val="32"/>
        </w:rPr>
      </w:pPr>
      <w:r>
        <w:rPr>
          <w:rFonts w:ascii="仿宋_GB2312" w:eastAsia="仿宋_GB2312"/>
          <w:color w:val="000000"/>
          <w:sz w:val="32"/>
          <w:szCs w:val="32"/>
        </w:rPr>
        <w:t>5.</w:t>
      </w:r>
      <w:r>
        <w:rPr>
          <w:rFonts w:hint="eastAsia" w:ascii="仿宋_GB2312" w:eastAsia="仿宋_GB2312"/>
          <w:color w:val="000000"/>
          <w:sz w:val="32"/>
          <w:szCs w:val="32"/>
        </w:rPr>
        <w:t>社会保障和就业2080505：指机关事业单位实施养老保险制度由单位缴纳的基本养老保险费支出。</w:t>
      </w:r>
    </w:p>
    <w:p w14:paraId="4EF0E578">
      <w:pPr>
        <w:ind w:firstLine="640" w:firstLineChars="200"/>
        <w:rPr>
          <w:rFonts w:ascii="仿宋_GB2312" w:eastAsia="仿宋_GB2312"/>
          <w:color w:val="000000"/>
          <w:sz w:val="32"/>
          <w:szCs w:val="32"/>
        </w:rPr>
      </w:pPr>
      <w:r>
        <w:rPr>
          <w:rFonts w:ascii="仿宋_GB2312" w:eastAsia="仿宋_GB2312"/>
          <w:color w:val="000000"/>
          <w:sz w:val="32"/>
          <w:szCs w:val="32"/>
        </w:rPr>
        <w:t>6.</w:t>
      </w:r>
      <w:r>
        <w:rPr>
          <w:rFonts w:hint="eastAsia" w:ascii="仿宋_GB2312" w:eastAsia="仿宋_GB2312"/>
          <w:color w:val="000000"/>
          <w:sz w:val="32"/>
          <w:szCs w:val="32"/>
        </w:rPr>
        <w:t>卫生健康21011：指财政部门安排的行政单位基本医疗保险缴费经费及公务员医疗补助经费。</w:t>
      </w:r>
    </w:p>
    <w:p w14:paraId="0AA01439">
      <w:pPr>
        <w:ind w:firstLine="640" w:firstLineChars="200"/>
        <w:rPr>
          <w:rFonts w:ascii="仿宋_GB2312" w:eastAsia="仿宋_GB2312"/>
          <w:color w:val="000000"/>
          <w:sz w:val="32"/>
          <w:szCs w:val="32"/>
        </w:rPr>
      </w:pPr>
      <w:r>
        <w:rPr>
          <w:rFonts w:ascii="仿宋_GB2312" w:eastAsia="仿宋_GB2312"/>
          <w:color w:val="000000"/>
          <w:sz w:val="32"/>
          <w:szCs w:val="32"/>
        </w:rPr>
        <w:t>7.</w:t>
      </w:r>
      <w:r>
        <w:rPr>
          <w:rFonts w:hint="eastAsia" w:ascii="仿宋_GB2312" w:eastAsia="仿宋_GB2312"/>
          <w:color w:val="000000"/>
          <w:sz w:val="32"/>
          <w:szCs w:val="32"/>
        </w:rPr>
        <w:t>节能环保2110501：指专项用于森林资源管护所发生的各项补助支出。</w:t>
      </w:r>
    </w:p>
    <w:p w14:paraId="3A348A33">
      <w:pPr>
        <w:ind w:firstLine="640" w:firstLineChars="200"/>
        <w:rPr>
          <w:rFonts w:ascii="仿宋_GB2312" w:eastAsia="仿宋_GB2312"/>
          <w:color w:val="000000"/>
          <w:sz w:val="32"/>
          <w:szCs w:val="32"/>
        </w:rPr>
      </w:pPr>
      <w:r>
        <w:rPr>
          <w:rFonts w:hint="eastAsia" w:ascii="仿宋_GB2312" w:eastAsia="仿宋_GB2312"/>
          <w:color w:val="000000"/>
          <w:sz w:val="32"/>
          <w:szCs w:val="32"/>
        </w:rPr>
        <w:t>8</w:t>
      </w:r>
      <w:r>
        <w:rPr>
          <w:rFonts w:ascii="仿宋_GB2312" w:eastAsia="仿宋_GB2312"/>
          <w:color w:val="000000"/>
          <w:sz w:val="32"/>
          <w:szCs w:val="32"/>
        </w:rPr>
        <w:t>.</w:t>
      </w:r>
      <w:r>
        <w:rPr>
          <w:rFonts w:hint="eastAsia" w:ascii="仿宋_GB2312" w:eastAsia="仿宋_GB2312"/>
          <w:color w:val="000000"/>
          <w:sz w:val="32"/>
          <w:szCs w:val="32"/>
        </w:rPr>
        <w:t>农林水2130504：指用于农村贫困地区乡村道路、住房、基本农田、水利设施、人畜饮水、生态环境保护等生产生活条件改善方面的支出。</w:t>
      </w:r>
    </w:p>
    <w:p w14:paraId="0CA6A8E9">
      <w:pPr>
        <w:ind w:firstLine="640" w:firstLineChars="200"/>
        <w:rPr>
          <w:rFonts w:ascii="仿宋_GB2312" w:eastAsia="仿宋_GB2312"/>
          <w:color w:val="000000"/>
          <w:sz w:val="32"/>
          <w:szCs w:val="32"/>
        </w:rPr>
      </w:pPr>
      <w:r>
        <w:rPr>
          <w:rFonts w:hint="eastAsia" w:ascii="仿宋_GB2312" w:eastAsia="仿宋_GB2312"/>
          <w:color w:val="000000"/>
          <w:sz w:val="32"/>
          <w:szCs w:val="32"/>
        </w:rPr>
        <w:t>9</w:t>
      </w:r>
      <w:r>
        <w:rPr>
          <w:rFonts w:ascii="仿宋_GB2312" w:eastAsia="仿宋_GB2312"/>
          <w:color w:val="000000"/>
          <w:sz w:val="32"/>
          <w:szCs w:val="32"/>
        </w:rPr>
        <w:t>.</w:t>
      </w:r>
      <w:r>
        <w:rPr>
          <w:rFonts w:hint="eastAsia" w:ascii="仿宋_GB2312" w:eastAsia="仿宋_GB2312"/>
          <w:color w:val="000000"/>
          <w:sz w:val="32"/>
          <w:szCs w:val="32"/>
        </w:rPr>
        <w:t>交通运输21401：指与公路、水路运输相关的支出。</w:t>
      </w:r>
    </w:p>
    <w:p w14:paraId="70AAB913">
      <w:pPr>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eastAsia="仿宋_GB2312"/>
          <w:color w:val="000000"/>
          <w:sz w:val="32"/>
          <w:szCs w:val="32"/>
        </w:rPr>
        <w:t>商业服务业2169999：指其他商业服务业等支出。</w:t>
      </w:r>
    </w:p>
    <w:p w14:paraId="608B0436">
      <w:pPr>
        <w:ind w:firstLine="640" w:firstLineChars="200"/>
        <w:rPr>
          <w:rFonts w:ascii="仿宋_GB2312" w:eastAsia="仿宋_GB2312"/>
          <w:color w:val="000000"/>
          <w:sz w:val="32"/>
          <w:szCs w:val="32"/>
        </w:rPr>
      </w:pPr>
      <w:r>
        <w:rPr>
          <w:rFonts w:hint="eastAsia" w:ascii="仿宋_GB2312" w:eastAsia="仿宋_GB2312"/>
          <w:color w:val="000000"/>
          <w:sz w:val="32"/>
          <w:szCs w:val="32"/>
        </w:rPr>
        <w:t>11</w:t>
      </w:r>
      <w:r>
        <w:rPr>
          <w:rFonts w:ascii="仿宋_GB2312" w:eastAsia="仿宋_GB2312"/>
          <w:color w:val="000000"/>
          <w:sz w:val="32"/>
          <w:szCs w:val="32"/>
        </w:rPr>
        <w:t>.</w:t>
      </w:r>
      <w:r>
        <w:rPr>
          <w:rFonts w:hint="eastAsia" w:ascii="仿宋_GB2312" w:eastAsia="仿宋_GB2312"/>
          <w:color w:val="000000"/>
          <w:sz w:val="32"/>
          <w:szCs w:val="32"/>
        </w:rPr>
        <w:t>住房保障2210201：指行政事业单位按人力资源和社会保障部、财政部规定的基本工资和津贴补贴以及规定比列为职工缴纳的住房公积金。</w:t>
      </w:r>
    </w:p>
    <w:p w14:paraId="502D84A0">
      <w:pPr>
        <w:ind w:firstLine="640" w:firstLineChars="200"/>
        <w:rPr>
          <w:rFonts w:ascii="仿宋_GB2312" w:eastAsia="仿宋_GB2312"/>
          <w:color w:val="000000"/>
          <w:sz w:val="32"/>
          <w:szCs w:val="32"/>
        </w:rPr>
      </w:pPr>
      <w:r>
        <w:rPr>
          <w:rFonts w:hint="eastAsia" w:ascii="仿宋_GB2312" w:eastAsia="仿宋_GB2312"/>
          <w:color w:val="000000"/>
          <w:sz w:val="32"/>
          <w:szCs w:val="32"/>
        </w:rPr>
        <w:t>12</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7D45D55F">
      <w:pPr>
        <w:ind w:firstLine="640" w:firstLineChars="200"/>
        <w:rPr>
          <w:rFonts w:ascii="仿宋_GB2312" w:eastAsia="仿宋_GB2312"/>
          <w:color w:val="000000"/>
          <w:sz w:val="32"/>
          <w:szCs w:val="32"/>
        </w:rPr>
      </w:pPr>
      <w:r>
        <w:rPr>
          <w:rFonts w:hint="eastAsia" w:ascii="仿宋_GB2312" w:eastAsia="仿宋_GB2312"/>
          <w:color w:val="000000"/>
          <w:sz w:val="32"/>
          <w:szCs w:val="32"/>
        </w:rPr>
        <w:t>13</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7B17A940">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14</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5C4F34F">
      <w:pPr>
        <w:pStyle w:val="26"/>
        <w:spacing w:line="560" w:lineRule="exact"/>
        <w:ind w:firstLine="640" w:firstLineChars="200"/>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B70FA9">
      <w:pPr>
        <w:spacing w:line="600" w:lineRule="exact"/>
        <w:jc w:val="center"/>
        <w:outlineLvl w:val="0"/>
        <w:rPr>
          <w:rStyle w:val="28"/>
          <w:rFonts w:ascii="黑体" w:hAnsi="黑体" w:eastAsia="黑体"/>
          <w:b w:val="0"/>
        </w:rPr>
      </w:pPr>
      <w:bookmarkStart w:id="57" w:name="_Toc15377226"/>
      <w:r>
        <w:rPr>
          <w:rFonts w:ascii="宋体"/>
          <w:b/>
          <w:color w:val="000000"/>
          <w:sz w:val="44"/>
          <w:szCs w:val="44"/>
        </w:rPr>
        <w:br w:type="page"/>
      </w:r>
      <w:bookmarkStart w:id="58" w:name="_Toc15396614"/>
      <w:r>
        <w:rPr>
          <w:rFonts w:hint="eastAsia" w:ascii="黑体" w:hAnsi="黑体" w:eastAsia="黑体"/>
          <w:color w:val="000000"/>
          <w:sz w:val="44"/>
          <w:szCs w:val="44"/>
        </w:rPr>
        <w:t>第</w:t>
      </w:r>
      <w:r>
        <w:rPr>
          <w:rStyle w:val="28"/>
          <w:rFonts w:hint="eastAsia" w:ascii="黑体" w:hAnsi="黑体" w:eastAsia="黑体"/>
          <w:b w:val="0"/>
        </w:rPr>
        <w:t>四部分 附件</w:t>
      </w:r>
      <w:bookmarkEnd w:id="58"/>
    </w:p>
    <w:p w14:paraId="2CE0D12A">
      <w:pPr>
        <w:spacing w:line="600"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47C4FB05">
      <w:pPr>
        <w:spacing w:line="580" w:lineRule="exact"/>
        <w:jc w:val="center"/>
        <w:rPr>
          <w:rFonts w:ascii="方正小标宋简体" w:hAnsi="方正小标宋简体" w:eastAsia="方正小标宋简体" w:cs="方正小标宋简体"/>
          <w:sz w:val="44"/>
          <w:szCs w:val="44"/>
        </w:rPr>
      </w:pPr>
    </w:p>
    <w:p w14:paraId="6ADEC295">
      <w:pPr>
        <w:widowControl/>
        <w:spacing w:line="580" w:lineRule="exact"/>
        <w:contextualSpacing/>
        <w:jc w:val="center"/>
        <w:rPr>
          <w:rFonts w:ascii="宋体"/>
          <w:b/>
          <w:sz w:val="44"/>
          <w:szCs w:val="44"/>
          <w:shd w:val="clear" w:color="auto" w:fill="FFFFFF"/>
        </w:rPr>
      </w:pPr>
      <w:r>
        <w:rPr>
          <w:rFonts w:hint="eastAsia" w:ascii="宋体"/>
          <w:b/>
          <w:sz w:val="44"/>
          <w:szCs w:val="44"/>
          <w:shd w:val="clear" w:color="auto" w:fill="FFFFFF"/>
        </w:rPr>
        <w:t>2021年松潘县交通运输局整体支出</w:t>
      </w:r>
    </w:p>
    <w:p w14:paraId="7EDBD12D">
      <w:pPr>
        <w:widowControl/>
        <w:spacing w:line="580" w:lineRule="exact"/>
        <w:contextualSpacing/>
        <w:jc w:val="center"/>
        <w:rPr>
          <w:rFonts w:ascii="宋体"/>
          <w:b/>
          <w:sz w:val="44"/>
          <w:szCs w:val="44"/>
          <w:shd w:val="clear" w:color="auto" w:fill="FFFFFF"/>
        </w:rPr>
      </w:pPr>
      <w:r>
        <w:rPr>
          <w:rFonts w:hint="eastAsia" w:ascii="宋体"/>
          <w:b/>
          <w:sz w:val="44"/>
          <w:szCs w:val="44"/>
          <w:shd w:val="clear" w:color="auto" w:fill="FFFFFF"/>
        </w:rPr>
        <w:t>绩效评价报告</w:t>
      </w:r>
    </w:p>
    <w:p w14:paraId="51F49FB6">
      <w:pPr>
        <w:autoSpaceDE w:val="0"/>
        <w:autoSpaceDN w:val="0"/>
        <w:adjustRightInd w:val="0"/>
        <w:spacing w:line="560" w:lineRule="exact"/>
        <w:ind w:left="1" w:firstLine="640" w:firstLineChars="200"/>
        <w:jc w:val="left"/>
        <w:rPr>
          <w:rFonts w:ascii="楷体_GB2312" w:eastAsia="楷体_GB2312" w:cs="楷体_GB2312"/>
          <w:color w:val="000000"/>
          <w:kern w:val="0"/>
          <w:sz w:val="32"/>
          <w:szCs w:val="32"/>
          <w:lang w:val="zh-CN"/>
        </w:rPr>
      </w:pPr>
    </w:p>
    <w:p w14:paraId="309FE667">
      <w:pPr>
        <w:autoSpaceDE w:val="0"/>
        <w:autoSpaceDN w:val="0"/>
        <w:adjustRightInd w:val="0"/>
        <w:spacing w:line="560" w:lineRule="exact"/>
        <w:ind w:left="1" w:firstLine="640" w:firstLineChars="200"/>
        <w:jc w:val="left"/>
        <w:rPr>
          <w:rFonts w:ascii="黑体" w:eastAsia="黑体" w:cs="黑体"/>
          <w:color w:val="000000"/>
          <w:kern w:val="0"/>
          <w:sz w:val="32"/>
          <w:szCs w:val="32"/>
          <w:lang w:val="zh-CN"/>
        </w:rPr>
      </w:pPr>
      <w:r>
        <w:rPr>
          <w:rFonts w:hint="eastAsia" w:ascii="楷体_GB2312" w:eastAsia="楷体_GB2312" w:cs="楷体_GB2312"/>
          <w:color w:val="000000"/>
          <w:kern w:val="0"/>
          <w:sz w:val="32"/>
          <w:szCs w:val="32"/>
          <w:lang w:val="zh-CN"/>
        </w:rPr>
        <w:t xml:space="preserve"> </w:t>
      </w:r>
      <w:r>
        <w:rPr>
          <w:rFonts w:hint="eastAsia" w:ascii="黑体" w:eastAsia="黑体" w:cs="黑体"/>
          <w:color w:val="000000"/>
          <w:kern w:val="0"/>
          <w:sz w:val="32"/>
          <w:szCs w:val="32"/>
          <w:lang w:val="zh-CN"/>
        </w:rPr>
        <w:t>一、松潘县交通运输局概况</w:t>
      </w:r>
    </w:p>
    <w:p w14:paraId="0156DCBB">
      <w:pPr>
        <w:autoSpaceDE w:val="0"/>
        <w:autoSpaceDN w:val="0"/>
        <w:adjustRightInd w:val="0"/>
        <w:spacing w:line="560" w:lineRule="exact"/>
        <w:ind w:left="1" w:firstLine="72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w:t>
      </w:r>
      <w:r>
        <w:rPr>
          <w:rFonts w:hint="eastAsia" w:ascii="楷体_GB2312" w:hAnsi="楷体_GB2312" w:eastAsia="楷体_GB2312" w:cs="楷体_GB2312"/>
          <w:b/>
          <w:bCs/>
          <w:color w:val="000000"/>
          <w:kern w:val="0"/>
          <w:sz w:val="32"/>
          <w:szCs w:val="32"/>
        </w:rPr>
        <w:t>一</w:t>
      </w:r>
      <w:r>
        <w:rPr>
          <w:rFonts w:hint="eastAsia" w:ascii="楷体_GB2312" w:hAnsi="楷体_GB2312" w:eastAsia="楷体_GB2312" w:cs="楷体_GB2312"/>
          <w:b/>
          <w:bCs/>
          <w:color w:val="000000"/>
          <w:kern w:val="0"/>
          <w:sz w:val="32"/>
          <w:szCs w:val="32"/>
          <w:lang w:val="zh-CN"/>
        </w:rPr>
        <w:t>）机构组成</w:t>
      </w:r>
    </w:p>
    <w:p w14:paraId="7C5EA734">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松潘县交通运输局为全额行政拔款单位，编制数为19人，下</w:t>
      </w:r>
      <w:r>
        <w:rPr>
          <w:rFonts w:hint="eastAsia" w:ascii="仿宋" w:hAnsi="仿宋" w:eastAsia="仿宋" w:cs="仿宋"/>
          <w:sz w:val="28"/>
          <w:szCs w:val="28"/>
        </w:rPr>
        <w:t>设</w:t>
      </w:r>
      <w:r>
        <w:rPr>
          <w:rFonts w:hint="eastAsia" w:ascii="仿宋_GB2312" w:eastAsia="仿宋_GB2312" w:cs="仿宋_GB2312"/>
          <w:kern w:val="0"/>
          <w:sz w:val="32"/>
          <w:szCs w:val="32"/>
          <w:lang w:val="zh-CN"/>
        </w:rPr>
        <w:t>办公室、交通建设规划管理股、安全运输管理股、松潘县交通战备办公室（松潘县保护通信线路安全办公室）、行政审批股五个股室。</w:t>
      </w:r>
    </w:p>
    <w:p w14:paraId="56417BB6">
      <w:pPr>
        <w:autoSpaceDE w:val="0"/>
        <w:autoSpaceDN w:val="0"/>
        <w:adjustRightInd w:val="0"/>
        <w:spacing w:line="560" w:lineRule="exact"/>
        <w:ind w:left="1" w:firstLine="72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w:t>
      </w:r>
      <w:r>
        <w:rPr>
          <w:rFonts w:hint="eastAsia" w:ascii="楷体_GB2312" w:hAnsi="楷体_GB2312" w:eastAsia="楷体_GB2312" w:cs="楷体_GB2312"/>
          <w:b/>
          <w:bCs/>
          <w:color w:val="000000"/>
          <w:kern w:val="0"/>
          <w:sz w:val="32"/>
          <w:szCs w:val="32"/>
        </w:rPr>
        <w:t>二</w:t>
      </w:r>
      <w:r>
        <w:rPr>
          <w:rFonts w:hint="eastAsia" w:ascii="楷体_GB2312" w:hAnsi="楷体_GB2312" w:eastAsia="楷体_GB2312" w:cs="楷体_GB2312"/>
          <w:b/>
          <w:bCs/>
          <w:color w:val="000000"/>
          <w:kern w:val="0"/>
          <w:sz w:val="32"/>
          <w:szCs w:val="32"/>
          <w:lang w:val="zh-CN"/>
        </w:rPr>
        <w:t>）机构职能</w:t>
      </w:r>
    </w:p>
    <w:p w14:paraId="2933EA3B">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zh-CN"/>
        </w:rPr>
        <w:t>贯彻执行国家、省、州有关交通运输行业的方针、政策和法律、法规。组织拟订并监督实施公路、水路等行业规划、政策和标准，会同有关部门资质编制综合运输体系规划，参与拟订物流业发展战略和规划。</w:t>
      </w:r>
    </w:p>
    <w:p w14:paraId="47ADAF9A">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zh-CN"/>
        </w:rPr>
        <w:t>拟订全县交通运输地方性法规、规章草案，负责本系统、本部门依法行政工作，落实行政执法责任制。指导公路、水路行业有关体制改革工作，承担全县高速公路协调管理的有关工作。</w:t>
      </w:r>
    </w:p>
    <w:p w14:paraId="6D367C70">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zh-CN"/>
        </w:rPr>
        <w:t>承担道路、水路交通运输市场监管责任，组织制定道路、水路运输有关政策、技术标准和运营规范并监督实施，指导城乡客运管理工作，指导出租汽车行业管理工作，会同有关部门制定运输价格。</w:t>
      </w:r>
    </w:p>
    <w:p w14:paraId="5E50B831">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zh-CN"/>
        </w:rPr>
        <w:t>承担水上交通安全监管责任。负责水上交通管制、运输船舶及相关水上设施检验、登记和防止污染、救助打捞、通讯导航、危险品运输的监督管理工作，负责船员管理相关工作。指导水上交通安全事故、船舶及相关水上设施污染事故的应急处置，依法组织或参与事故调查处理工作。</w:t>
      </w:r>
    </w:p>
    <w:p w14:paraId="59B71208">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5.</w:t>
      </w:r>
      <w:r>
        <w:rPr>
          <w:rFonts w:hint="eastAsia" w:ascii="仿宋_GB2312" w:eastAsia="仿宋_GB2312" w:cs="仿宋_GB2312"/>
          <w:kern w:val="0"/>
          <w:sz w:val="32"/>
          <w:szCs w:val="32"/>
          <w:lang w:val="zh-CN"/>
        </w:rPr>
        <w:t>负责提出公路、水路固定资产投资规模和方向、县财政性资金安排建议，组织实施省、州、县规划内和年度计划规模内固定资产投资项目。会同有关部门拟定公路、水路有关规费政策并监督实施，提出有关财政、土地、价格等政策建议。指导交通运输行业审计工作。</w:t>
      </w:r>
    </w:p>
    <w:p w14:paraId="5F3B9BC4">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6.</w:t>
      </w:r>
      <w:r>
        <w:rPr>
          <w:rFonts w:hint="eastAsia" w:ascii="仿宋_GB2312" w:eastAsia="仿宋_GB2312" w:cs="仿宋_GB2312"/>
          <w:kern w:val="0"/>
          <w:sz w:val="32"/>
          <w:szCs w:val="32"/>
          <w:lang w:val="zh-CN"/>
        </w:rPr>
        <w:t>承担公路、水路建设市场监管责任。拟定公路、水路工程建设相关政策、技术标准并监督实施，组织协调公路、水路有关重点工程建设和工程质量、安全生产监督管理工作。负责对交通行业和产业项目的招标投标活动的监督执法。指导交通运输基础设施管理和维护，承担有关重要设施的管理和维护。按规定负责码头规划和码头岸线使用管理工作，指导交通运输行业基础设施管理和维护，承担有关重要设施的管理和维护。按规定负责码头规划和码头岸线使用管理工作，指导交通运输行业特许经营管理，会同有关部门组织实施交通运输行业职业资格管理。</w:t>
      </w:r>
    </w:p>
    <w:p w14:paraId="0CD38666">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7.</w:t>
      </w:r>
      <w:r>
        <w:rPr>
          <w:rFonts w:hint="eastAsia" w:ascii="仿宋_GB2312" w:eastAsia="仿宋_GB2312" w:cs="仿宋_GB2312"/>
          <w:kern w:val="0"/>
          <w:sz w:val="32"/>
          <w:szCs w:val="32"/>
          <w:lang w:val="zh-CN"/>
        </w:rPr>
        <w:t>指导公路、水路行业安全生产和应急管理工作，按规定组织协调重点物资和紧急客货运输，负责全县境内高速公路及重点干线路网运行监测和协调。组织协调地方交通战备工作，承担国防动员有关工作。</w:t>
      </w:r>
    </w:p>
    <w:p w14:paraId="29D7A284">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8.</w:t>
      </w:r>
      <w:r>
        <w:rPr>
          <w:rFonts w:hint="eastAsia" w:ascii="仿宋_GB2312" w:eastAsia="仿宋_GB2312" w:cs="仿宋_GB2312"/>
          <w:kern w:val="0"/>
          <w:sz w:val="32"/>
          <w:szCs w:val="32"/>
          <w:lang w:val="zh-CN"/>
        </w:rPr>
        <w:t>制定交通运输科技政策并监督实施，组织重大科技开发。指导全县交通运输信息化建设，监测分析运行情况，开展相关统计工作，发布有关信息。指导公路、水路行业环境保护和节能减排工作。</w:t>
      </w:r>
    </w:p>
    <w:p w14:paraId="508262EA">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9.</w:t>
      </w:r>
      <w:r>
        <w:rPr>
          <w:rFonts w:hint="eastAsia" w:ascii="仿宋_GB2312" w:eastAsia="仿宋_GB2312" w:cs="仿宋_GB2312"/>
          <w:kern w:val="0"/>
          <w:sz w:val="32"/>
          <w:szCs w:val="32"/>
          <w:lang w:val="zh-CN"/>
        </w:rPr>
        <w:t>负责公路、水路有关涉外工作，开展对外经济交流与合作，指导全县交通运输行业招商引资和利用外资工作。</w:t>
      </w:r>
    </w:p>
    <w:p w14:paraId="3519975B">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10.</w:t>
      </w:r>
      <w:r>
        <w:rPr>
          <w:rFonts w:hint="eastAsia" w:ascii="仿宋_GB2312" w:eastAsia="仿宋_GB2312" w:cs="仿宋_GB2312"/>
          <w:kern w:val="0"/>
          <w:sz w:val="32"/>
          <w:szCs w:val="32"/>
          <w:lang w:val="zh-CN"/>
        </w:rPr>
        <w:t>承担县政府公布的有关行政审批事项。</w:t>
      </w:r>
    </w:p>
    <w:p w14:paraId="31D04A90">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11.</w:t>
      </w:r>
      <w:r>
        <w:rPr>
          <w:rFonts w:hint="eastAsia" w:ascii="仿宋_GB2312" w:eastAsia="仿宋_GB2312" w:cs="仿宋_GB2312"/>
          <w:kern w:val="0"/>
          <w:sz w:val="32"/>
          <w:szCs w:val="32"/>
          <w:lang w:val="zh-CN"/>
        </w:rPr>
        <w:t>承办县政府交办的其他事项。</w:t>
      </w:r>
    </w:p>
    <w:p w14:paraId="1EC93B40">
      <w:pPr>
        <w:autoSpaceDE w:val="0"/>
        <w:autoSpaceDN w:val="0"/>
        <w:adjustRightInd w:val="0"/>
        <w:spacing w:line="560" w:lineRule="exact"/>
        <w:ind w:left="1"/>
        <w:jc w:val="left"/>
        <w:rPr>
          <w:rFonts w:ascii="仿宋_GB2312" w:eastAsia="仿宋_GB2312" w:cs="仿宋_GB2312"/>
          <w:color w:val="000000"/>
          <w:kern w:val="0"/>
          <w:sz w:val="32"/>
          <w:szCs w:val="32"/>
          <w:lang w:val="zh-CN"/>
        </w:rPr>
      </w:pPr>
      <w:r>
        <w:rPr>
          <w:rFonts w:hint="eastAsia" w:eastAsia="仿宋_GB2312"/>
          <w:kern w:val="0"/>
          <w:sz w:val="20"/>
          <w:szCs w:val="20"/>
        </w:rPr>
        <w:t xml:space="preserve">       </w:t>
      </w:r>
      <w:r>
        <w:rPr>
          <w:rFonts w:hint="eastAsia" w:ascii="楷体_GB2312" w:hAnsi="楷体_GB2312" w:eastAsia="楷体_GB2312" w:cs="楷体_GB2312"/>
          <w:b/>
          <w:bCs/>
          <w:color w:val="000000"/>
          <w:kern w:val="0"/>
          <w:sz w:val="32"/>
          <w:szCs w:val="32"/>
          <w:lang w:val="zh-CN"/>
        </w:rPr>
        <w:t>（</w:t>
      </w:r>
      <w:r>
        <w:rPr>
          <w:rFonts w:hint="eastAsia" w:ascii="楷体_GB2312" w:hAnsi="楷体_GB2312" w:eastAsia="楷体_GB2312" w:cs="楷体_GB2312"/>
          <w:b/>
          <w:bCs/>
          <w:color w:val="000000"/>
          <w:kern w:val="0"/>
          <w:sz w:val="32"/>
          <w:szCs w:val="32"/>
        </w:rPr>
        <w:t>三</w:t>
      </w:r>
      <w:r>
        <w:rPr>
          <w:rFonts w:hint="eastAsia" w:ascii="楷体_GB2312" w:hAnsi="楷体_GB2312" w:eastAsia="楷体_GB2312" w:cs="楷体_GB2312"/>
          <w:b/>
          <w:bCs/>
          <w:color w:val="000000"/>
          <w:kern w:val="0"/>
          <w:sz w:val="32"/>
          <w:szCs w:val="32"/>
          <w:lang w:val="zh-CN"/>
        </w:rPr>
        <w:t>）人员概况</w:t>
      </w:r>
    </w:p>
    <w:p w14:paraId="28F2BDEC">
      <w:pPr>
        <w:autoSpaceDE w:val="0"/>
        <w:autoSpaceDN w:val="0"/>
        <w:adjustRightInd w:val="0"/>
        <w:spacing w:line="560" w:lineRule="exact"/>
        <w:ind w:firstLine="640"/>
        <w:jc w:val="left"/>
        <w:rPr>
          <w:rFonts w:eastAsia="仿宋_GB2312"/>
          <w:kern w:val="0"/>
          <w:sz w:val="20"/>
          <w:szCs w:val="20"/>
        </w:rPr>
      </w:pPr>
      <w:r>
        <w:rPr>
          <w:rFonts w:hint="eastAsia" w:ascii="仿宋_GB2312" w:eastAsia="仿宋_GB2312" w:cs="仿宋_GB2312"/>
          <w:kern w:val="0"/>
          <w:sz w:val="32"/>
          <w:szCs w:val="32"/>
          <w:lang w:val="zh-CN"/>
        </w:rPr>
        <w:t>松潘县交通运输局为一级预算单位，独立编制机构数</w:t>
      </w:r>
      <w:r>
        <w:rPr>
          <w:rFonts w:ascii="仿宋_GB2312" w:eastAsia="仿宋_GB2312" w:cs="仿宋_GB2312"/>
          <w:kern w:val="0"/>
          <w:sz w:val="32"/>
          <w:szCs w:val="32"/>
          <w:lang w:val="zh-CN"/>
        </w:rPr>
        <w:t>1</w:t>
      </w:r>
      <w:r>
        <w:rPr>
          <w:rFonts w:hint="eastAsia" w:ascii="仿宋_GB2312" w:eastAsia="仿宋_GB2312" w:cs="仿宋_GB2312"/>
          <w:kern w:val="0"/>
          <w:sz w:val="32"/>
          <w:szCs w:val="32"/>
          <w:lang w:val="zh-CN"/>
        </w:rPr>
        <w:t>个，独立核算机构数</w:t>
      </w:r>
      <w:r>
        <w:rPr>
          <w:rFonts w:ascii="仿宋_GB2312" w:eastAsia="仿宋_GB2312" w:cs="仿宋_GB2312"/>
          <w:kern w:val="0"/>
          <w:sz w:val="32"/>
          <w:szCs w:val="32"/>
          <w:lang w:val="zh-CN"/>
        </w:rPr>
        <w:t>1</w:t>
      </w:r>
      <w:r>
        <w:rPr>
          <w:rFonts w:hint="eastAsia" w:ascii="仿宋_GB2312" w:eastAsia="仿宋_GB2312" w:cs="仿宋_GB2312"/>
          <w:kern w:val="0"/>
          <w:sz w:val="32"/>
          <w:szCs w:val="32"/>
          <w:lang w:val="zh-CN"/>
        </w:rPr>
        <w:t>个，财政供养人员编制19名，其中：事业编制9名，公务员编9名，机关工勤1名。年末实有人数</w:t>
      </w:r>
      <w:r>
        <w:rPr>
          <w:rFonts w:hint="eastAsia" w:ascii="仿宋_GB2312" w:cs="仿宋_GB2312"/>
          <w:kern w:val="0"/>
          <w:sz w:val="32"/>
          <w:szCs w:val="32"/>
        </w:rPr>
        <w:t>20</w:t>
      </w:r>
      <w:r>
        <w:rPr>
          <w:rFonts w:hint="eastAsia" w:ascii="仿宋_GB2312" w:eastAsia="仿宋_GB2312" w:cs="仿宋_GB2312"/>
          <w:kern w:val="0"/>
          <w:sz w:val="32"/>
          <w:szCs w:val="32"/>
          <w:lang w:val="zh-CN"/>
        </w:rPr>
        <w:t>人。</w:t>
      </w:r>
    </w:p>
    <w:p w14:paraId="036CDF01">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rPr>
      </w:pPr>
      <w:r>
        <w:rPr>
          <w:rFonts w:hint="eastAsia" w:ascii="黑体" w:eastAsia="黑体" w:cs="宋体"/>
          <w:color w:val="000000"/>
          <w:kern w:val="0"/>
          <w:sz w:val="32"/>
          <w:szCs w:val="32"/>
          <w:shd w:val="clear" w:color="auto" w:fill="FFFFFF"/>
        </w:rPr>
        <w:t>二、部门财政资金收支情况</w:t>
      </w:r>
    </w:p>
    <w:p w14:paraId="02B3DBCB">
      <w:pPr>
        <w:widowControl/>
        <w:adjustRightInd w:val="0"/>
        <w:snapToGrid w:val="0"/>
        <w:spacing w:line="580" w:lineRule="exact"/>
        <w:ind w:firstLine="640" w:firstLineChars="200"/>
        <w:contextualSpacing/>
        <w:jc w:val="left"/>
        <w:rPr>
          <w:rFonts w:ascii="仿宋_GB2312" w:cs="宋体"/>
          <w:color w:val="000000"/>
          <w:kern w:val="0"/>
          <w:sz w:val="32"/>
          <w:szCs w:val="32"/>
          <w:shd w:val="clear" w:color="auto" w:fill="FFFFFF"/>
          <w:lang w:val="zh-CN"/>
        </w:rPr>
      </w:pPr>
      <w:r>
        <w:rPr>
          <w:rFonts w:hint="eastAsia" w:ascii="仿宋_GB2312" w:cs="宋体"/>
          <w:color w:val="000000"/>
          <w:kern w:val="0"/>
          <w:sz w:val="32"/>
          <w:szCs w:val="32"/>
          <w:shd w:val="clear" w:color="auto" w:fill="FFFFFF"/>
          <w:lang w:val="zh-CN"/>
        </w:rPr>
        <w:t>（一）部门财政资金收入情况。</w:t>
      </w:r>
    </w:p>
    <w:p w14:paraId="4903B796">
      <w:pPr>
        <w:autoSpaceDE w:val="0"/>
        <w:autoSpaceDN w:val="0"/>
        <w:adjustRightInd w:val="0"/>
        <w:spacing w:line="560" w:lineRule="exact"/>
        <w:ind w:firstLine="640"/>
        <w:jc w:val="left"/>
        <w:rPr>
          <w:rFonts w:ascii="仿宋_GB2312" w:eastAsia="仿宋_GB2312" w:cs="仿宋_GB2312"/>
          <w:b/>
          <w:bCs/>
          <w:kern w:val="0"/>
          <w:sz w:val="32"/>
          <w:szCs w:val="32"/>
          <w:lang w:val="zh-CN"/>
        </w:rPr>
      </w:pPr>
      <w:r>
        <w:rPr>
          <w:rFonts w:hint="eastAsia" w:ascii="仿宋_GB2312" w:eastAsia="仿宋_GB2312" w:cs="仿宋_GB2312"/>
          <w:b/>
          <w:bCs/>
          <w:kern w:val="0"/>
          <w:sz w:val="32"/>
          <w:szCs w:val="32"/>
        </w:rPr>
        <w:t>1.</w:t>
      </w:r>
      <w:r>
        <w:rPr>
          <w:rFonts w:hint="eastAsia" w:ascii="仿宋_GB2312" w:eastAsia="仿宋_GB2312" w:cs="仿宋_GB2312"/>
          <w:b/>
          <w:bCs/>
          <w:kern w:val="0"/>
          <w:sz w:val="32"/>
          <w:szCs w:val="32"/>
          <w:lang w:val="zh-CN"/>
        </w:rPr>
        <w:t>20</w:t>
      </w:r>
      <w:r>
        <w:rPr>
          <w:rFonts w:hint="eastAsia" w:ascii="仿宋_GB2312" w:cs="仿宋_GB2312"/>
          <w:b/>
          <w:bCs/>
          <w:kern w:val="0"/>
          <w:sz w:val="32"/>
          <w:szCs w:val="32"/>
        </w:rPr>
        <w:t>21</w:t>
      </w:r>
      <w:r>
        <w:rPr>
          <w:rFonts w:hint="eastAsia" w:ascii="仿宋_GB2312" w:eastAsia="仿宋_GB2312" w:cs="仿宋_GB2312"/>
          <w:b/>
          <w:bCs/>
          <w:kern w:val="0"/>
          <w:sz w:val="32"/>
          <w:szCs w:val="32"/>
          <w:lang w:val="zh-CN"/>
        </w:rPr>
        <w:t>年单位财政资金收入情况</w:t>
      </w:r>
    </w:p>
    <w:p w14:paraId="2EA6E238">
      <w:pPr>
        <w:autoSpaceDE w:val="0"/>
        <w:autoSpaceDN w:val="0"/>
        <w:adjustRightInd w:val="0"/>
        <w:spacing w:line="560" w:lineRule="exact"/>
        <w:ind w:firstLine="640" w:firstLineChars="200"/>
        <w:jc w:val="left"/>
        <w:rPr>
          <w:rFonts w:ascii="仿宋_GB2312" w:eastAsia="仿宋_GB2312" w:cs="仿宋_GB2312"/>
          <w:kern w:val="0"/>
          <w:sz w:val="32"/>
          <w:szCs w:val="32"/>
          <w:lang w:val="zh-CN"/>
        </w:rPr>
      </w:pPr>
      <w:r>
        <w:rPr>
          <w:rFonts w:hint="eastAsia" w:ascii="仿宋_GB2312" w:eastAsia="仿宋_GB2312" w:cs="仿宋_GB2312"/>
          <w:color w:val="000000" w:themeColor="text1"/>
          <w:kern w:val="0"/>
          <w:sz w:val="32"/>
          <w:szCs w:val="32"/>
          <w:lang w:val="zh-CN"/>
        </w:rPr>
        <w:t>松潘县交通运输局20</w:t>
      </w:r>
      <w:r>
        <w:rPr>
          <w:rFonts w:hint="eastAsia" w:ascii="仿宋_GB2312" w:cs="仿宋_GB2312"/>
          <w:color w:val="000000" w:themeColor="text1"/>
          <w:kern w:val="0"/>
          <w:sz w:val="32"/>
          <w:szCs w:val="32"/>
        </w:rPr>
        <w:t>21</w:t>
      </w:r>
      <w:r>
        <w:rPr>
          <w:rFonts w:hint="eastAsia" w:ascii="仿宋_GB2312" w:eastAsia="仿宋_GB2312" w:cs="仿宋_GB2312"/>
          <w:color w:val="000000" w:themeColor="text1"/>
          <w:kern w:val="0"/>
          <w:sz w:val="32"/>
          <w:szCs w:val="32"/>
          <w:lang w:val="zh-CN"/>
        </w:rPr>
        <w:t>年度财政拨款总收入</w:t>
      </w:r>
      <w:r>
        <w:rPr>
          <w:rFonts w:hint="eastAsia" w:ascii="仿宋_GB2312" w:cs="仿宋_GB2312"/>
          <w:color w:val="000000" w:themeColor="text1"/>
          <w:kern w:val="0"/>
          <w:sz w:val="32"/>
          <w:szCs w:val="32"/>
        </w:rPr>
        <w:t>26962</w:t>
      </w:r>
      <w:r>
        <w:rPr>
          <w:rFonts w:hint="eastAsia" w:ascii="仿宋_GB2312" w:eastAsia="仿宋_GB2312" w:cs="仿宋_GB2312"/>
          <w:color w:val="000000" w:themeColor="text1"/>
          <w:kern w:val="0"/>
          <w:sz w:val="32"/>
          <w:szCs w:val="32"/>
          <w:lang w:val="zh-CN"/>
        </w:rPr>
        <w:t>万元</w:t>
      </w:r>
      <w:r>
        <w:rPr>
          <w:rFonts w:hint="eastAsia" w:ascii="仿宋_GB2312" w:eastAsia="仿宋_GB2312" w:cs="仿宋_GB2312"/>
          <w:kern w:val="0"/>
          <w:sz w:val="32"/>
          <w:szCs w:val="32"/>
          <w:lang w:val="zh-CN"/>
        </w:rPr>
        <w:t xml:space="preserve">。  </w:t>
      </w:r>
      <w:r>
        <w:rPr>
          <w:rFonts w:hint="eastAsia" w:ascii="仿宋_GB2312" w:eastAsia="仿宋_GB2312" w:cs="仿宋_GB2312"/>
          <w:b/>
          <w:bCs/>
          <w:kern w:val="0"/>
          <w:sz w:val="32"/>
          <w:szCs w:val="32"/>
          <w:lang w:val="zh-CN"/>
        </w:rPr>
        <w:t xml:space="preserve">  </w:t>
      </w:r>
    </w:p>
    <w:p w14:paraId="534137F6">
      <w:pPr>
        <w:numPr>
          <w:ilvl w:val="0"/>
          <w:numId w:val="7"/>
        </w:numPr>
        <w:autoSpaceDE w:val="0"/>
        <w:autoSpaceDN w:val="0"/>
        <w:adjustRightInd w:val="0"/>
        <w:spacing w:line="560" w:lineRule="exact"/>
        <w:ind w:firstLine="640"/>
        <w:jc w:val="left"/>
        <w:rPr>
          <w:rFonts w:ascii="仿宋_GB2312" w:cs="宋体"/>
          <w:color w:val="000000"/>
          <w:kern w:val="0"/>
          <w:sz w:val="32"/>
          <w:szCs w:val="32"/>
          <w:shd w:val="clear" w:color="auto" w:fill="FFFFFF"/>
          <w:lang w:val="zh-CN"/>
        </w:rPr>
      </w:pPr>
      <w:r>
        <w:rPr>
          <w:rFonts w:hint="eastAsia" w:ascii="仿宋_GB2312" w:cs="宋体"/>
          <w:color w:val="000000"/>
          <w:kern w:val="0"/>
          <w:sz w:val="32"/>
          <w:szCs w:val="32"/>
          <w:shd w:val="clear" w:color="auto" w:fill="FFFFFF"/>
          <w:lang w:val="zh-CN"/>
        </w:rPr>
        <w:t>部门财政资金支出情况。</w:t>
      </w:r>
    </w:p>
    <w:p w14:paraId="080CCC5C">
      <w:pPr>
        <w:autoSpaceDE w:val="0"/>
        <w:autoSpaceDN w:val="0"/>
        <w:adjustRightInd w:val="0"/>
        <w:spacing w:line="560" w:lineRule="exact"/>
        <w:ind w:firstLine="643" w:firstLineChars="200"/>
        <w:jc w:val="left"/>
        <w:rPr>
          <w:rFonts w:ascii="仿宋_GB2312" w:eastAsia="仿宋_GB2312" w:cs="仿宋_GB2312"/>
          <w:b/>
          <w:bCs/>
          <w:kern w:val="0"/>
          <w:sz w:val="32"/>
          <w:szCs w:val="32"/>
          <w:lang w:val="zh-CN"/>
        </w:rPr>
      </w:pPr>
      <w:r>
        <w:rPr>
          <w:rFonts w:hint="eastAsia" w:ascii="仿宋_GB2312" w:eastAsia="仿宋_GB2312" w:cs="仿宋_GB2312"/>
          <w:b/>
          <w:bCs/>
          <w:kern w:val="0"/>
          <w:sz w:val="32"/>
          <w:szCs w:val="32"/>
        </w:rPr>
        <w:t>1.</w:t>
      </w:r>
      <w:r>
        <w:rPr>
          <w:rFonts w:hint="eastAsia" w:ascii="仿宋_GB2312" w:eastAsia="仿宋_GB2312" w:cs="仿宋_GB2312"/>
          <w:b/>
          <w:bCs/>
          <w:kern w:val="0"/>
          <w:sz w:val="32"/>
          <w:szCs w:val="32"/>
          <w:lang w:val="zh-CN"/>
        </w:rPr>
        <w:t>20</w:t>
      </w:r>
      <w:r>
        <w:rPr>
          <w:rFonts w:hint="eastAsia" w:ascii="仿宋_GB2312" w:cs="仿宋_GB2312"/>
          <w:b/>
          <w:bCs/>
          <w:kern w:val="0"/>
          <w:sz w:val="32"/>
          <w:szCs w:val="32"/>
        </w:rPr>
        <w:t>21</w:t>
      </w:r>
      <w:r>
        <w:rPr>
          <w:rFonts w:hint="eastAsia" w:ascii="仿宋_GB2312" w:eastAsia="仿宋_GB2312" w:cs="仿宋_GB2312"/>
          <w:b/>
          <w:bCs/>
          <w:kern w:val="0"/>
          <w:sz w:val="32"/>
          <w:szCs w:val="32"/>
          <w:lang w:val="zh-CN"/>
        </w:rPr>
        <w:t>年单位财政资金支出情况</w:t>
      </w:r>
    </w:p>
    <w:p w14:paraId="6E089FCA">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松潘县交通运输局20</w:t>
      </w:r>
      <w:r>
        <w:rPr>
          <w:rFonts w:hint="eastAsia" w:ascii="仿宋_GB2312" w:cs="仿宋_GB2312"/>
          <w:kern w:val="0"/>
          <w:sz w:val="32"/>
          <w:szCs w:val="32"/>
        </w:rPr>
        <w:t>21</w:t>
      </w:r>
      <w:r>
        <w:rPr>
          <w:rFonts w:hint="eastAsia" w:ascii="仿宋_GB2312" w:eastAsia="仿宋_GB2312" w:cs="仿宋_GB2312"/>
          <w:kern w:val="0"/>
          <w:sz w:val="32"/>
          <w:szCs w:val="32"/>
          <w:lang w:val="zh-CN"/>
        </w:rPr>
        <w:t>年一般公共预算财政拨款支出</w:t>
      </w:r>
      <w:r>
        <w:rPr>
          <w:rFonts w:hint="eastAsia" w:ascii="仿宋_GB2312" w:eastAsia="仿宋_GB2312" w:cs="仿宋_GB2312"/>
          <w:kern w:val="0"/>
          <w:sz w:val="32"/>
          <w:szCs w:val="32"/>
        </w:rPr>
        <w:t>9927.43</w:t>
      </w:r>
      <w:r>
        <w:rPr>
          <w:rFonts w:hint="eastAsia" w:ascii="仿宋_GB2312" w:eastAsia="仿宋_GB2312" w:cs="仿宋_GB2312"/>
          <w:kern w:val="0"/>
          <w:sz w:val="32"/>
          <w:szCs w:val="32"/>
          <w:lang w:val="zh-CN"/>
        </w:rPr>
        <w:t>万元，其中：基本支出</w:t>
      </w:r>
      <w:r>
        <w:rPr>
          <w:rFonts w:hint="eastAsia" w:ascii="仿宋_GB2312" w:cs="仿宋_GB2312"/>
          <w:kern w:val="0"/>
          <w:sz w:val="32"/>
          <w:szCs w:val="32"/>
        </w:rPr>
        <w:t>591.55</w:t>
      </w:r>
      <w:r>
        <w:rPr>
          <w:rFonts w:hint="eastAsia" w:ascii="仿宋_GB2312" w:eastAsia="仿宋_GB2312" w:cs="仿宋_GB2312"/>
          <w:kern w:val="0"/>
          <w:sz w:val="32"/>
          <w:szCs w:val="32"/>
          <w:lang w:val="zh-CN"/>
        </w:rPr>
        <w:t>万元，占</w:t>
      </w:r>
      <w:r>
        <w:rPr>
          <w:rFonts w:hint="eastAsia" w:ascii="仿宋_GB2312" w:cs="仿宋_GB2312"/>
          <w:kern w:val="0"/>
          <w:sz w:val="32"/>
          <w:szCs w:val="32"/>
        </w:rPr>
        <w:t>6</w:t>
      </w:r>
      <w:r>
        <w:rPr>
          <w:rFonts w:hint="eastAsia" w:ascii="仿宋_GB2312" w:eastAsia="仿宋_GB2312" w:cs="仿宋_GB2312"/>
          <w:kern w:val="0"/>
          <w:sz w:val="32"/>
          <w:szCs w:val="32"/>
          <w:lang w:val="zh-CN"/>
        </w:rPr>
        <w:t>%；项目支出</w:t>
      </w:r>
      <w:r>
        <w:rPr>
          <w:rFonts w:hint="eastAsia" w:ascii="仿宋_GB2312" w:cs="仿宋_GB2312"/>
          <w:kern w:val="0"/>
          <w:sz w:val="32"/>
          <w:szCs w:val="32"/>
        </w:rPr>
        <w:t>9335.88</w:t>
      </w:r>
      <w:r>
        <w:rPr>
          <w:rFonts w:hint="eastAsia" w:ascii="仿宋_GB2312" w:eastAsia="仿宋_GB2312" w:cs="仿宋_GB2312"/>
          <w:kern w:val="0"/>
          <w:sz w:val="32"/>
          <w:szCs w:val="32"/>
          <w:lang w:val="zh-CN"/>
        </w:rPr>
        <w:t>万元，占</w:t>
      </w:r>
      <w:r>
        <w:rPr>
          <w:rFonts w:hint="eastAsia" w:ascii="仿宋_GB2312" w:eastAsia="仿宋_GB2312" w:cs="仿宋_GB2312"/>
          <w:kern w:val="0"/>
          <w:sz w:val="32"/>
          <w:szCs w:val="32"/>
        </w:rPr>
        <w:t>9</w:t>
      </w:r>
      <w:r>
        <w:rPr>
          <w:rFonts w:hint="eastAsia" w:ascii="仿宋_GB2312" w:cs="仿宋_GB2312"/>
          <w:kern w:val="0"/>
          <w:sz w:val="32"/>
          <w:szCs w:val="32"/>
        </w:rPr>
        <w:t>4</w:t>
      </w:r>
      <w:r>
        <w:rPr>
          <w:rFonts w:hint="eastAsia" w:ascii="仿宋_GB2312" w:eastAsia="仿宋_GB2312" w:cs="仿宋_GB2312"/>
          <w:kern w:val="0"/>
          <w:sz w:val="32"/>
          <w:szCs w:val="32"/>
          <w:lang w:val="zh-CN"/>
        </w:rPr>
        <w:t xml:space="preserve">%。 </w:t>
      </w:r>
    </w:p>
    <w:p w14:paraId="5BE6F554">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21401公路水路运输20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6928.18</w:t>
      </w:r>
      <w:r>
        <w:rPr>
          <w:rFonts w:hint="eastAsia" w:ascii="仿宋_GB2312" w:eastAsia="仿宋_GB2312" w:cs="仿宋_GB2312"/>
          <w:kern w:val="0"/>
          <w:sz w:val="32"/>
          <w:szCs w:val="32"/>
          <w:lang w:val="zh-CN"/>
        </w:rPr>
        <w:t>万元，完成预算</w:t>
      </w:r>
      <w:r>
        <w:rPr>
          <w:rFonts w:hint="eastAsia" w:ascii="仿宋_GB2312" w:eastAsia="仿宋_GB2312" w:cs="仿宋_GB2312"/>
          <w:kern w:val="0"/>
          <w:sz w:val="32"/>
          <w:szCs w:val="32"/>
        </w:rPr>
        <w:t>100</w:t>
      </w:r>
      <w:r>
        <w:rPr>
          <w:rFonts w:hint="eastAsia" w:ascii="仿宋_GB2312" w:eastAsia="仿宋_GB2312" w:cs="仿宋_GB2312"/>
          <w:kern w:val="0"/>
          <w:sz w:val="32"/>
          <w:szCs w:val="32"/>
          <w:lang w:val="zh-CN"/>
        </w:rPr>
        <w:t>%。21404成品油价格改革对交通运输的补贴20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444.4</w:t>
      </w:r>
      <w:r>
        <w:rPr>
          <w:rFonts w:hint="eastAsia" w:ascii="仿宋_GB2312" w:eastAsia="仿宋_GB2312" w:cs="仿宋_GB2312"/>
          <w:kern w:val="0"/>
          <w:sz w:val="32"/>
          <w:szCs w:val="32"/>
          <w:lang w:val="zh-CN"/>
        </w:rPr>
        <w:t>万元，完成预算100%。21406车购税20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1382.05</w:t>
      </w:r>
      <w:r>
        <w:rPr>
          <w:rFonts w:hint="eastAsia" w:ascii="仿宋_GB2312" w:eastAsia="仿宋_GB2312" w:cs="仿宋_GB2312"/>
          <w:kern w:val="0"/>
          <w:sz w:val="32"/>
          <w:szCs w:val="32"/>
          <w:lang w:val="zh-CN"/>
        </w:rPr>
        <w:t>万元，完成预算100%。2080505机关事业单位基本养老保险缴费支出20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26.91</w:t>
      </w:r>
      <w:r>
        <w:rPr>
          <w:rFonts w:hint="eastAsia" w:ascii="仿宋_GB2312" w:eastAsia="仿宋_GB2312" w:cs="仿宋_GB2312"/>
          <w:kern w:val="0"/>
          <w:sz w:val="32"/>
          <w:szCs w:val="32"/>
          <w:lang w:val="zh-CN"/>
        </w:rPr>
        <w:t>万元，完成预算100%。2101101行政单位医疗20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10.41</w:t>
      </w:r>
      <w:r>
        <w:rPr>
          <w:rFonts w:hint="eastAsia" w:ascii="仿宋_GB2312" w:eastAsia="仿宋_GB2312" w:cs="仿宋_GB2312"/>
          <w:kern w:val="0"/>
          <w:sz w:val="32"/>
          <w:szCs w:val="32"/>
          <w:lang w:val="zh-CN"/>
        </w:rPr>
        <w:t>万元，完成预算100%。</w:t>
      </w:r>
      <w:r>
        <w:rPr>
          <w:rFonts w:hint="eastAsia" w:ascii="仿宋_GB2312" w:eastAsia="仿宋_GB2312" w:cs="仿宋_GB2312"/>
          <w:kern w:val="0"/>
          <w:sz w:val="32"/>
          <w:szCs w:val="32"/>
        </w:rPr>
        <w:t>2101103公务员医疗补助20</w:t>
      </w:r>
      <w:r>
        <w:rPr>
          <w:rFonts w:hint="eastAsia" w:ascii="仿宋_GB2312" w:cs="仿宋_GB2312"/>
          <w:kern w:val="0"/>
          <w:sz w:val="32"/>
          <w:szCs w:val="32"/>
        </w:rPr>
        <w:t>21</w:t>
      </w:r>
      <w:r>
        <w:rPr>
          <w:rFonts w:hint="eastAsia" w:ascii="仿宋_GB2312" w:eastAsia="仿宋_GB2312" w:cs="仿宋_GB2312"/>
          <w:kern w:val="0"/>
          <w:sz w:val="32"/>
          <w:szCs w:val="32"/>
        </w:rPr>
        <w:t>年决算为</w:t>
      </w:r>
      <w:r>
        <w:rPr>
          <w:rFonts w:hint="eastAsia" w:ascii="仿宋_GB2312" w:cs="仿宋_GB2312"/>
          <w:kern w:val="0"/>
          <w:sz w:val="32"/>
          <w:szCs w:val="32"/>
        </w:rPr>
        <w:t>3.73</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val="zh-CN"/>
        </w:rPr>
        <w:t>完成预算100%。2210201住房公积金20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7.31</w:t>
      </w:r>
      <w:r>
        <w:rPr>
          <w:rFonts w:hint="eastAsia" w:ascii="仿宋_GB2312" w:eastAsia="仿宋_GB2312" w:cs="仿宋_GB2312"/>
          <w:kern w:val="0"/>
          <w:sz w:val="32"/>
          <w:szCs w:val="32"/>
          <w:lang w:val="zh-CN"/>
        </w:rPr>
        <w:t>万元，完成预算100%。</w:t>
      </w:r>
      <w:r>
        <w:rPr>
          <w:rFonts w:hint="eastAsia" w:ascii="仿宋_GB2312" w:cs="仿宋_GB2312"/>
          <w:kern w:val="0"/>
          <w:sz w:val="32"/>
          <w:szCs w:val="32"/>
        </w:rPr>
        <w:t>21699商业服务业等支出</w:t>
      </w:r>
      <w:r>
        <w:rPr>
          <w:rFonts w:hint="eastAsia" w:ascii="仿宋_GB2312" w:eastAsia="仿宋_GB2312" w:cs="仿宋_GB2312"/>
          <w:kern w:val="0"/>
          <w:sz w:val="32"/>
          <w:szCs w:val="32"/>
        </w:rPr>
        <w:t>20</w:t>
      </w:r>
      <w:r>
        <w:rPr>
          <w:rFonts w:hint="eastAsia" w:ascii="仿宋_GB2312" w:cs="仿宋_GB2312"/>
          <w:kern w:val="0"/>
          <w:sz w:val="32"/>
          <w:szCs w:val="32"/>
        </w:rPr>
        <w:t>21</w:t>
      </w:r>
      <w:r>
        <w:rPr>
          <w:rFonts w:hint="eastAsia" w:ascii="仿宋_GB2312" w:eastAsia="仿宋_GB2312" w:cs="仿宋_GB2312"/>
          <w:kern w:val="0"/>
          <w:sz w:val="32"/>
          <w:szCs w:val="32"/>
        </w:rPr>
        <w:t>年决算数为</w:t>
      </w:r>
      <w:r>
        <w:rPr>
          <w:rFonts w:hint="eastAsia" w:ascii="仿宋_GB2312" w:cs="仿宋_GB2312"/>
          <w:kern w:val="0"/>
          <w:sz w:val="32"/>
          <w:szCs w:val="32"/>
        </w:rPr>
        <w:t>624.71</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val="zh-CN"/>
        </w:rPr>
        <w:t>完成预算100%。21499其它交通运输支出20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1909.4</w:t>
      </w:r>
      <w:r>
        <w:rPr>
          <w:rFonts w:hint="eastAsia" w:ascii="仿宋_GB2312" w:eastAsia="仿宋_GB2312" w:cs="仿宋_GB2312"/>
          <w:kern w:val="0"/>
          <w:sz w:val="32"/>
          <w:szCs w:val="32"/>
          <w:lang w:val="zh-CN"/>
        </w:rPr>
        <w:t>万元，完成预算100%。</w:t>
      </w:r>
    </w:p>
    <w:p w14:paraId="465E758D">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rPr>
      </w:pPr>
      <w:r>
        <w:rPr>
          <w:rFonts w:hint="eastAsia" w:ascii="黑体" w:eastAsia="黑体" w:cs="宋体"/>
          <w:color w:val="000000"/>
          <w:kern w:val="0"/>
          <w:sz w:val="32"/>
          <w:szCs w:val="32"/>
          <w:shd w:val="clear" w:color="auto" w:fill="FFFFFF"/>
        </w:rPr>
        <w:t>三、部门整体预算绩效管理情况</w:t>
      </w:r>
    </w:p>
    <w:p w14:paraId="30D07A7D">
      <w:pPr>
        <w:autoSpaceDE w:val="0"/>
        <w:autoSpaceDN w:val="0"/>
        <w:adjustRightInd w:val="0"/>
        <w:spacing w:line="560" w:lineRule="exact"/>
        <w:ind w:left="1" w:firstLine="72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（一）预算编制情况</w:t>
      </w:r>
    </w:p>
    <w:p w14:paraId="48F7E633">
      <w:pPr>
        <w:autoSpaceDE w:val="0"/>
        <w:autoSpaceDN w:val="0"/>
        <w:adjustRightInd w:val="0"/>
        <w:spacing w:line="560" w:lineRule="exact"/>
        <w:ind w:firstLine="640"/>
        <w:jc w:val="left"/>
        <w:rPr>
          <w:rFonts w:ascii="仿宋_GB2312" w:eastAsia="仿宋_GB2312" w:cs="仿宋_GB2312"/>
          <w:b/>
          <w:bCs/>
          <w:kern w:val="0"/>
          <w:sz w:val="32"/>
          <w:szCs w:val="32"/>
          <w:lang w:val="zh-CN"/>
        </w:rPr>
      </w:pPr>
      <w:r>
        <w:rPr>
          <w:rFonts w:hint="eastAsia" w:ascii="仿宋_GB2312" w:eastAsia="仿宋_GB2312" w:cs="仿宋_GB2312"/>
          <w:b/>
          <w:bCs/>
          <w:kern w:val="0"/>
          <w:sz w:val="32"/>
          <w:szCs w:val="32"/>
          <w:lang w:val="zh-CN"/>
        </w:rPr>
        <w:t>1.预算编制质量</w:t>
      </w:r>
    </w:p>
    <w:p w14:paraId="694715BB">
      <w:pPr>
        <w:tabs>
          <w:tab w:val="left" w:pos="750"/>
        </w:tabs>
        <w:spacing w:line="560" w:lineRule="exact"/>
        <w:ind w:firstLine="640" w:firstLineChars="200"/>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按照预算管理有关规定，目前单位预算的编制实行综合预算制度，即全部收入和支出都反映在预算中。本单位预算编制是由单位财务严格按照《预算法》的规定和财政部门预算股的要求，在既能保证本单位日常业务工作顺利开展的需要，又不浪费资金的前提下，合理编制出本单位的年度预算。</w:t>
      </w:r>
    </w:p>
    <w:p w14:paraId="671993A7">
      <w:pPr>
        <w:tabs>
          <w:tab w:val="left" w:pos="750"/>
        </w:tabs>
        <w:spacing w:line="560" w:lineRule="exact"/>
        <w:ind w:firstLine="643" w:firstLineChars="200"/>
        <w:rPr>
          <w:rFonts w:ascii="仿宋_GB2312" w:hAnsi="仿宋_GB2312" w:eastAsia="仿宋_GB2312" w:cs="仿宋_GB2312"/>
          <w:kern w:val="0"/>
          <w:sz w:val="32"/>
          <w:szCs w:val="32"/>
          <w:lang w:val="zh-CN"/>
        </w:rPr>
      </w:pPr>
      <w:r>
        <w:rPr>
          <w:rFonts w:hint="eastAsia" w:ascii="仿宋_GB2312" w:eastAsia="仿宋_GB2312" w:cs="仿宋_GB2312"/>
          <w:b/>
          <w:bCs/>
          <w:kern w:val="0"/>
          <w:sz w:val="32"/>
          <w:szCs w:val="32"/>
          <w:lang w:val="zh-CN"/>
        </w:rPr>
        <w:t>2</w:t>
      </w:r>
      <w:r>
        <w:rPr>
          <w:rFonts w:hint="eastAsia" w:ascii="仿宋_GB2312" w:eastAsia="仿宋_GB2312" w:cs="仿宋_GB2312"/>
          <w:b/>
          <w:bCs/>
          <w:kern w:val="0"/>
          <w:sz w:val="32"/>
          <w:szCs w:val="32"/>
        </w:rPr>
        <w:t>.</w:t>
      </w:r>
      <w:r>
        <w:rPr>
          <w:rFonts w:hint="eastAsia" w:ascii="仿宋_GB2312" w:eastAsia="仿宋_GB2312" w:cs="仿宋_GB2312"/>
          <w:b/>
          <w:bCs/>
          <w:kern w:val="0"/>
          <w:sz w:val="32"/>
          <w:szCs w:val="32"/>
          <w:lang w:val="zh-CN"/>
        </w:rPr>
        <w:t>绩效目标填报</w:t>
      </w:r>
    </w:p>
    <w:p w14:paraId="5B425D03">
      <w:pPr>
        <w:tabs>
          <w:tab w:val="left" w:pos="750"/>
        </w:tabs>
        <w:spacing w:line="560" w:lineRule="exact"/>
        <w:ind w:firstLine="640" w:firstLineChars="200"/>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本单位已完成绩效目标填报。</w:t>
      </w:r>
    </w:p>
    <w:p w14:paraId="1BF712C9">
      <w:pPr>
        <w:autoSpaceDE w:val="0"/>
        <w:autoSpaceDN w:val="0"/>
        <w:adjustRightInd w:val="0"/>
        <w:spacing w:line="560" w:lineRule="exact"/>
        <w:ind w:firstLine="643" w:firstLineChars="200"/>
        <w:jc w:val="left"/>
        <w:rPr>
          <w:rFonts w:ascii="仿宋_GB2312" w:eastAsia="仿宋_GB2312" w:cs="仿宋_GB2312"/>
          <w:b/>
          <w:bCs/>
          <w:kern w:val="0"/>
          <w:sz w:val="32"/>
          <w:szCs w:val="32"/>
          <w:lang w:val="zh-CN"/>
        </w:rPr>
      </w:pPr>
      <w:r>
        <w:rPr>
          <w:rFonts w:hint="eastAsia" w:ascii="仿宋_GB2312" w:eastAsia="仿宋_GB2312" w:cs="仿宋_GB2312"/>
          <w:b/>
          <w:bCs/>
          <w:kern w:val="0"/>
          <w:sz w:val="32"/>
          <w:szCs w:val="32"/>
          <w:lang w:val="zh-CN"/>
        </w:rPr>
        <w:t>3</w:t>
      </w:r>
      <w:r>
        <w:rPr>
          <w:rFonts w:hint="eastAsia" w:ascii="仿宋_GB2312" w:eastAsia="仿宋_GB2312" w:cs="仿宋_GB2312"/>
          <w:b/>
          <w:bCs/>
          <w:kern w:val="0"/>
          <w:sz w:val="32"/>
          <w:szCs w:val="32"/>
        </w:rPr>
        <w:t>.</w:t>
      </w:r>
      <w:r>
        <w:rPr>
          <w:rFonts w:hint="eastAsia" w:ascii="仿宋_GB2312" w:eastAsia="仿宋_GB2312" w:cs="仿宋_GB2312"/>
          <w:b/>
          <w:bCs/>
          <w:kern w:val="0"/>
          <w:sz w:val="32"/>
          <w:szCs w:val="32"/>
          <w:lang w:val="zh-CN"/>
        </w:rPr>
        <w:t>转移支付提前下达及专项转移支付分地区分项目编制情况</w:t>
      </w:r>
    </w:p>
    <w:p w14:paraId="70986290">
      <w:pPr>
        <w:tabs>
          <w:tab w:val="left" w:pos="750"/>
        </w:tabs>
        <w:spacing w:line="560" w:lineRule="exact"/>
        <w:ind w:firstLine="640" w:firstLineChars="200"/>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本单位不涉及转移支付资金。</w:t>
      </w:r>
    </w:p>
    <w:p w14:paraId="210A1B56">
      <w:pPr>
        <w:autoSpaceDE w:val="0"/>
        <w:autoSpaceDN w:val="0"/>
        <w:adjustRightInd w:val="0"/>
        <w:spacing w:line="560" w:lineRule="exact"/>
        <w:ind w:firstLine="643" w:firstLineChars="20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（二）执行管理情况</w:t>
      </w:r>
      <w:r>
        <w:rPr>
          <w:rFonts w:hint="eastAsia" w:ascii="楷体_GB2312" w:hAnsi="楷体_GB2312" w:eastAsia="楷体_GB2312" w:cs="楷体_GB2312"/>
          <w:b/>
          <w:bCs/>
          <w:color w:val="000000"/>
          <w:kern w:val="0"/>
          <w:sz w:val="32"/>
          <w:szCs w:val="32"/>
          <w:lang w:val="zh-CN"/>
        </w:rPr>
        <w:tab/>
      </w:r>
    </w:p>
    <w:p w14:paraId="1BC770CF">
      <w:pPr>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县财政及时足额下达年初预算，为单位的业务工作顺利开展提供了强有力的财力保障，我单位在支出过程中，能严格遵守各项规章制度，严格落实《预算法》及省、</w:t>
      </w:r>
      <w:r>
        <w:rPr>
          <w:rFonts w:hint="eastAsia" w:ascii="仿宋_GB2312" w:cs="仿宋_GB2312"/>
          <w:kern w:val="0"/>
          <w:sz w:val="32"/>
          <w:szCs w:val="32"/>
          <w:lang w:val="zh-CN"/>
        </w:rPr>
        <w:t>州、县</w:t>
      </w:r>
      <w:r>
        <w:rPr>
          <w:rFonts w:hint="eastAsia" w:ascii="仿宋_GB2312" w:eastAsia="仿宋_GB2312" w:cs="仿宋_GB2312"/>
          <w:kern w:val="0"/>
          <w:sz w:val="32"/>
          <w:szCs w:val="32"/>
          <w:lang w:val="zh-CN"/>
        </w:rPr>
        <w:t>绩效管理工作的有关规定，进一步规范财政资金的管理，强化财政支出绩效理念，提升单位责任意识，提高资金使用效益，。</w:t>
      </w:r>
    </w:p>
    <w:p w14:paraId="4D3F8260">
      <w:pPr>
        <w:autoSpaceDE w:val="0"/>
        <w:autoSpaceDN w:val="0"/>
        <w:adjustRightInd w:val="0"/>
        <w:spacing w:line="560" w:lineRule="exact"/>
        <w:ind w:firstLine="640"/>
        <w:jc w:val="left"/>
        <w:rPr>
          <w:rFonts w:ascii="仿宋_GB2312" w:eastAsia="仿宋_GB2312" w:cs="仿宋_GB2312"/>
          <w:b/>
          <w:bCs/>
          <w:kern w:val="0"/>
          <w:sz w:val="32"/>
          <w:szCs w:val="32"/>
          <w:lang w:val="zh-CN"/>
        </w:rPr>
      </w:pPr>
      <w:r>
        <w:rPr>
          <w:rFonts w:hint="eastAsia" w:ascii="仿宋_GB2312" w:eastAsia="仿宋_GB2312" w:cs="仿宋_GB2312"/>
          <w:b/>
          <w:bCs/>
          <w:kern w:val="0"/>
          <w:sz w:val="32"/>
          <w:szCs w:val="32"/>
        </w:rPr>
        <w:t>1.</w:t>
      </w:r>
      <w:r>
        <w:rPr>
          <w:rFonts w:hint="eastAsia" w:ascii="仿宋_GB2312" w:eastAsia="仿宋_GB2312" w:cs="仿宋_GB2312"/>
          <w:b/>
          <w:bCs/>
          <w:kern w:val="0"/>
          <w:sz w:val="32"/>
          <w:szCs w:val="32"/>
          <w:lang w:val="zh-CN"/>
        </w:rPr>
        <w:t>20</w:t>
      </w:r>
      <w:r>
        <w:rPr>
          <w:rFonts w:hint="eastAsia" w:ascii="仿宋_GB2312" w:cs="仿宋_GB2312"/>
          <w:b/>
          <w:bCs/>
          <w:kern w:val="0"/>
          <w:sz w:val="32"/>
          <w:szCs w:val="32"/>
        </w:rPr>
        <w:t>21</w:t>
      </w:r>
      <w:r>
        <w:rPr>
          <w:rFonts w:hint="eastAsia" w:ascii="仿宋_GB2312" w:eastAsia="仿宋_GB2312" w:cs="仿宋_GB2312"/>
          <w:b/>
          <w:bCs/>
          <w:kern w:val="0"/>
          <w:sz w:val="32"/>
          <w:szCs w:val="32"/>
          <w:lang w:val="zh-CN"/>
        </w:rPr>
        <w:t>年执行管理情况</w:t>
      </w:r>
    </w:p>
    <w:p w14:paraId="18797A2A">
      <w:pPr>
        <w:autoSpaceDE w:val="0"/>
        <w:autoSpaceDN w:val="0"/>
        <w:adjustRightInd w:val="0"/>
        <w:spacing w:line="560" w:lineRule="exact"/>
        <w:ind w:firstLine="64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21401公路水路运输20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6928.18</w:t>
      </w:r>
      <w:r>
        <w:rPr>
          <w:rFonts w:hint="eastAsia" w:ascii="仿宋_GB2312" w:eastAsia="仿宋_GB2312" w:cs="仿宋_GB2312"/>
          <w:kern w:val="0"/>
          <w:sz w:val="32"/>
          <w:szCs w:val="32"/>
          <w:lang w:val="zh-CN"/>
        </w:rPr>
        <w:t>万元，完成预算</w:t>
      </w:r>
      <w:r>
        <w:rPr>
          <w:rFonts w:hint="eastAsia" w:ascii="仿宋_GB2312" w:eastAsia="仿宋_GB2312" w:cs="仿宋_GB2312"/>
          <w:kern w:val="0"/>
          <w:sz w:val="32"/>
          <w:szCs w:val="32"/>
        </w:rPr>
        <w:t>100</w:t>
      </w:r>
      <w:r>
        <w:rPr>
          <w:rFonts w:hint="eastAsia" w:ascii="仿宋_GB2312" w:eastAsia="仿宋_GB2312" w:cs="仿宋_GB2312"/>
          <w:kern w:val="0"/>
          <w:sz w:val="32"/>
          <w:szCs w:val="32"/>
          <w:lang w:val="zh-CN"/>
        </w:rPr>
        <w:t>%。21404成品油价格改革对交通运输的补贴20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444.4</w:t>
      </w:r>
      <w:r>
        <w:rPr>
          <w:rFonts w:hint="eastAsia" w:ascii="仿宋_GB2312" w:eastAsia="仿宋_GB2312" w:cs="仿宋_GB2312"/>
          <w:kern w:val="0"/>
          <w:sz w:val="32"/>
          <w:szCs w:val="32"/>
          <w:lang w:val="zh-CN"/>
        </w:rPr>
        <w:t>万元，完成预算100%。21406车购税20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1382.05</w:t>
      </w:r>
      <w:r>
        <w:rPr>
          <w:rFonts w:hint="eastAsia" w:ascii="仿宋_GB2312" w:eastAsia="仿宋_GB2312" w:cs="仿宋_GB2312"/>
          <w:kern w:val="0"/>
          <w:sz w:val="32"/>
          <w:szCs w:val="32"/>
          <w:lang w:val="zh-CN"/>
        </w:rPr>
        <w:t>万元，完成预算100%。2080505机关事业单位基本养老保险缴费支出20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26.91</w:t>
      </w:r>
      <w:r>
        <w:rPr>
          <w:rFonts w:hint="eastAsia" w:ascii="仿宋_GB2312" w:eastAsia="仿宋_GB2312" w:cs="仿宋_GB2312"/>
          <w:kern w:val="0"/>
          <w:sz w:val="32"/>
          <w:szCs w:val="32"/>
          <w:lang w:val="zh-CN"/>
        </w:rPr>
        <w:t>万元，完成预算100%。2101101行政单位医疗20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10.41</w:t>
      </w:r>
      <w:r>
        <w:rPr>
          <w:rFonts w:hint="eastAsia" w:ascii="仿宋_GB2312" w:eastAsia="仿宋_GB2312" w:cs="仿宋_GB2312"/>
          <w:kern w:val="0"/>
          <w:sz w:val="32"/>
          <w:szCs w:val="32"/>
          <w:lang w:val="zh-CN"/>
        </w:rPr>
        <w:t>万元，完成预算100%。</w:t>
      </w:r>
      <w:r>
        <w:rPr>
          <w:rFonts w:hint="eastAsia" w:ascii="仿宋_GB2312" w:eastAsia="仿宋_GB2312" w:cs="仿宋_GB2312"/>
          <w:kern w:val="0"/>
          <w:sz w:val="32"/>
          <w:szCs w:val="32"/>
        </w:rPr>
        <w:t>2101103公务员医疗补助20</w:t>
      </w:r>
      <w:r>
        <w:rPr>
          <w:rFonts w:hint="eastAsia" w:ascii="仿宋_GB2312" w:cs="仿宋_GB2312"/>
          <w:kern w:val="0"/>
          <w:sz w:val="32"/>
          <w:szCs w:val="32"/>
        </w:rPr>
        <w:t>21</w:t>
      </w:r>
      <w:r>
        <w:rPr>
          <w:rFonts w:hint="eastAsia" w:ascii="仿宋_GB2312" w:eastAsia="仿宋_GB2312" w:cs="仿宋_GB2312"/>
          <w:kern w:val="0"/>
          <w:sz w:val="32"/>
          <w:szCs w:val="32"/>
        </w:rPr>
        <w:t>年决算为</w:t>
      </w:r>
      <w:r>
        <w:rPr>
          <w:rFonts w:hint="eastAsia" w:ascii="仿宋_GB2312" w:cs="仿宋_GB2312"/>
          <w:kern w:val="0"/>
          <w:sz w:val="32"/>
          <w:szCs w:val="32"/>
        </w:rPr>
        <w:t>3.73</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val="zh-CN"/>
        </w:rPr>
        <w:t>完成预算100%。2210201住房公积金20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7.31</w:t>
      </w:r>
      <w:r>
        <w:rPr>
          <w:rFonts w:hint="eastAsia" w:ascii="仿宋_GB2312" w:eastAsia="仿宋_GB2312" w:cs="仿宋_GB2312"/>
          <w:kern w:val="0"/>
          <w:sz w:val="32"/>
          <w:szCs w:val="32"/>
          <w:lang w:val="zh-CN"/>
        </w:rPr>
        <w:t>万元，完成预算100%。</w:t>
      </w:r>
      <w:r>
        <w:rPr>
          <w:rFonts w:hint="eastAsia" w:ascii="仿宋_GB2312" w:cs="仿宋_GB2312"/>
          <w:kern w:val="0"/>
          <w:sz w:val="32"/>
          <w:szCs w:val="32"/>
        </w:rPr>
        <w:t>21699商业服务业等支出</w:t>
      </w:r>
      <w:r>
        <w:rPr>
          <w:rFonts w:hint="eastAsia" w:ascii="仿宋_GB2312" w:eastAsia="仿宋_GB2312" w:cs="仿宋_GB2312"/>
          <w:kern w:val="0"/>
          <w:sz w:val="32"/>
          <w:szCs w:val="32"/>
        </w:rPr>
        <w:t>20</w:t>
      </w:r>
      <w:r>
        <w:rPr>
          <w:rFonts w:hint="eastAsia" w:ascii="仿宋_GB2312" w:cs="仿宋_GB2312"/>
          <w:kern w:val="0"/>
          <w:sz w:val="32"/>
          <w:szCs w:val="32"/>
        </w:rPr>
        <w:t>21</w:t>
      </w:r>
      <w:r>
        <w:rPr>
          <w:rFonts w:hint="eastAsia" w:ascii="仿宋_GB2312" w:eastAsia="仿宋_GB2312" w:cs="仿宋_GB2312"/>
          <w:kern w:val="0"/>
          <w:sz w:val="32"/>
          <w:szCs w:val="32"/>
        </w:rPr>
        <w:t>年决算数为</w:t>
      </w:r>
      <w:r>
        <w:rPr>
          <w:rFonts w:hint="eastAsia" w:ascii="仿宋_GB2312" w:cs="仿宋_GB2312"/>
          <w:kern w:val="0"/>
          <w:sz w:val="32"/>
          <w:szCs w:val="32"/>
        </w:rPr>
        <w:t>624.71</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val="zh-CN"/>
        </w:rPr>
        <w:t>完成预算100%。21499其它交通运输支出20</w:t>
      </w:r>
      <w:r>
        <w:rPr>
          <w:rFonts w:hint="eastAsia" w:ascii="仿宋_GB2312" w:cs="仿宋_GB2312"/>
          <w:kern w:val="0"/>
          <w:sz w:val="32"/>
          <w:szCs w:val="32"/>
        </w:rPr>
        <w:t>21</w:t>
      </w:r>
      <w:r>
        <w:rPr>
          <w:rFonts w:hint="eastAsia" w:ascii="仿宋_GB2312" w:eastAsia="仿宋_GB2312" w:cs="仿宋_GB2312"/>
          <w:kern w:val="0"/>
          <w:sz w:val="32"/>
          <w:szCs w:val="32"/>
          <w:lang w:val="zh-CN"/>
        </w:rPr>
        <w:t>年决算数为</w:t>
      </w:r>
      <w:r>
        <w:rPr>
          <w:rFonts w:hint="eastAsia" w:ascii="仿宋_GB2312" w:cs="仿宋_GB2312"/>
          <w:kern w:val="0"/>
          <w:sz w:val="32"/>
          <w:szCs w:val="32"/>
        </w:rPr>
        <w:t>1909.4</w:t>
      </w:r>
      <w:r>
        <w:rPr>
          <w:rFonts w:hint="eastAsia" w:ascii="仿宋_GB2312" w:eastAsia="仿宋_GB2312" w:cs="仿宋_GB2312"/>
          <w:kern w:val="0"/>
          <w:sz w:val="32"/>
          <w:szCs w:val="32"/>
          <w:lang w:val="zh-CN"/>
        </w:rPr>
        <w:t>万元，完成预算100%。</w:t>
      </w:r>
    </w:p>
    <w:p w14:paraId="07505635">
      <w:pPr>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松潘县交通运输局20</w:t>
      </w:r>
      <w:r>
        <w:rPr>
          <w:rFonts w:hint="eastAsia" w:ascii="仿宋_GB2312" w:cs="仿宋_GB2312"/>
          <w:kern w:val="0"/>
          <w:sz w:val="32"/>
          <w:szCs w:val="32"/>
        </w:rPr>
        <w:t>21</w:t>
      </w:r>
      <w:r>
        <w:rPr>
          <w:rFonts w:hint="eastAsia" w:ascii="仿宋_GB2312" w:eastAsia="仿宋_GB2312" w:cs="仿宋_GB2312"/>
          <w:kern w:val="0"/>
          <w:sz w:val="32"/>
          <w:szCs w:val="32"/>
          <w:lang w:val="zh-CN"/>
        </w:rPr>
        <w:t>年度“三公”经费财政拨款支出决算为</w:t>
      </w:r>
      <w:r>
        <w:rPr>
          <w:rFonts w:hint="eastAsia" w:ascii="仿宋_GB2312" w:eastAsia="仿宋_GB2312" w:cs="仿宋_GB2312"/>
          <w:kern w:val="0"/>
          <w:sz w:val="32"/>
          <w:szCs w:val="32"/>
        </w:rPr>
        <w:t>5.43</w:t>
      </w:r>
      <w:r>
        <w:rPr>
          <w:rFonts w:hint="eastAsia" w:ascii="仿宋_GB2312" w:eastAsia="仿宋_GB2312" w:cs="仿宋_GB2312"/>
          <w:kern w:val="0"/>
          <w:sz w:val="32"/>
          <w:szCs w:val="32"/>
          <w:lang w:val="zh-CN"/>
        </w:rPr>
        <w:t>万元，完成预算100%，其中：因公出国（境）费支出决算为0万元；公务用车购置及运行维护费支出决算为</w:t>
      </w:r>
      <w:r>
        <w:rPr>
          <w:rFonts w:hint="eastAsia" w:ascii="仿宋_GB2312" w:eastAsia="仿宋_GB2312" w:cs="仿宋_GB2312"/>
          <w:kern w:val="0"/>
          <w:sz w:val="32"/>
          <w:szCs w:val="32"/>
        </w:rPr>
        <w:t>5.13</w:t>
      </w:r>
      <w:r>
        <w:rPr>
          <w:rFonts w:hint="eastAsia" w:ascii="仿宋_GB2312" w:eastAsia="仿宋_GB2312" w:cs="仿宋_GB2312"/>
          <w:kern w:val="0"/>
          <w:sz w:val="32"/>
          <w:szCs w:val="32"/>
          <w:lang w:val="zh-CN"/>
        </w:rPr>
        <w:t>万元，完成预算100%；公务接待费支出决算为</w:t>
      </w:r>
      <w:r>
        <w:rPr>
          <w:rFonts w:hint="eastAsia" w:ascii="仿宋_GB2312" w:eastAsia="仿宋_GB2312" w:cs="仿宋_GB2312"/>
          <w:kern w:val="0"/>
          <w:sz w:val="32"/>
          <w:szCs w:val="32"/>
        </w:rPr>
        <w:t>0.3</w:t>
      </w:r>
      <w:r>
        <w:rPr>
          <w:rFonts w:hint="eastAsia" w:ascii="仿宋_GB2312" w:eastAsia="仿宋_GB2312" w:cs="仿宋_GB2312"/>
          <w:kern w:val="0"/>
          <w:sz w:val="32"/>
          <w:szCs w:val="32"/>
          <w:lang w:val="zh-CN"/>
        </w:rPr>
        <w:t>万元，完成预算100%。20</w:t>
      </w:r>
      <w:r>
        <w:rPr>
          <w:rFonts w:hint="eastAsia" w:ascii="仿宋_GB2312" w:cs="仿宋_GB2312"/>
          <w:kern w:val="0"/>
          <w:sz w:val="32"/>
          <w:szCs w:val="32"/>
        </w:rPr>
        <w:t>21</w:t>
      </w:r>
      <w:r>
        <w:rPr>
          <w:rFonts w:hint="eastAsia" w:ascii="仿宋_GB2312" w:eastAsia="仿宋_GB2312" w:cs="仿宋_GB2312"/>
          <w:kern w:val="0"/>
          <w:sz w:val="32"/>
          <w:szCs w:val="32"/>
          <w:lang w:val="zh-CN"/>
        </w:rPr>
        <w:t xml:space="preserve">年度“三公”经费支出决算数与预算数持平的主要原因是严格按照中央八项规定和行政单位会计制度执行。 </w:t>
      </w:r>
    </w:p>
    <w:p w14:paraId="3007E487">
      <w:pPr>
        <w:autoSpaceDE w:val="0"/>
        <w:autoSpaceDN w:val="0"/>
        <w:adjustRightInd w:val="0"/>
        <w:spacing w:line="560" w:lineRule="exact"/>
        <w:ind w:left="1" w:firstLine="72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（三）综合管理情况</w:t>
      </w:r>
    </w:p>
    <w:p w14:paraId="39D6EE81">
      <w:pPr>
        <w:pStyle w:val="13"/>
        <w:spacing w:before="0" w:beforeAutospacing="0" w:after="0" w:afterAutospacing="0" w:line="560" w:lineRule="exact"/>
        <w:ind w:firstLine="640" w:firstLineChars="200"/>
        <w:rPr>
          <w:rFonts w:ascii="仿宋_GB2312" w:hAnsi="Times New Roman" w:eastAsia="仿宋_GB2312" w:cs="仿宋_GB2312"/>
          <w:sz w:val="32"/>
          <w:szCs w:val="32"/>
          <w:lang w:val="zh-CN"/>
        </w:rPr>
      </w:pPr>
      <w:r>
        <w:rPr>
          <w:rFonts w:hint="eastAsia" w:ascii="仿宋_GB2312" w:hAnsi="Times New Roman" w:eastAsia="仿宋_GB2312" w:cs="仿宋_GB2312"/>
          <w:sz w:val="32"/>
          <w:szCs w:val="32"/>
          <w:lang w:val="zh-CN"/>
        </w:rPr>
        <w:t>我单位无政府性债务及非税收收入。</w:t>
      </w:r>
    </w:p>
    <w:p w14:paraId="05888E14">
      <w:pPr>
        <w:pStyle w:val="13"/>
        <w:spacing w:before="0" w:beforeAutospacing="0" w:after="0" w:afterAutospacing="0" w:line="560" w:lineRule="exact"/>
        <w:ind w:firstLine="640" w:firstLineChars="200"/>
        <w:rPr>
          <w:rFonts w:ascii="仿宋_GB2312" w:hAnsi="Times New Roman" w:eastAsia="仿宋_GB2312" w:cs="仿宋_GB2312"/>
          <w:sz w:val="32"/>
          <w:szCs w:val="32"/>
          <w:lang w:val="zh-CN"/>
        </w:rPr>
      </w:pPr>
      <w:r>
        <w:rPr>
          <w:rFonts w:hint="eastAsia" w:ascii="仿宋_GB2312" w:hAnsi="Times New Roman" w:eastAsia="仿宋_GB2312" w:cs="仿宋_GB2312"/>
          <w:sz w:val="32"/>
          <w:szCs w:val="32"/>
          <w:lang w:val="zh-CN"/>
        </w:rPr>
        <w:t>政府采购严格按照相关采购规定执行。</w:t>
      </w:r>
    </w:p>
    <w:p w14:paraId="62BF461E">
      <w:pPr>
        <w:pStyle w:val="13"/>
        <w:spacing w:before="0" w:beforeAutospacing="0" w:after="0" w:afterAutospacing="0" w:line="560" w:lineRule="exact"/>
        <w:ind w:firstLine="640" w:firstLineChars="200"/>
        <w:rPr>
          <w:rFonts w:ascii="仿宋_GB2312" w:hAnsi="Times New Roman" w:eastAsia="仿宋_GB2312" w:cs="仿宋_GB2312"/>
          <w:sz w:val="32"/>
          <w:szCs w:val="32"/>
          <w:lang w:val="zh-CN"/>
        </w:rPr>
      </w:pPr>
      <w:r>
        <w:rPr>
          <w:rFonts w:hint="eastAsia" w:ascii="仿宋_GB2312" w:hAnsi="Times New Roman" w:eastAsia="仿宋_GB2312" w:cs="仿宋_GB2312"/>
          <w:sz w:val="32"/>
          <w:szCs w:val="32"/>
          <w:lang w:val="zh-CN"/>
        </w:rPr>
        <w:t>资产管理严格按照资产管理制度执行，严格执行法律、法规和有关规章制度;与行政单位履行职能需要相适应;科学合理,充分发挥资产使用效益;勤俭节约,从严控制。</w:t>
      </w:r>
    </w:p>
    <w:p w14:paraId="5EF1D738">
      <w:pPr>
        <w:pStyle w:val="13"/>
        <w:spacing w:before="0" w:beforeAutospacing="0" w:after="0" w:afterAutospacing="0" w:line="560" w:lineRule="exact"/>
        <w:ind w:firstLine="640" w:firstLineChars="200"/>
        <w:rPr>
          <w:rFonts w:ascii="仿宋_GB2312" w:hAnsi="Times New Roman" w:eastAsia="仿宋_GB2312" w:cs="仿宋_GB2312"/>
          <w:sz w:val="32"/>
          <w:szCs w:val="32"/>
          <w:lang w:val="zh-CN"/>
        </w:rPr>
      </w:pPr>
      <w:r>
        <w:rPr>
          <w:rFonts w:hint="eastAsia" w:ascii="仿宋_GB2312" w:hAnsi="Times New Roman" w:eastAsia="仿宋_GB2312" w:cs="仿宋_GB2312"/>
          <w:sz w:val="32"/>
          <w:szCs w:val="32"/>
          <w:lang w:val="zh-CN"/>
        </w:rPr>
        <w:t>建立单位内控制度，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7EDA75E0">
      <w:pPr>
        <w:pStyle w:val="13"/>
        <w:spacing w:before="0" w:beforeAutospacing="0" w:after="0" w:afterAutospacing="0" w:line="560" w:lineRule="exact"/>
        <w:ind w:firstLine="640" w:firstLineChars="200"/>
        <w:rPr>
          <w:rFonts w:ascii="仿宋_GB2312" w:hAnsi="Times New Roman" w:eastAsia="仿宋_GB2312" w:cs="仿宋_GB2312"/>
          <w:sz w:val="32"/>
          <w:szCs w:val="32"/>
          <w:lang w:val="zh-CN"/>
        </w:rPr>
      </w:pPr>
      <w:r>
        <w:rPr>
          <w:rFonts w:hint="eastAsia" w:ascii="仿宋_GB2312" w:hAnsi="Times New Roman" w:eastAsia="仿宋_GB2312" w:cs="仿宋_GB2312"/>
          <w:sz w:val="32"/>
          <w:szCs w:val="32"/>
          <w:lang w:val="zh-CN"/>
        </w:rPr>
        <w:t>我单位将同级财政部门批复的本单位预决算报表及相关说明全部在政府门户网站公开，包括单位收支总体情况和财政拨款收支情况，公开公示了我单位“三公”经费财政拨款预决算总额和分项数额。本单位公开预决算的同时，一并公开了本单位的职责、机构设置情况、预决算收支增减变化、机关运行经费安排以及政府采购等情况的说明，并对专业性较强的名词进行解释</w:t>
      </w:r>
    </w:p>
    <w:p w14:paraId="1DE92037">
      <w:pPr>
        <w:pStyle w:val="13"/>
        <w:spacing w:before="0" w:beforeAutospacing="0" w:after="0" w:afterAutospacing="0" w:line="560" w:lineRule="exact"/>
        <w:ind w:firstLine="640" w:firstLineChars="200"/>
        <w:rPr>
          <w:rFonts w:ascii="仿宋_GB2312" w:hAnsi="Times New Roman" w:eastAsia="仿宋_GB2312" w:cs="仿宋_GB2312"/>
          <w:sz w:val="32"/>
          <w:szCs w:val="32"/>
          <w:lang w:val="zh-CN"/>
        </w:rPr>
      </w:pPr>
      <w:r>
        <w:rPr>
          <w:rFonts w:hint="eastAsia" w:ascii="仿宋_GB2312" w:hAnsi="Times New Roman" w:eastAsia="仿宋_GB2312" w:cs="仿宋_GB2312"/>
          <w:sz w:val="32"/>
          <w:szCs w:val="32"/>
          <w:lang w:val="zh-CN"/>
        </w:rPr>
        <w:t>我单位财务各项工作自觉配合县财政和上级单位的监督检查，对检查中存在的问题，严肃对待，认真开展整改落实。</w:t>
      </w:r>
    </w:p>
    <w:p w14:paraId="1385B1FA">
      <w:pPr>
        <w:autoSpaceDE w:val="0"/>
        <w:autoSpaceDN w:val="0"/>
        <w:adjustRightInd w:val="0"/>
        <w:spacing w:line="560" w:lineRule="exact"/>
        <w:ind w:firstLine="643" w:firstLineChars="20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（四）整体绩效</w:t>
      </w:r>
    </w:p>
    <w:p w14:paraId="0B098F0D">
      <w:pPr>
        <w:widowControl/>
        <w:spacing w:line="560" w:lineRule="exact"/>
        <w:ind w:firstLine="640" w:firstLineChars="200"/>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20</w:t>
      </w:r>
      <w:r>
        <w:rPr>
          <w:rFonts w:hint="eastAsia" w:ascii="仿宋_GB2312" w:cs="仿宋_GB2312"/>
          <w:kern w:val="0"/>
          <w:sz w:val="32"/>
          <w:szCs w:val="32"/>
        </w:rPr>
        <w:t>21</w:t>
      </w:r>
      <w:r>
        <w:rPr>
          <w:rFonts w:hint="eastAsia" w:ascii="仿宋_GB2312" w:eastAsia="仿宋_GB2312" w:cs="仿宋_GB2312"/>
          <w:kern w:val="0"/>
          <w:sz w:val="32"/>
          <w:szCs w:val="32"/>
          <w:lang w:val="zh-CN"/>
        </w:rPr>
        <w:t>年、20</w:t>
      </w:r>
      <w:r>
        <w:rPr>
          <w:rFonts w:hint="eastAsia" w:ascii="仿宋_GB2312" w:eastAsia="仿宋_GB2312" w:cs="仿宋_GB2312"/>
          <w:kern w:val="0"/>
          <w:sz w:val="32"/>
          <w:szCs w:val="32"/>
        </w:rPr>
        <w:t>2</w:t>
      </w:r>
      <w:r>
        <w:rPr>
          <w:rFonts w:hint="eastAsia" w:ascii="仿宋_GB2312" w:cs="仿宋_GB2312"/>
          <w:kern w:val="0"/>
          <w:sz w:val="32"/>
          <w:szCs w:val="32"/>
        </w:rPr>
        <w:t>2</w:t>
      </w:r>
      <w:r>
        <w:rPr>
          <w:rFonts w:hint="eastAsia" w:ascii="仿宋_GB2312" w:eastAsia="仿宋_GB2312" w:cs="仿宋_GB2312"/>
          <w:kern w:val="0"/>
          <w:sz w:val="32"/>
          <w:szCs w:val="32"/>
          <w:lang w:val="zh-CN"/>
        </w:rPr>
        <w:t>年上半年我单位深入贯彻党的十九大、十九届二中、三中全会、习近平总书记来川视察重要讲话精神、习近平新时代中国特色社会主义思想为指导，紧紧围绕县委、县政府中心工作和构建和谐社会的总体目标，加强队伍建设，切实改进工作作风，做到观念上有新转变，思想上有新飞跃，思路上有新调整，工作上有新突破，提升干部形象上有新发展。</w:t>
      </w:r>
    </w:p>
    <w:p w14:paraId="08C1A74A">
      <w:pPr>
        <w:widowControl/>
        <w:adjustRightInd w:val="0"/>
        <w:snapToGrid w:val="0"/>
        <w:spacing w:line="580"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（一）部门预算管理。</w:t>
      </w:r>
    </w:p>
    <w:p w14:paraId="083B72E4">
      <w:pPr>
        <w:widowControl/>
        <w:adjustRightInd w:val="0"/>
        <w:snapToGrid w:val="0"/>
        <w:spacing w:line="580"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包括部门绩效目标制定、目标实现、预算编制准确、支出控制、预算动态调整、执行进度、预算完成情况和违规记录等情况。</w:t>
      </w:r>
    </w:p>
    <w:p w14:paraId="6BB3405C">
      <w:pPr>
        <w:widowControl/>
        <w:adjustRightInd w:val="0"/>
        <w:snapToGrid w:val="0"/>
        <w:spacing w:line="580"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（二）结果应用情况。</w:t>
      </w:r>
    </w:p>
    <w:p w14:paraId="56B8F7B7">
      <w:pPr>
        <w:widowControl/>
        <w:adjustRightInd w:val="0"/>
        <w:snapToGrid w:val="0"/>
        <w:spacing w:line="580"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lang w:val="zh-CN"/>
        </w:rPr>
        <w:t>包括绩效自评公开、评价结果整改和应用结果反馈等情况。</w:t>
      </w:r>
    </w:p>
    <w:p w14:paraId="11040FB5">
      <w:pPr>
        <w:widowControl/>
        <w:adjustRightInd w:val="0"/>
        <w:snapToGrid w:val="0"/>
        <w:spacing w:line="580" w:lineRule="exact"/>
        <w:ind w:firstLine="640" w:firstLineChars="200"/>
        <w:contextualSpacing/>
        <w:jc w:val="left"/>
        <w:rPr>
          <w:rFonts w:ascii="黑体" w:eastAsia="黑体" w:cs="宋体"/>
          <w:color w:val="000000"/>
          <w:kern w:val="0"/>
          <w:sz w:val="32"/>
          <w:szCs w:val="32"/>
          <w:shd w:val="clear" w:color="auto" w:fill="FFFFFF"/>
        </w:rPr>
      </w:pPr>
      <w:r>
        <w:rPr>
          <w:rFonts w:hint="eastAsia" w:ascii="黑体" w:eastAsia="黑体" w:cs="宋体"/>
          <w:color w:val="000000"/>
          <w:kern w:val="0"/>
          <w:sz w:val="32"/>
          <w:szCs w:val="32"/>
          <w:shd w:val="clear" w:color="auto" w:fill="FFFFFF"/>
        </w:rPr>
        <w:t>四、评价结论及建议</w:t>
      </w:r>
    </w:p>
    <w:p w14:paraId="63DB5FA1">
      <w:pPr>
        <w:autoSpaceDE w:val="0"/>
        <w:autoSpaceDN w:val="0"/>
        <w:adjustRightInd w:val="0"/>
        <w:spacing w:line="560" w:lineRule="exact"/>
        <w:ind w:left="1" w:firstLine="72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（一）评价结论</w:t>
      </w:r>
    </w:p>
    <w:p w14:paraId="71F08B43">
      <w:pPr>
        <w:autoSpaceDE w:val="0"/>
        <w:autoSpaceDN w:val="0"/>
        <w:adjustRightInd w:val="0"/>
        <w:spacing w:line="560" w:lineRule="exact"/>
        <w:ind w:left="1" w:firstLine="720"/>
        <w:jc w:val="left"/>
        <w:rPr>
          <w:rFonts w:ascii="仿宋_GB2312" w:eastAsia="仿宋_GB2312" w:cs="仿宋_GB2312"/>
          <w:kern w:val="0"/>
          <w:sz w:val="32"/>
          <w:szCs w:val="32"/>
          <w:lang w:val="zh-CN"/>
        </w:rPr>
      </w:pPr>
      <w:r>
        <w:rPr>
          <w:rFonts w:hint="eastAsia" w:ascii="仿宋_GB2312" w:eastAsia="仿宋_GB2312" w:cs="仿宋_GB2312"/>
          <w:kern w:val="0"/>
          <w:sz w:val="32"/>
          <w:szCs w:val="32"/>
        </w:rPr>
        <w:t>2021</w:t>
      </w:r>
      <w:r>
        <w:rPr>
          <w:rFonts w:hint="eastAsia" w:ascii="仿宋_GB2312" w:eastAsia="仿宋_GB2312" w:cs="仿宋_GB2312"/>
          <w:kern w:val="0"/>
          <w:sz w:val="32"/>
          <w:szCs w:val="32"/>
          <w:lang w:val="zh-CN"/>
        </w:rPr>
        <w:t>年我单位预算执行整体情况正常，按照各项工作有序开展的进度，财政资金收支情况同时也按进度执行。</w:t>
      </w:r>
    </w:p>
    <w:p w14:paraId="341B7922">
      <w:pPr>
        <w:autoSpaceDE w:val="0"/>
        <w:autoSpaceDN w:val="0"/>
        <w:adjustRightInd w:val="0"/>
        <w:spacing w:line="560" w:lineRule="exact"/>
        <w:ind w:left="1" w:firstLine="72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（二）存在的问题</w:t>
      </w:r>
    </w:p>
    <w:p w14:paraId="1D02E77E">
      <w:pPr>
        <w:widowControl/>
        <w:adjustRightInd w:val="0"/>
        <w:snapToGrid w:val="0"/>
        <w:spacing w:line="560" w:lineRule="exact"/>
        <w:ind w:firstLine="640" w:firstLineChars="20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资产管理工作存在不完善的地方。一是对有国资产的管理，对一些超过使用年限或者损坏的资产未能及时申报和处置，导致账实不符；二是对各项往来账清理、清查不够及时。</w:t>
      </w:r>
    </w:p>
    <w:p w14:paraId="137793F5">
      <w:pPr>
        <w:autoSpaceDE w:val="0"/>
        <w:autoSpaceDN w:val="0"/>
        <w:adjustRightInd w:val="0"/>
        <w:spacing w:line="560" w:lineRule="exact"/>
        <w:ind w:left="1" w:firstLine="720"/>
        <w:jc w:val="left"/>
        <w:rPr>
          <w:rFonts w:ascii="楷体_GB2312" w:hAnsi="楷体_GB2312" w:eastAsia="楷体_GB2312" w:cs="楷体_GB2312"/>
          <w:b/>
          <w:bCs/>
          <w:color w:val="000000"/>
          <w:kern w:val="0"/>
          <w:sz w:val="32"/>
          <w:szCs w:val="32"/>
          <w:lang w:val="zh-CN"/>
        </w:rPr>
      </w:pPr>
      <w:r>
        <w:rPr>
          <w:rFonts w:hint="eastAsia" w:ascii="楷体_GB2312" w:hAnsi="楷体_GB2312" w:eastAsia="楷体_GB2312" w:cs="楷体_GB2312"/>
          <w:b/>
          <w:bCs/>
          <w:color w:val="000000"/>
          <w:kern w:val="0"/>
          <w:sz w:val="32"/>
          <w:szCs w:val="32"/>
          <w:lang w:val="zh-CN"/>
        </w:rPr>
        <w:t>（三）改进建议</w:t>
      </w:r>
    </w:p>
    <w:p w14:paraId="6D73E6E8">
      <w:pPr>
        <w:widowControl/>
        <w:adjustRightInd w:val="0"/>
        <w:snapToGrid w:val="0"/>
        <w:spacing w:line="560" w:lineRule="exact"/>
        <w:ind w:firstLine="640" w:firstLineChars="20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1.加强法规、制度学习。</w:t>
      </w:r>
    </w:p>
    <w:p w14:paraId="126E485F">
      <w:pPr>
        <w:widowControl/>
        <w:adjustRightInd w:val="0"/>
        <w:snapToGrid w:val="0"/>
        <w:spacing w:line="560" w:lineRule="exact"/>
        <w:ind w:firstLine="640" w:firstLineChars="200"/>
        <w:jc w:val="left"/>
        <w:rPr>
          <w:rFonts w:ascii="仿宋_GB2312" w:eastAsia="仿宋_GB2312" w:cs="仿宋_GB2312"/>
          <w:kern w:val="0"/>
          <w:sz w:val="32"/>
          <w:szCs w:val="32"/>
          <w:lang w:val="zh-CN"/>
        </w:rPr>
      </w:pPr>
      <w:r>
        <w:rPr>
          <w:rFonts w:hint="eastAsia" w:ascii="仿宋_GB2312" w:eastAsia="仿宋_GB2312" w:cs="仿宋_GB2312"/>
          <w:kern w:val="0"/>
          <w:sz w:val="32"/>
          <w:szCs w:val="32"/>
          <w:lang w:val="zh-CN"/>
        </w:rPr>
        <w:t>2.进一步贯彻落实中央八项规定，坚持厉行节约的原则。</w:t>
      </w:r>
    </w:p>
    <w:p w14:paraId="2BDB222E">
      <w:pPr>
        <w:widowControl/>
        <w:adjustRightInd w:val="0"/>
        <w:snapToGrid w:val="0"/>
        <w:spacing w:line="580" w:lineRule="exact"/>
        <w:ind w:firstLine="420" w:firstLineChars="200"/>
        <w:contextualSpacing/>
        <w:jc w:val="left"/>
        <w:rPr>
          <w:rFonts w:ascii="仿宋_GB2312" w:cs="宋体"/>
          <w:color w:val="000000"/>
          <w:kern w:val="0"/>
          <w:szCs w:val="32"/>
          <w:shd w:val="clear" w:color="auto" w:fill="FFFFFF"/>
          <w:lang w:val="zh-CN"/>
        </w:rPr>
      </w:pPr>
    </w:p>
    <w:p w14:paraId="10BB04FF">
      <w:pPr>
        <w:widowControl/>
        <w:adjustRightInd w:val="0"/>
        <w:snapToGrid w:val="0"/>
        <w:spacing w:line="580" w:lineRule="exact"/>
        <w:ind w:firstLine="420" w:firstLineChars="200"/>
        <w:contextualSpacing/>
        <w:jc w:val="left"/>
        <w:rPr>
          <w:rFonts w:ascii="仿宋_GB2312" w:cs="宋体"/>
          <w:color w:val="000000"/>
          <w:kern w:val="0"/>
          <w:szCs w:val="32"/>
          <w:shd w:val="clear" w:color="auto" w:fill="FFFFFF"/>
          <w:lang w:val="zh-CN"/>
        </w:rPr>
      </w:pPr>
    </w:p>
    <w:p w14:paraId="71BB6CA5">
      <w:pPr>
        <w:widowControl/>
        <w:adjustRightInd w:val="0"/>
        <w:snapToGrid w:val="0"/>
        <w:spacing w:line="580" w:lineRule="exact"/>
        <w:ind w:firstLine="420" w:firstLineChars="200"/>
        <w:contextualSpacing/>
        <w:jc w:val="left"/>
        <w:rPr>
          <w:rFonts w:ascii="仿宋_GB2312" w:cs="宋体"/>
          <w:color w:val="000000"/>
          <w:kern w:val="0"/>
          <w:szCs w:val="32"/>
          <w:shd w:val="clear" w:color="auto" w:fill="FFFFFF"/>
          <w:lang w:val="zh-CN"/>
        </w:rPr>
      </w:pPr>
    </w:p>
    <w:p w14:paraId="3E43F71E">
      <w:pPr>
        <w:widowControl/>
        <w:adjustRightInd w:val="0"/>
        <w:snapToGrid w:val="0"/>
        <w:spacing w:line="580" w:lineRule="exact"/>
        <w:ind w:firstLine="420" w:firstLineChars="200"/>
        <w:contextualSpacing/>
        <w:jc w:val="left"/>
        <w:rPr>
          <w:rFonts w:ascii="仿宋_GB2312" w:cs="宋体"/>
          <w:color w:val="000000"/>
          <w:kern w:val="0"/>
          <w:szCs w:val="32"/>
          <w:shd w:val="clear" w:color="auto" w:fill="FFFFFF"/>
          <w:lang w:val="zh-CN"/>
        </w:rPr>
      </w:pPr>
    </w:p>
    <w:p w14:paraId="506C196E">
      <w:pPr>
        <w:widowControl/>
        <w:adjustRightInd w:val="0"/>
        <w:snapToGrid w:val="0"/>
        <w:spacing w:line="580" w:lineRule="exact"/>
        <w:ind w:firstLine="420" w:firstLineChars="200"/>
        <w:contextualSpacing/>
        <w:jc w:val="left"/>
        <w:rPr>
          <w:rFonts w:ascii="仿宋_GB2312" w:hAnsi="仿宋_GB2312" w:eastAsia="仿宋_GB2312" w:cs="仿宋_GB2312"/>
          <w:color w:val="000000"/>
          <w:kern w:val="0"/>
          <w:sz w:val="32"/>
          <w:szCs w:val="32"/>
          <w:shd w:val="clear" w:color="auto" w:fill="FFFFFF"/>
        </w:rPr>
      </w:pPr>
      <w:r>
        <w:rPr>
          <w:rFonts w:hint="eastAsia" w:ascii="仿宋_GB2312" w:cs="宋体"/>
          <w:color w:val="000000"/>
          <w:kern w:val="0"/>
          <w:szCs w:val="32"/>
          <w:shd w:val="clear" w:color="auto" w:fill="FFFFFF"/>
        </w:rPr>
        <w:t xml:space="preserve">                               </w:t>
      </w:r>
      <w:r>
        <w:rPr>
          <w:rFonts w:hint="eastAsia" w:ascii="仿宋_GB2312" w:hAnsi="仿宋_GB2312" w:eastAsia="仿宋_GB2312" w:cs="仿宋_GB2312"/>
          <w:color w:val="000000"/>
          <w:kern w:val="0"/>
          <w:sz w:val="32"/>
          <w:szCs w:val="32"/>
          <w:shd w:val="clear" w:color="auto" w:fill="FFFFFF"/>
        </w:rPr>
        <w:t xml:space="preserve">    松潘县交通运输局</w:t>
      </w:r>
    </w:p>
    <w:p w14:paraId="5E188180">
      <w:pPr>
        <w:widowControl/>
        <w:spacing w:line="560" w:lineRule="exact"/>
        <w:rPr>
          <w:rFonts w:ascii="仿宋_GB2312" w:hAnsi="仿宋_GB2312" w:eastAsia="仿宋_GB2312" w:cs="仿宋_GB2312"/>
          <w:kern w:val="0"/>
          <w:sz w:val="32"/>
          <w:szCs w:val="32"/>
          <w:lang w:val="zh-CN"/>
        </w:rPr>
      </w:pPr>
      <w:r>
        <w:rPr>
          <w:rFonts w:hint="eastAsia" w:ascii="仿宋_GB2312" w:hAnsi="仿宋_GB2312" w:eastAsia="仿宋_GB2312" w:cs="仿宋_GB2312"/>
          <w:color w:val="000000"/>
          <w:kern w:val="0"/>
          <w:sz w:val="32"/>
          <w:szCs w:val="32"/>
          <w:shd w:val="clear" w:color="auto" w:fill="FFFFFF"/>
        </w:rPr>
        <w:t xml:space="preserve">                           2022年09月19日</w:t>
      </w:r>
    </w:p>
    <w:p w14:paraId="6D2D04F5">
      <w:pPr>
        <w:pStyle w:val="19"/>
        <w:rPr>
          <w:rFonts w:ascii="仿宋_GB2312" w:hAnsi="仿宋_GB2312" w:eastAsia="仿宋_GB2312" w:cs="仿宋_GB2312"/>
        </w:rPr>
      </w:pPr>
    </w:p>
    <w:p w14:paraId="732415B3">
      <w:pPr>
        <w:rPr>
          <w:rFonts w:ascii="仿宋_GB2312" w:hAnsi="仿宋_GB2312" w:eastAsia="仿宋_GB2312" w:cs="仿宋_GB2312"/>
          <w:sz w:val="32"/>
          <w:szCs w:val="32"/>
        </w:rPr>
      </w:pPr>
    </w:p>
    <w:p w14:paraId="4A61670B">
      <w:pPr>
        <w:pStyle w:val="19"/>
        <w:rPr>
          <w:rFonts w:ascii="仿宋_GB2312" w:hAnsi="仿宋_GB2312" w:eastAsia="仿宋_GB2312" w:cs="仿宋_GB2312"/>
        </w:rPr>
      </w:pPr>
    </w:p>
    <w:p w14:paraId="15BAE3F2">
      <w:pPr>
        <w:rPr>
          <w:rFonts w:ascii="仿宋_GB2312" w:hAnsi="仿宋_GB2312" w:eastAsia="仿宋_GB2312" w:cs="仿宋_GB2312"/>
          <w:sz w:val="32"/>
          <w:szCs w:val="32"/>
        </w:rPr>
      </w:pPr>
    </w:p>
    <w:p w14:paraId="3DC77150">
      <w:pPr>
        <w:pStyle w:val="19"/>
        <w:rPr>
          <w:rFonts w:ascii="仿宋_GB2312" w:hAnsi="仿宋_GB2312" w:eastAsia="仿宋_GB2312" w:cs="仿宋_GB2312"/>
        </w:rPr>
      </w:pPr>
    </w:p>
    <w:p w14:paraId="2752DEF5">
      <w:pPr>
        <w:rPr>
          <w:rFonts w:ascii="仿宋_GB2312" w:hAnsi="仿宋_GB2312" w:eastAsia="仿宋_GB2312" w:cs="仿宋_GB2312"/>
          <w:sz w:val="32"/>
          <w:szCs w:val="32"/>
        </w:rPr>
      </w:pPr>
    </w:p>
    <w:p w14:paraId="31402F20">
      <w:pPr>
        <w:pStyle w:val="19"/>
        <w:rPr>
          <w:rFonts w:ascii="仿宋_GB2312" w:hAnsi="仿宋_GB2312" w:eastAsia="仿宋_GB2312" w:cs="仿宋_GB2312"/>
        </w:rPr>
      </w:pPr>
    </w:p>
    <w:p w14:paraId="065CBB77">
      <w:pPr>
        <w:rPr>
          <w:rFonts w:ascii="仿宋_GB2312" w:hAnsi="仿宋_GB2312" w:eastAsia="仿宋_GB2312" w:cs="仿宋_GB2312"/>
          <w:sz w:val="32"/>
          <w:szCs w:val="32"/>
        </w:rPr>
      </w:pPr>
    </w:p>
    <w:p w14:paraId="2E9079BB">
      <w:pPr>
        <w:pStyle w:val="19"/>
        <w:rPr>
          <w:rFonts w:ascii="仿宋_GB2312" w:hAnsi="仿宋_GB2312" w:eastAsia="仿宋_GB2312" w:cs="仿宋_GB2312"/>
        </w:rPr>
      </w:pPr>
    </w:p>
    <w:p w14:paraId="779AC8EE">
      <w:pPr>
        <w:rPr>
          <w:rFonts w:ascii="仿宋_GB2312" w:hAnsi="仿宋_GB2312" w:eastAsia="仿宋_GB2312" w:cs="仿宋_GB2312"/>
          <w:sz w:val="32"/>
          <w:szCs w:val="32"/>
        </w:rPr>
      </w:pPr>
    </w:p>
    <w:p w14:paraId="081B560A">
      <w:pPr>
        <w:pStyle w:val="19"/>
        <w:rPr>
          <w:rFonts w:ascii="仿宋_GB2312" w:hAnsi="仿宋_GB2312" w:eastAsia="仿宋_GB2312" w:cs="仿宋_GB2312"/>
        </w:rPr>
      </w:pPr>
    </w:p>
    <w:p w14:paraId="1BC06F9D"/>
    <w:p w14:paraId="4086936E">
      <w:pPr>
        <w:spacing w:line="600" w:lineRule="exact"/>
        <w:jc w:val="center"/>
        <w:outlineLvl w:val="0"/>
        <w:rPr>
          <w:rStyle w:val="28"/>
          <w:rFonts w:ascii="黑体" w:hAnsi="黑体" w:eastAsia="黑体"/>
          <w:b w:val="0"/>
        </w:rPr>
      </w:pPr>
      <w:bookmarkStart w:id="59" w:name="_Toc15396618"/>
      <w:r>
        <w:rPr>
          <w:rFonts w:hint="eastAsia" w:ascii="黑体" w:hAnsi="黑体" w:eastAsia="黑体"/>
          <w:color w:val="000000"/>
          <w:sz w:val="44"/>
          <w:szCs w:val="44"/>
        </w:rPr>
        <w:t>第</w:t>
      </w:r>
      <w:r>
        <w:rPr>
          <w:rStyle w:val="28"/>
          <w:rFonts w:hint="eastAsia" w:ascii="黑体" w:hAnsi="黑体" w:eastAsia="黑体"/>
          <w:b w:val="0"/>
        </w:rPr>
        <w:t>五部分 附表</w:t>
      </w:r>
      <w:bookmarkEnd w:id="57"/>
      <w:bookmarkEnd w:id="59"/>
    </w:p>
    <w:p w14:paraId="05D2C20C">
      <w:pPr>
        <w:spacing w:line="600" w:lineRule="exact"/>
        <w:jc w:val="center"/>
        <w:outlineLvl w:val="0"/>
        <w:rPr>
          <w:rFonts w:ascii="仿宋" w:hAnsi="仿宋" w:eastAsia="仿宋"/>
          <w:b/>
          <w:color w:val="000000"/>
          <w:sz w:val="44"/>
          <w:szCs w:val="44"/>
        </w:rPr>
      </w:pPr>
    </w:p>
    <w:p w14:paraId="016B0D19">
      <w:pPr>
        <w:pStyle w:val="4"/>
        <w:rPr>
          <w:rFonts w:ascii="仿宋" w:hAnsi="仿宋" w:eastAsia="仿宋"/>
          <w:color w:val="000000"/>
        </w:rPr>
      </w:pPr>
      <w:bookmarkStart w:id="60" w:name="_Toc15396619"/>
      <w:r>
        <w:rPr>
          <w:rFonts w:hint="eastAsia" w:ascii="仿宋" w:hAnsi="仿宋" w:eastAsia="仿宋"/>
          <w:b w:val="0"/>
          <w:color w:val="000000"/>
        </w:rPr>
        <w:t>一、收</w:t>
      </w:r>
      <w:r>
        <w:rPr>
          <w:rStyle w:val="29"/>
          <w:rFonts w:hint="eastAsia" w:ascii="仿宋" w:hAnsi="仿宋" w:eastAsia="仿宋"/>
          <w:b w:val="0"/>
          <w:bCs w:val="0"/>
        </w:rPr>
        <w:t>入支出决算总表</w:t>
      </w:r>
      <w:bookmarkEnd w:id="60"/>
    </w:p>
    <w:p w14:paraId="02E2172E">
      <w:pPr>
        <w:pStyle w:val="4"/>
        <w:rPr>
          <w:rFonts w:ascii="仿宋" w:hAnsi="仿宋" w:eastAsia="仿宋"/>
          <w:color w:val="000000"/>
        </w:rPr>
      </w:pPr>
      <w:bookmarkStart w:id="61" w:name="_Toc15396620"/>
      <w:r>
        <w:rPr>
          <w:rFonts w:hint="eastAsia" w:ascii="仿宋" w:hAnsi="仿宋" w:eastAsia="仿宋"/>
          <w:b w:val="0"/>
          <w:color w:val="000000"/>
        </w:rPr>
        <w:t>二、收</w:t>
      </w:r>
      <w:r>
        <w:rPr>
          <w:rStyle w:val="29"/>
          <w:rFonts w:hint="eastAsia" w:ascii="仿宋" w:hAnsi="仿宋" w:eastAsia="仿宋"/>
          <w:b w:val="0"/>
          <w:bCs w:val="0"/>
        </w:rPr>
        <w:t>入决算表</w:t>
      </w:r>
      <w:bookmarkEnd w:id="61"/>
    </w:p>
    <w:p w14:paraId="36A001CD">
      <w:pPr>
        <w:pStyle w:val="4"/>
        <w:rPr>
          <w:rFonts w:ascii="仿宋" w:hAnsi="仿宋" w:eastAsia="仿宋"/>
          <w:color w:val="000000"/>
        </w:rPr>
      </w:pPr>
      <w:bookmarkStart w:id="62" w:name="_Toc15396621"/>
      <w:r>
        <w:rPr>
          <w:rStyle w:val="29"/>
          <w:rFonts w:hint="eastAsia" w:ascii="仿宋" w:hAnsi="仿宋" w:eastAsia="仿宋"/>
          <w:b w:val="0"/>
          <w:bCs w:val="0"/>
        </w:rPr>
        <w:t>三、</w:t>
      </w:r>
      <w:r>
        <w:rPr>
          <w:rFonts w:hint="eastAsia" w:ascii="仿宋" w:hAnsi="仿宋" w:eastAsia="仿宋"/>
          <w:b w:val="0"/>
          <w:color w:val="000000"/>
        </w:rPr>
        <w:t>支</w:t>
      </w:r>
      <w:r>
        <w:rPr>
          <w:rStyle w:val="29"/>
          <w:rFonts w:hint="eastAsia" w:ascii="仿宋" w:hAnsi="仿宋" w:eastAsia="仿宋"/>
          <w:b w:val="0"/>
          <w:bCs w:val="0"/>
        </w:rPr>
        <w:t>出决算表</w:t>
      </w:r>
      <w:bookmarkEnd w:id="62"/>
    </w:p>
    <w:p w14:paraId="3371DC64">
      <w:pPr>
        <w:pStyle w:val="4"/>
        <w:rPr>
          <w:rFonts w:ascii="仿宋" w:hAnsi="仿宋" w:eastAsia="仿宋"/>
          <w:b w:val="0"/>
          <w:color w:val="000000"/>
        </w:rPr>
      </w:pPr>
      <w:bookmarkStart w:id="63" w:name="_Toc15396622"/>
      <w:r>
        <w:rPr>
          <w:rStyle w:val="29"/>
          <w:rFonts w:hint="eastAsia" w:ascii="仿宋" w:hAnsi="仿宋" w:eastAsia="仿宋"/>
          <w:b w:val="0"/>
          <w:bCs w:val="0"/>
        </w:rPr>
        <w:t>四、</w:t>
      </w:r>
      <w:r>
        <w:rPr>
          <w:rFonts w:hint="eastAsia" w:ascii="仿宋" w:hAnsi="仿宋" w:eastAsia="仿宋"/>
          <w:b w:val="0"/>
          <w:color w:val="000000"/>
        </w:rPr>
        <w:t>财</w:t>
      </w:r>
      <w:r>
        <w:rPr>
          <w:rStyle w:val="29"/>
          <w:rFonts w:hint="eastAsia" w:ascii="仿宋" w:hAnsi="仿宋" w:eastAsia="仿宋"/>
          <w:b w:val="0"/>
          <w:bCs w:val="0"/>
        </w:rPr>
        <w:t>政拨款收入支出决算总表</w:t>
      </w:r>
      <w:bookmarkEnd w:id="63"/>
    </w:p>
    <w:p w14:paraId="3220BB6D">
      <w:pPr>
        <w:pStyle w:val="4"/>
        <w:rPr>
          <w:rStyle w:val="29"/>
          <w:rFonts w:ascii="仿宋" w:hAnsi="仿宋" w:eastAsia="仿宋"/>
          <w:b w:val="0"/>
          <w:bCs w:val="0"/>
        </w:rPr>
      </w:pPr>
      <w:bookmarkStart w:id="64" w:name="_Toc15396623"/>
      <w:r>
        <w:rPr>
          <w:rStyle w:val="29"/>
          <w:rFonts w:hint="eastAsia" w:ascii="仿宋" w:hAnsi="仿宋" w:eastAsia="仿宋"/>
          <w:b w:val="0"/>
          <w:bCs w:val="0"/>
        </w:rPr>
        <w:t>五、</w:t>
      </w:r>
      <w:r>
        <w:rPr>
          <w:rFonts w:hint="eastAsia" w:ascii="仿宋" w:hAnsi="仿宋" w:eastAsia="仿宋"/>
          <w:b w:val="0"/>
          <w:color w:val="000000"/>
        </w:rPr>
        <w:t>财</w:t>
      </w:r>
      <w:r>
        <w:rPr>
          <w:rStyle w:val="29"/>
          <w:rFonts w:hint="eastAsia" w:ascii="仿宋" w:hAnsi="仿宋" w:eastAsia="仿宋"/>
          <w:b w:val="0"/>
          <w:bCs w:val="0"/>
        </w:rPr>
        <w:t>政拨款支出决算明细表</w:t>
      </w:r>
      <w:bookmarkEnd w:id="64"/>
      <w:bookmarkStart w:id="65" w:name="_Toc15396624"/>
    </w:p>
    <w:p w14:paraId="2CC308EF">
      <w:pPr>
        <w:pStyle w:val="4"/>
        <w:rPr>
          <w:rFonts w:ascii="仿宋" w:hAnsi="仿宋" w:eastAsia="仿宋"/>
          <w:color w:val="000000"/>
        </w:rPr>
      </w:pPr>
      <w:r>
        <w:rPr>
          <w:rStyle w:val="29"/>
          <w:rFonts w:hint="eastAsia" w:ascii="仿宋" w:hAnsi="仿宋" w:eastAsia="仿宋"/>
          <w:b w:val="0"/>
          <w:bCs w:val="0"/>
        </w:rPr>
        <w:t>六、</w:t>
      </w:r>
      <w:r>
        <w:rPr>
          <w:rFonts w:hint="eastAsia" w:ascii="仿宋" w:hAnsi="仿宋" w:eastAsia="仿宋"/>
          <w:b w:val="0"/>
          <w:color w:val="000000"/>
        </w:rPr>
        <w:t>一</w:t>
      </w:r>
      <w:r>
        <w:rPr>
          <w:rStyle w:val="29"/>
          <w:rFonts w:hint="eastAsia" w:ascii="仿宋" w:hAnsi="仿宋" w:eastAsia="仿宋"/>
          <w:b w:val="0"/>
          <w:bCs w:val="0"/>
        </w:rPr>
        <w:t>般公共预算财政拨款支出决算表</w:t>
      </w:r>
      <w:bookmarkEnd w:id="65"/>
    </w:p>
    <w:p w14:paraId="513A857A">
      <w:pPr>
        <w:pStyle w:val="4"/>
        <w:rPr>
          <w:rFonts w:ascii="仿宋" w:hAnsi="仿宋" w:eastAsia="仿宋"/>
          <w:color w:val="000000"/>
        </w:rPr>
      </w:pPr>
      <w:bookmarkStart w:id="66" w:name="_Toc15396625"/>
      <w:r>
        <w:rPr>
          <w:rStyle w:val="29"/>
          <w:rFonts w:hint="eastAsia" w:ascii="仿宋" w:hAnsi="仿宋" w:eastAsia="仿宋"/>
          <w:b w:val="0"/>
          <w:bCs w:val="0"/>
        </w:rPr>
        <w:t>七、</w:t>
      </w:r>
      <w:r>
        <w:rPr>
          <w:rFonts w:hint="eastAsia" w:ascii="仿宋" w:hAnsi="仿宋" w:eastAsia="仿宋"/>
          <w:b w:val="0"/>
          <w:color w:val="000000"/>
        </w:rPr>
        <w:t>一</w:t>
      </w:r>
      <w:r>
        <w:rPr>
          <w:rStyle w:val="29"/>
          <w:rFonts w:hint="eastAsia" w:ascii="仿宋" w:hAnsi="仿宋" w:eastAsia="仿宋"/>
          <w:b w:val="0"/>
          <w:bCs w:val="0"/>
        </w:rPr>
        <w:t>般公共预算财政拨款支出决算明细表</w:t>
      </w:r>
      <w:bookmarkEnd w:id="66"/>
    </w:p>
    <w:p w14:paraId="4D1F6C31">
      <w:pPr>
        <w:pStyle w:val="4"/>
        <w:rPr>
          <w:rFonts w:ascii="仿宋" w:hAnsi="仿宋" w:eastAsia="仿宋"/>
          <w:color w:val="000000"/>
        </w:rPr>
      </w:pPr>
      <w:bookmarkStart w:id="67" w:name="_Toc15396626"/>
      <w:r>
        <w:rPr>
          <w:rStyle w:val="29"/>
          <w:rFonts w:hint="eastAsia" w:ascii="仿宋" w:hAnsi="仿宋" w:eastAsia="仿宋"/>
          <w:b w:val="0"/>
          <w:bCs w:val="0"/>
        </w:rPr>
        <w:t>八、</w:t>
      </w:r>
      <w:r>
        <w:rPr>
          <w:rFonts w:hint="eastAsia" w:ascii="仿宋" w:hAnsi="仿宋" w:eastAsia="仿宋"/>
          <w:b w:val="0"/>
          <w:color w:val="000000"/>
        </w:rPr>
        <w:t>一</w:t>
      </w:r>
      <w:r>
        <w:rPr>
          <w:rStyle w:val="29"/>
          <w:rFonts w:hint="eastAsia" w:ascii="仿宋" w:hAnsi="仿宋" w:eastAsia="仿宋"/>
          <w:b w:val="0"/>
          <w:bCs w:val="0"/>
        </w:rPr>
        <w:t>般公共预算财政拨款基本支出决算表</w:t>
      </w:r>
      <w:bookmarkEnd w:id="67"/>
    </w:p>
    <w:p w14:paraId="49866998">
      <w:pPr>
        <w:pStyle w:val="4"/>
        <w:rPr>
          <w:rFonts w:ascii="仿宋" w:hAnsi="仿宋" w:eastAsia="仿宋"/>
          <w:color w:val="000000"/>
        </w:rPr>
      </w:pPr>
      <w:bookmarkStart w:id="68" w:name="_Toc15396627"/>
      <w:r>
        <w:rPr>
          <w:rStyle w:val="29"/>
          <w:rFonts w:hint="eastAsia" w:ascii="仿宋" w:hAnsi="仿宋" w:eastAsia="仿宋"/>
          <w:b w:val="0"/>
          <w:bCs w:val="0"/>
        </w:rPr>
        <w:t>九、</w:t>
      </w:r>
      <w:r>
        <w:rPr>
          <w:rFonts w:hint="eastAsia" w:ascii="仿宋" w:hAnsi="仿宋" w:eastAsia="仿宋"/>
          <w:b w:val="0"/>
          <w:color w:val="000000"/>
        </w:rPr>
        <w:t>一</w:t>
      </w:r>
      <w:r>
        <w:rPr>
          <w:rStyle w:val="29"/>
          <w:rFonts w:hint="eastAsia" w:ascii="仿宋" w:hAnsi="仿宋" w:eastAsia="仿宋"/>
          <w:b w:val="0"/>
          <w:bCs w:val="0"/>
        </w:rPr>
        <w:t>般公共预算财政拨款项目支出决算表</w:t>
      </w:r>
      <w:bookmarkEnd w:id="68"/>
    </w:p>
    <w:p w14:paraId="448DC53C">
      <w:pPr>
        <w:pStyle w:val="4"/>
        <w:rPr>
          <w:rFonts w:ascii="仿宋" w:hAnsi="仿宋" w:eastAsia="仿宋"/>
          <w:color w:val="000000"/>
        </w:rPr>
      </w:pPr>
      <w:bookmarkStart w:id="69" w:name="_Toc15396628"/>
      <w:r>
        <w:rPr>
          <w:rStyle w:val="29"/>
          <w:rFonts w:hint="eastAsia" w:ascii="仿宋" w:hAnsi="仿宋" w:eastAsia="仿宋"/>
          <w:b w:val="0"/>
          <w:bCs w:val="0"/>
        </w:rPr>
        <w:t>十、</w:t>
      </w:r>
      <w:r>
        <w:rPr>
          <w:rFonts w:hint="eastAsia" w:ascii="仿宋" w:hAnsi="仿宋" w:eastAsia="仿宋"/>
          <w:b w:val="0"/>
          <w:color w:val="000000"/>
        </w:rPr>
        <w:t>一</w:t>
      </w:r>
      <w:r>
        <w:rPr>
          <w:rStyle w:val="29"/>
          <w:rFonts w:hint="eastAsia" w:ascii="仿宋" w:hAnsi="仿宋" w:eastAsia="仿宋"/>
          <w:b w:val="0"/>
          <w:bCs w:val="0"/>
        </w:rPr>
        <w:t>般公共预算财政拨款“三公”经费支出决算表</w:t>
      </w:r>
      <w:bookmarkEnd w:id="69"/>
    </w:p>
    <w:p w14:paraId="0DD4608C">
      <w:pPr>
        <w:pStyle w:val="4"/>
        <w:rPr>
          <w:rFonts w:ascii="仿宋" w:hAnsi="仿宋" w:eastAsia="仿宋"/>
          <w:color w:val="000000"/>
        </w:rPr>
      </w:pPr>
      <w:bookmarkStart w:id="70" w:name="_Toc15396629"/>
      <w:r>
        <w:rPr>
          <w:rStyle w:val="29"/>
          <w:rFonts w:hint="eastAsia" w:ascii="仿宋" w:hAnsi="仿宋" w:eastAsia="仿宋"/>
          <w:b w:val="0"/>
          <w:bCs w:val="0"/>
        </w:rPr>
        <w:t>十一、</w:t>
      </w:r>
      <w:r>
        <w:rPr>
          <w:rFonts w:hint="eastAsia" w:ascii="仿宋" w:hAnsi="仿宋" w:eastAsia="仿宋"/>
          <w:b w:val="0"/>
          <w:color w:val="000000"/>
        </w:rPr>
        <w:t>政</w:t>
      </w:r>
      <w:r>
        <w:rPr>
          <w:rStyle w:val="29"/>
          <w:rFonts w:hint="eastAsia" w:ascii="仿宋" w:hAnsi="仿宋" w:eastAsia="仿宋"/>
          <w:b w:val="0"/>
          <w:bCs w:val="0"/>
        </w:rPr>
        <w:t>府性基金预算财政拨款收入支出决算表</w:t>
      </w:r>
      <w:bookmarkEnd w:id="70"/>
    </w:p>
    <w:p w14:paraId="278894DB">
      <w:pPr>
        <w:pStyle w:val="4"/>
        <w:rPr>
          <w:rFonts w:ascii="仿宋" w:hAnsi="仿宋" w:eastAsia="仿宋"/>
          <w:color w:val="000000"/>
        </w:rPr>
      </w:pPr>
      <w:bookmarkStart w:id="71" w:name="_Toc15396630"/>
      <w:r>
        <w:rPr>
          <w:rStyle w:val="29"/>
          <w:rFonts w:hint="eastAsia" w:ascii="仿宋" w:hAnsi="仿宋" w:eastAsia="仿宋"/>
          <w:b w:val="0"/>
          <w:bCs w:val="0"/>
        </w:rPr>
        <w:t>十二、</w:t>
      </w:r>
      <w:r>
        <w:rPr>
          <w:rFonts w:hint="eastAsia" w:ascii="仿宋" w:hAnsi="仿宋" w:eastAsia="仿宋"/>
          <w:b w:val="0"/>
          <w:color w:val="000000"/>
        </w:rPr>
        <w:t>政</w:t>
      </w:r>
      <w:r>
        <w:rPr>
          <w:rStyle w:val="29"/>
          <w:rFonts w:hint="eastAsia" w:ascii="仿宋" w:hAnsi="仿宋" w:eastAsia="仿宋"/>
          <w:b w:val="0"/>
          <w:bCs w:val="0"/>
        </w:rPr>
        <w:t>府性基金预算财政拨款“三公”经费支出决算表</w:t>
      </w:r>
      <w:bookmarkEnd w:id="71"/>
    </w:p>
    <w:p w14:paraId="3DC35FAA">
      <w:pPr>
        <w:pStyle w:val="4"/>
        <w:rPr>
          <w:rFonts w:ascii="仿宋" w:hAnsi="仿宋" w:eastAsia="仿宋"/>
          <w:color w:val="000000" w:themeColor="text1"/>
        </w:rPr>
      </w:pPr>
      <w:bookmarkStart w:id="72" w:name="_Toc15396631"/>
      <w:r>
        <w:rPr>
          <w:rStyle w:val="29"/>
          <w:rFonts w:hint="eastAsia" w:ascii="仿宋" w:hAnsi="仿宋" w:eastAsia="仿宋"/>
          <w:b w:val="0"/>
          <w:bCs w:val="0"/>
        </w:rPr>
        <w:t>十三、</w:t>
      </w:r>
      <w:r>
        <w:rPr>
          <w:rFonts w:hint="eastAsia" w:ascii="仿宋" w:hAnsi="仿宋" w:eastAsia="仿宋"/>
          <w:b w:val="0"/>
          <w:color w:val="000000"/>
        </w:rPr>
        <w:t>国</w:t>
      </w:r>
      <w:r>
        <w:rPr>
          <w:rStyle w:val="29"/>
          <w:rFonts w:hint="eastAsia" w:ascii="仿宋" w:hAnsi="仿宋" w:eastAsia="仿宋"/>
          <w:b w:val="0"/>
          <w:bCs w:val="0"/>
        </w:rPr>
        <w:t>有资本经营预算支出决算表</w:t>
      </w:r>
      <w:bookmarkEnd w:id="7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2232EA79">
        <w:pPr>
          <w:pStyle w:val="9"/>
          <w:jc w:val="center"/>
        </w:pPr>
        <w:r>
          <w:fldChar w:fldCharType="begin"/>
        </w:r>
        <w:r>
          <w:instrText xml:space="preserve">PAGE   \* MERGEFORMAT</w:instrText>
        </w:r>
        <w:r>
          <w:fldChar w:fldCharType="separate"/>
        </w:r>
        <w:r>
          <w:rPr>
            <w:lang w:val="zh-CN"/>
          </w:rPr>
          <w:t>2</w:t>
        </w:r>
        <w:r>
          <w:fldChar w:fldCharType="end"/>
        </w:r>
      </w:p>
    </w:sdtContent>
  </w:sdt>
  <w:p w14:paraId="1659D86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48DA6">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2F19F88"/>
    <w:multiLevelType w:val="singleLevel"/>
    <w:tmpl w:val="D2F19F88"/>
    <w:lvl w:ilvl="0" w:tentative="0">
      <w:start w:val="2"/>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F84F53BA"/>
    <w:multiLevelType w:val="singleLevel"/>
    <w:tmpl w:val="F84F53BA"/>
    <w:lvl w:ilvl="0" w:tentative="0">
      <w:start w:val="1"/>
      <w:numFmt w:val="decimal"/>
      <w:lvlText w:val="%1."/>
      <w:lvlJc w:val="left"/>
      <w:pPr>
        <w:tabs>
          <w:tab w:val="left" w:pos="312"/>
        </w:tabs>
      </w:pPr>
    </w:lvl>
  </w:abstractNum>
  <w:abstractNum w:abstractNumId="4">
    <w:nsid w:val="FF88B4FB"/>
    <w:multiLevelType w:val="singleLevel"/>
    <w:tmpl w:val="FF88B4FB"/>
    <w:lvl w:ilvl="0" w:tentative="0">
      <w:start w:val="2"/>
      <w:numFmt w:val="chineseCounting"/>
      <w:suff w:val="nothing"/>
      <w:lvlText w:val="（%1）"/>
      <w:lvlJc w:val="left"/>
      <w:rPr>
        <w:rFonts w:hint="eastAsia"/>
      </w:rPr>
    </w:lvl>
  </w:abstractNum>
  <w:abstractNum w:abstractNumId="5">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632AC9EE"/>
    <w:multiLevelType w:val="singleLevel"/>
    <w:tmpl w:val="632AC9EE"/>
    <w:lvl w:ilvl="0" w:tentative="0">
      <w:start w:val="1"/>
      <w:numFmt w:val="decimal"/>
      <w:suff w:val="nothing"/>
      <w:lvlText w:val="%1."/>
      <w:lvlJc w:val="left"/>
    </w:lvl>
  </w:abstractNum>
  <w:num w:numId="1">
    <w:abstractNumId w:val="5"/>
  </w:num>
  <w:num w:numId="2">
    <w:abstractNumId w:val="3"/>
  </w:num>
  <w:num w:numId="3">
    <w:abstractNumId w:val="6"/>
  </w:num>
  <w:num w:numId="4">
    <w:abstractNumId w:val="0"/>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GZiOGM2Y2JhOWZkOWI1ZWNjMmEwOWI5NDFmYjgyMT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DDC"/>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8602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AF37A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DF7548"/>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866"/>
    <w:rsid w:val="00F81FD9"/>
    <w:rsid w:val="00F841AA"/>
    <w:rsid w:val="00F84A94"/>
    <w:rsid w:val="00F87E96"/>
    <w:rsid w:val="00FA23E8"/>
    <w:rsid w:val="00FD3CC1"/>
    <w:rsid w:val="00FF1E02"/>
    <w:rsid w:val="00FF30B4"/>
    <w:rsid w:val="0136726A"/>
    <w:rsid w:val="024C3664"/>
    <w:rsid w:val="02B4125C"/>
    <w:rsid w:val="04086A19"/>
    <w:rsid w:val="056E3804"/>
    <w:rsid w:val="05CA09F3"/>
    <w:rsid w:val="05D241D5"/>
    <w:rsid w:val="06907106"/>
    <w:rsid w:val="069D574E"/>
    <w:rsid w:val="06B70CE4"/>
    <w:rsid w:val="090B2324"/>
    <w:rsid w:val="0B253795"/>
    <w:rsid w:val="0B551738"/>
    <w:rsid w:val="0BC16475"/>
    <w:rsid w:val="0C117A5C"/>
    <w:rsid w:val="0C436651"/>
    <w:rsid w:val="0C8B79B6"/>
    <w:rsid w:val="0DB169FB"/>
    <w:rsid w:val="0E351966"/>
    <w:rsid w:val="0ED72813"/>
    <w:rsid w:val="0FDA7A93"/>
    <w:rsid w:val="101B1072"/>
    <w:rsid w:val="10540742"/>
    <w:rsid w:val="10C055FF"/>
    <w:rsid w:val="11995749"/>
    <w:rsid w:val="11BB7345"/>
    <w:rsid w:val="1276297B"/>
    <w:rsid w:val="1349616A"/>
    <w:rsid w:val="13F4130E"/>
    <w:rsid w:val="14CB1E0D"/>
    <w:rsid w:val="16BB723D"/>
    <w:rsid w:val="176A606F"/>
    <w:rsid w:val="17E94628"/>
    <w:rsid w:val="193513DC"/>
    <w:rsid w:val="19E057EE"/>
    <w:rsid w:val="1A005DC5"/>
    <w:rsid w:val="1A3E4ED9"/>
    <w:rsid w:val="1B1A0F20"/>
    <w:rsid w:val="1B915234"/>
    <w:rsid w:val="1BCA213F"/>
    <w:rsid w:val="1C0C7518"/>
    <w:rsid w:val="1C21053B"/>
    <w:rsid w:val="1C4D66BD"/>
    <w:rsid w:val="1DEC06DB"/>
    <w:rsid w:val="1E814D5E"/>
    <w:rsid w:val="1FF536C7"/>
    <w:rsid w:val="21F505EC"/>
    <w:rsid w:val="220B0A1A"/>
    <w:rsid w:val="23B514BF"/>
    <w:rsid w:val="240371BF"/>
    <w:rsid w:val="261112AE"/>
    <w:rsid w:val="2631444E"/>
    <w:rsid w:val="27C039C0"/>
    <w:rsid w:val="282071A7"/>
    <w:rsid w:val="282168D8"/>
    <w:rsid w:val="28F00C25"/>
    <w:rsid w:val="29CA72A7"/>
    <w:rsid w:val="29FD04D3"/>
    <w:rsid w:val="2AA656C9"/>
    <w:rsid w:val="2B2E5CBA"/>
    <w:rsid w:val="2B6075D4"/>
    <w:rsid w:val="2BDE5E63"/>
    <w:rsid w:val="2C4B716B"/>
    <w:rsid w:val="2DBC32DC"/>
    <w:rsid w:val="30992391"/>
    <w:rsid w:val="30B64615"/>
    <w:rsid w:val="31437715"/>
    <w:rsid w:val="319F7F4E"/>
    <w:rsid w:val="324E276E"/>
    <w:rsid w:val="32A31778"/>
    <w:rsid w:val="346030D1"/>
    <w:rsid w:val="34C47508"/>
    <w:rsid w:val="35E769FE"/>
    <w:rsid w:val="36B13188"/>
    <w:rsid w:val="37724A12"/>
    <w:rsid w:val="37A02A9D"/>
    <w:rsid w:val="37E60E64"/>
    <w:rsid w:val="385C198C"/>
    <w:rsid w:val="387F2DCD"/>
    <w:rsid w:val="391746F4"/>
    <w:rsid w:val="3ABA27E0"/>
    <w:rsid w:val="3BEE1BDC"/>
    <w:rsid w:val="3C7B22CD"/>
    <w:rsid w:val="3C807820"/>
    <w:rsid w:val="3DE47B36"/>
    <w:rsid w:val="3E235797"/>
    <w:rsid w:val="3E7A5CEB"/>
    <w:rsid w:val="3F054572"/>
    <w:rsid w:val="407A44CC"/>
    <w:rsid w:val="40BC06B5"/>
    <w:rsid w:val="40DC79E9"/>
    <w:rsid w:val="41394A93"/>
    <w:rsid w:val="41967BDA"/>
    <w:rsid w:val="42815659"/>
    <w:rsid w:val="45624EED"/>
    <w:rsid w:val="46E00577"/>
    <w:rsid w:val="46E70E24"/>
    <w:rsid w:val="475A02BE"/>
    <w:rsid w:val="486F5D8C"/>
    <w:rsid w:val="48A25CA3"/>
    <w:rsid w:val="48C72D96"/>
    <w:rsid w:val="4B040426"/>
    <w:rsid w:val="4B487A4B"/>
    <w:rsid w:val="4E3A570C"/>
    <w:rsid w:val="4E5C446E"/>
    <w:rsid w:val="4ECE2238"/>
    <w:rsid w:val="4F99292C"/>
    <w:rsid w:val="50F47FDF"/>
    <w:rsid w:val="51267248"/>
    <w:rsid w:val="512E5B88"/>
    <w:rsid w:val="52FF33FB"/>
    <w:rsid w:val="537946C2"/>
    <w:rsid w:val="537C7357"/>
    <w:rsid w:val="53AE4836"/>
    <w:rsid w:val="53C43526"/>
    <w:rsid w:val="53D10299"/>
    <w:rsid w:val="54FB4AB7"/>
    <w:rsid w:val="552B0CD2"/>
    <w:rsid w:val="56911EA5"/>
    <w:rsid w:val="570A171B"/>
    <w:rsid w:val="59193FB4"/>
    <w:rsid w:val="598F59D2"/>
    <w:rsid w:val="5A776C3C"/>
    <w:rsid w:val="5C0C1851"/>
    <w:rsid w:val="5F7060B6"/>
    <w:rsid w:val="604119A5"/>
    <w:rsid w:val="61844CFE"/>
    <w:rsid w:val="61C03739"/>
    <w:rsid w:val="62232646"/>
    <w:rsid w:val="64CF76B1"/>
    <w:rsid w:val="64DE2BFA"/>
    <w:rsid w:val="64EB025F"/>
    <w:rsid w:val="65852175"/>
    <w:rsid w:val="671F3C8B"/>
    <w:rsid w:val="67210CA1"/>
    <w:rsid w:val="68872B9E"/>
    <w:rsid w:val="69331BD3"/>
    <w:rsid w:val="69437E33"/>
    <w:rsid w:val="6A307E21"/>
    <w:rsid w:val="6A7D13D4"/>
    <w:rsid w:val="6AB03582"/>
    <w:rsid w:val="6AC82383"/>
    <w:rsid w:val="6AF64073"/>
    <w:rsid w:val="6B305835"/>
    <w:rsid w:val="6B321764"/>
    <w:rsid w:val="6B5B75E3"/>
    <w:rsid w:val="6C2F3DE2"/>
    <w:rsid w:val="6C77466F"/>
    <w:rsid w:val="6CCE3F9D"/>
    <w:rsid w:val="6D003E84"/>
    <w:rsid w:val="6DB024AF"/>
    <w:rsid w:val="6E864AEB"/>
    <w:rsid w:val="6EE4196A"/>
    <w:rsid w:val="6F586C72"/>
    <w:rsid w:val="6FCE7A33"/>
    <w:rsid w:val="71147A8D"/>
    <w:rsid w:val="72734D90"/>
    <w:rsid w:val="730A5931"/>
    <w:rsid w:val="764913A8"/>
    <w:rsid w:val="767B1AD3"/>
    <w:rsid w:val="77243521"/>
    <w:rsid w:val="788172EE"/>
    <w:rsid w:val="79245EC4"/>
    <w:rsid w:val="7D8A7B0C"/>
    <w:rsid w:val="7FBD3C10"/>
    <w:rsid w:val="7FC2262B"/>
    <w:rsid w:val="7FC45A7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2">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1"/>
    <w:qFormat/>
    <w:uiPriority w:val="0"/>
    <w:pPr>
      <w:spacing w:after="120"/>
      <w:ind w:left="420" w:leftChars="200"/>
    </w:p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2"/>
    <w:basedOn w:val="6"/>
    <w:next w:val="7"/>
    <w:qFormat/>
    <w:uiPriority w:val="0"/>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TOC 标题1"/>
    <w:basedOn w:val="3"/>
    <w:next w:val="1"/>
    <w:qFormat/>
    <w:uiPriority w:val="39"/>
    <w:pPr>
      <w:spacing w:before="480" w:after="0" w:line="276" w:lineRule="auto"/>
      <w:outlineLvl w:val="9"/>
    </w:pPr>
    <w:rPr>
      <w:rFonts w:ascii="仿宋" w:hAnsi="仿宋" w:eastAsia="仿宋"/>
      <w:color w:val="000000"/>
      <w:kern w:val="0"/>
      <w:sz w:val="32"/>
      <w:szCs w:val="32"/>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7">
    <w:name w:val="列表段落1"/>
    <w:basedOn w:val="1"/>
    <w:qFormat/>
    <w:uiPriority w:val="34"/>
    <w:pPr>
      <w:ind w:firstLine="420" w:firstLineChars="200"/>
    </w:pPr>
  </w:style>
  <w:style w:type="character" w:customStyle="1" w:styleId="28">
    <w:name w:val="标题 1 字符"/>
    <w:basedOn w:val="16"/>
    <w:link w:val="3"/>
    <w:qFormat/>
    <w:uiPriority w:val="9"/>
    <w:rPr>
      <w:rFonts w:ascii="Times New Roman" w:hAnsi="Times New Roman"/>
      <w:b/>
      <w:bCs/>
      <w:kern w:val="44"/>
      <w:sz w:val="44"/>
      <w:szCs w:val="44"/>
    </w:rPr>
  </w:style>
  <w:style w:type="character" w:customStyle="1" w:styleId="29">
    <w:name w:val="标题 2 字符"/>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字符"/>
    <w:basedOn w:val="16"/>
    <w:link w:val="8"/>
    <w:semiHidden/>
    <w:qFormat/>
    <w:uiPriority w:val="99"/>
    <w:rPr>
      <w:rFonts w:ascii="Times New Roman" w:hAnsi="Times New Roman"/>
      <w:kern w:val="2"/>
      <w:sz w:val="18"/>
      <w:szCs w:val="18"/>
    </w:rPr>
  </w:style>
  <w:style w:type="character" w:customStyle="1" w:styleId="32">
    <w:name w:val="标题 3 字符"/>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FA5C-FBC4-4E0C-90C9-F7AB8D53FD89}">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29</Pages>
  <Words>11335</Words>
  <Characters>12379</Characters>
  <Lines>90</Lines>
  <Paragraphs>25</Paragraphs>
  <TotalTime>0</TotalTime>
  <ScaleCrop>false</ScaleCrop>
  <LinksUpToDate>false</LinksUpToDate>
  <CharactersWithSpaces>12499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对影成三人</cp:lastModifiedBy>
  <cp:lastPrinted>2020-07-23T02:58:00Z</cp:lastPrinted>
  <dcterms:modified xsi:type="dcterms:W3CDTF">2026-09-15T08:47:42Z</dcterms:modified>
  <dc:title>四川省***</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3DD69950582244FC9F06A40BCB5F60E8</vt:lpwstr>
  </property>
  <property fmtid="{D5CDD505-2E9C-101B-9397-08002B2CF9AE}" pid="4" name="KSOTemplateDocerSaveRecord">
    <vt:lpwstr>eyJoZGlkIjoiYjA1ZDg3Y2Y1MzJlNDVjZjA5NTk4YjViYTliYmM3NTYiLCJ1c2VySWQiOiIyNDIyNDYwNDUifQ==</vt:lpwstr>
  </property>
</Properties>
</file>