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68F0F4">
      <w:pPr>
        <w:spacing w:line="600" w:lineRule="exact"/>
        <w:jc w:val="both"/>
        <w:outlineLvl w:val="0"/>
        <w:rPr>
          <w:rFonts w:ascii="方正小标宋简体" w:hAnsi="宋体" w:eastAsia="方正小标宋简体"/>
          <w:color w:val="000000"/>
          <w:sz w:val="72"/>
          <w:szCs w:val="72"/>
        </w:rPr>
      </w:pPr>
      <w:bookmarkStart w:id="0" w:name="_Toc15306267"/>
    </w:p>
    <w:bookmarkEnd w:id="0"/>
    <w:p w14:paraId="69CA4311">
      <w:pPr>
        <w:pStyle w:val="42"/>
        <w:keepNext w:val="0"/>
        <w:keepLines w:val="0"/>
        <w:widowControl/>
        <w:suppressLineNumbers w:val="0"/>
        <w:spacing w:before="0" w:beforeAutospacing="0"/>
        <w:ind w:left="0"/>
        <w:jc w:val="center"/>
        <w:rPr>
          <w:rFonts w:hint="eastAsia" w:ascii="宋体" w:hAnsi="宋体" w:eastAsia="宋体" w:cs="宋体"/>
          <w:b/>
          <w:bCs/>
          <w:kern w:val="0"/>
          <w:sz w:val="24"/>
          <w:szCs w:val="24"/>
        </w:rPr>
      </w:pPr>
      <w:bookmarkStart w:id="1" w:name="_Toc15377196"/>
      <w:bookmarkStart w:id="2" w:name="_Toc15396599"/>
      <w:r>
        <w:rPr>
          <w:rFonts w:hint="eastAsia" w:ascii="宋体" w:hAnsi="宋体" w:eastAsia="宋体" w:cs="宋体"/>
          <w:b/>
          <w:bCs/>
          <w:kern w:val="0"/>
          <w:sz w:val="42"/>
          <w:szCs w:val="42"/>
          <w:shd w:val="clear" w:fill="FFFFFF"/>
        </w:rPr>
        <w:t>2022年度</w:t>
      </w:r>
    </w:p>
    <w:p w14:paraId="393438C7">
      <w:pPr>
        <w:pStyle w:val="42"/>
        <w:keepNext w:val="0"/>
        <w:keepLines w:val="0"/>
        <w:widowControl/>
        <w:suppressLineNumbers w:val="0"/>
        <w:spacing w:before="0" w:beforeAutospacing="0"/>
        <w:ind w:left="0"/>
        <w:jc w:val="center"/>
        <w:rPr>
          <w:rFonts w:hint="eastAsia" w:ascii="宋体" w:hAnsi="宋体" w:eastAsia="宋体" w:cs="宋体"/>
          <w:b/>
          <w:bCs/>
          <w:kern w:val="0"/>
          <w:sz w:val="24"/>
          <w:szCs w:val="24"/>
        </w:rPr>
      </w:pPr>
      <w:r>
        <w:rPr>
          <w:rFonts w:hint="eastAsia" w:ascii="宋体" w:hAnsi="宋体" w:eastAsia="宋体" w:cs="宋体"/>
          <w:b/>
          <w:bCs/>
          <w:kern w:val="0"/>
          <w:sz w:val="42"/>
          <w:szCs w:val="42"/>
          <w:shd w:val="clear" w:fill="FFFFFF"/>
        </w:rPr>
        <w:t>阿坝州松潘县川主寺镇人民政府单位决算</w:t>
      </w:r>
    </w:p>
    <w:p w14:paraId="5521F888">
      <w:pPr>
        <w:pStyle w:val="42"/>
        <w:keepNext w:val="0"/>
        <w:keepLines w:val="0"/>
        <w:widowControl/>
        <w:suppressLineNumbers w:val="0"/>
        <w:spacing w:before="0" w:beforeAutospacing="0"/>
        <w:ind w:left="0"/>
        <w:jc w:val="center"/>
        <w:rPr>
          <w:rFonts w:hint="eastAsia" w:ascii="宋体" w:hAnsi="宋体" w:eastAsia="宋体" w:cs="宋体"/>
          <w:b/>
          <w:bCs/>
          <w:kern w:val="0"/>
          <w:sz w:val="24"/>
          <w:szCs w:val="24"/>
        </w:rPr>
      </w:pPr>
      <w:r>
        <w:rPr>
          <w:rFonts w:hint="eastAsia" w:cs="宋体"/>
          <w:b/>
          <w:bCs/>
          <w:kern w:val="0"/>
          <w:sz w:val="42"/>
          <w:szCs w:val="42"/>
          <w:shd w:val="clear" w:fill="FFFFFF"/>
          <w:lang w:eastAsia="zh-CN"/>
        </w:rPr>
        <w:t>（</w:t>
      </w:r>
      <w:r>
        <w:rPr>
          <w:rFonts w:hint="eastAsia" w:ascii="宋体" w:hAnsi="宋体" w:eastAsia="宋体" w:cs="宋体"/>
          <w:b/>
          <w:bCs/>
          <w:kern w:val="0"/>
          <w:sz w:val="42"/>
          <w:szCs w:val="42"/>
          <w:shd w:val="clear" w:fill="FFFFFF"/>
        </w:rPr>
        <w:t>单位公开范本</w:t>
      </w:r>
      <w:r>
        <w:rPr>
          <w:rFonts w:hint="eastAsia" w:cs="宋体"/>
          <w:b/>
          <w:bCs/>
          <w:kern w:val="0"/>
          <w:sz w:val="42"/>
          <w:szCs w:val="42"/>
          <w:shd w:val="clear" w:fill="FFFFFF"/>
          <w:lang w:eastAsia="zh-CN"/>
        </w:rPr>
        <w:t>）</w:t>
      </w:r>
    </w:p>
    <w:p w14:paraId="5D84741B">
      <w:pPr>
        <w:pStyle w:val="42"/>
        <w:keepNext w:val="0"/>
        <w:keepLines w:val="0"/>
        <w:widowControl/>
        <w:suppressLineNumbers w:val="0"/>
        <w:spacing w:before="0" w:beforeAutospacing="0"/>
        <w:ind w:left="0"/>
        <w:jc w:val="center"/>
        <w:rPr>
          <w:rFonts w:hint="eastAsia" w:ascii="宋体" w:hAnsi="宋体" w:eastAsia="宋体" w:cs="宋体"/>
          <w:kern w:val="0"/>
          <w:sz w:val="24"/>
          <w:szCs w:val="24"/>
        </w:rPr>
      </w:pPr>
      <w:r>
        <w:rPr>
          <w:rFonts w:hint="eastAsia" w:ascii="宋体" w:hAnsi="宋体" w:eastAsia="宋体" w:cs="宋体"/>
          <w:kern w:val="0"/>
          <w:sz w:val="24"/>
          <w:szCs w:val="24"/>
          <w:shd w:val="clear" w:fill="FFFFFF"/>
        </w:rPr>
        <w:t xml:space="preserve"> </w:t>
      </w:r>
    </w:p>
    <w:p w14:paraId="0D72DB56">
      <w:pPr>
        <w:pStyle w:val="42"/>
        <w:keepNext w:val="0"/>
        <w:keepLines w:val="0"/>
        <w:widowControl/>
        <w:suppressLineNumbers w:val="0"/>
        <w:spacing w:before="0" w:beforeAutospacing="0"/>
        <w:ind w:left="0"/>
        <w:jc w:val="center"/>
        <w:rPr>
          <w:rFonts w:hint="eastAsia" w:ascii="宋体" w:hAnsi="宋体" w:eastAsia="宋体" w:cs="宋体"/>
          <w:kern w:val="0"/>
          <w:sz w:val="24"/>
          <w:szCs w:val="24"/>
        </w:rPr>
      </w:pPr>
      <w:r>
        <w:rPr>
          <w:rFonts w:hint="eastAsia" w:ascii="宋体" w:hAnsi="宋体" w:eastAsia="宋体" w:cs="宋体"/>
          <w:kern w:val="0"/>
          <w:sz w:val="24"/>
          <w:szCs w:val="24"/>
          <w:shd w:val="clear" w:fill="FFFFFF"/>
        </w:rPr>
        <w:t xml:space="preserve"> </w:t>
      </w:r>
    </w:p>
    <w:p w14:paraId="3D2F24BF">
      <w:pPr>
        <w:pStyle w:val="42"/>
        <w:keepNext w:val="0"/>
        <w:keepLines w:val="0"/>
        <w:widowControl/>
        <w:suppressLineNumbers w:val="0"/>
        <w:spacing w:before="0" w:beforeAutospacing="0"/>
        <w:ind w:left="0"/>
        <w:jc w:val="center"/>
        <w:rPr>
          <w:rFonts w:hint="eastAsia" w:ascii="宋体" w:hAnsi="宋体" w:eastAsia="宋体" w:cs="宋体"/>
          <w:kern w:val="0"/>
          <w:sz w:val="24"/>
          <w:szCs w:val="24"/>
        </w:rPr>
      </w:pPr>
      <w:r>
        <w:rPr>
          <w:rFonts w:hint="eastAsia" w:ascii="宋体" w:hAnsi="宋体" w:eastAsia="宋体" w:cs="宋体"/>
          <w:kern w:val="0"/>
          <w:sz w:val="24"/>
          <w:szCs w:val="24"/>
          <w:shd w:val="clear" w:fill="FFFFFF"/>
        </w:rPr>
        <w:t xml:space="preserve"> </w:t>
      </w:r>
    </w:p>
    <w:p w14:paraId="0CBA2879">
      <w:pPr>
        <w:pStyle w:val="42"/>
        <w:keepNext w:val="0"/>
        <w:keepLines w:val="0"/>
        <w:widowControl/>
        <w:suppressLineNumbers w:val="0"/>
        <w:spacing w:before="0" w:beforeAutospacing="0"/>
        <w:ind w:left="0"/>
        <w:jc w:val="center"/>
        <w:rPr>
          <w:rFonts w:hint="eastAsia" w:ascii="宋体" w:hAnsi="宋体" w:eastAsia="宋体" w:cs="宋体"/>
          <w:kern w:val="0"/>
          <w:sz w:val="24"/>
          <w:szCs w:val="24"/>
        </w:rPr>
      </w:pPr>
      <w:r>
        <w:rPr>
          <w:rFonts w:hint="eastAsia" w:ascii="宋体" w:hAnsi="宋体" w:eastAsia="宋体" w:cs="宋体"/>
          <w:kern w:val="0"/>
          <w:sz w:val="24"/>
          <w:szCs w:val="24"/>
          <w:shd w:val="clear" w:fill="FFFFFF"/>
        </w:rPr>
        <w:t xml:space="preserve"> </w:t>
      </w:r>
    </w:p>
    <w:p w14:paraId="467697B0">
      <w:pPr>
        <w:pStyle w:val="42"/>
        <w:keepNext w:val="0"/>
        <w:keepLines w:val="0"/>
        <w:widowControl/>
        <w:suppressLineNumbers w:val="0"/>
        <w:spacing w:before="0" w:beforeAutospacing="0"/>
        <w:ind w:left="0"/>
        <w:jc w:val="center"/>
        <w:rPr>
          <w:rFonts w:hint="eastAsia" w:ascii="宋体" w:hAnsi="宋体" w:eastAsia="宋体" w:cs="宋体"/>
          <w:kern w:val="0"/>
          <w:sz w:val="24"/>
          <w:szCs w:val="24"/>
        </w:rPr>
      </w:pPr>
      <w:r>
        <w:rPr>
          <w:rFonts w:hint="eastAsia" w:ascii="宋体" w:hAnsi="宋体" w:eastAsia="宋体" w:cs="宋体"/>
          <w:kern w:val="0"/>
          <w:sz w:val="24"/>
          <w:szCs w:val="24"/>
          <w:shd w:val="clear" w:fill="FFFFFF"/>
        </w:rPr>
        <w:t xml:space="preserve"> </w:t>
      </w:r>
    </w:p>
    <w:p w14:paraId="7FD6EB9C">
      <w:pPr>
        <w:pStyle w:val="42"/>
        <w:keepNext w:val="0"/>
        <w:keepLines w:val="0"/>
        <w:widowControl/>
        <w:suppressLineNumbers w:val="0"/>
        <w:spacing w:before="0" w:beforeAutospacing="0"/>
        <w:ind w:left="0"/>
        <w:jc w:val="center"/>
        <w:rPr>
          <w:rFonts w:hint="eastAsia" w:ascii="宋体" w:hAnsi="宋体" w:eastAsia="宋体" w:cs="宋体"/>
          <w:kern w:val="0"/>
          <w:sz w:val="24"/>
          <w:szCs w:val="24"/>
        </w:rPr>
      </w:pPr>
      <w:r>
        <w:rPr>
          <w:rFonts w:hint="eastAsia" w:ascii="宋体" w:hAnsi="宋体" w:eastAsia="宋体" w:cs="宋体"/>
          <w:kern w:val="0"/>
          <w:sz w:val="24"/>
          <w:szCs w:val="24"/>
          <w:shd w:val="clear" w:fill="FFFFFF"/>
        </w:rPr>
        <w:t xml:space="preserve"> </w:t>
      </w:r>
    </w:p>
    <w:p w14:paraId="72DF9B2E">
      <w:pPr>
        <w:pStyle w:val="42"/>
        <w:keepNext w:val="0"/>
        <w:keepLines w:val="0"/>
        <w:widowControl/>
        <w:suppressLineNumbers w:val="0"/>
        <w:spacing w:before="0" w:beforeAutospacing="0"/>
        <w:ind w:left="0"/>
        <w:jc w:val="center"/>
        <w:rPr>
          <w:rFonts w:hint="eastAsia" w:ascii="宋体" w:hAnsi="宋体" w:eastAsia="宋体" w:cs="宋体"/>
          <w:kern w:val="0"/>
          <w:sz w:val="24"/>
          <w:szCs w:val="24"/>
        </w:rPr>
      </w:pPr>
      <w:r>
        <w:rPr>
          <w:rFonts w:hint="eastAsia" w:ascii="宋体" w:hAnsi="宋体" w:eastAsia="宋体" w:cs="宋体"/>
          <w:kern w:val="0"/>
          <w:sz w:val="24"/>
          <w:szCs w:val="24"/>
          <w:shd w:val="clear" w:fill="FFFFFF"/>
        </w:rPr>
        <w:t xml:space="preserve"> </w:t>
      </w:r>
    </w:p>
    <w:p w14:paraId="2253F378">
      <w:pPr>
        <w:pStyle w:val="42"/>
        <w:keepNext w:val="0"/>
        <w:keepLines w:val="0"/>
        <w:widowControl/>
        <w:suppressLineNumbers w:val="0"/>
        <w:spacing w:before="0" w:beforeAutospacing="0"/>
        <w:ind w:left="0"/>
        <w:jc w:val="center"/>
        <w:rPr>
          <w:rFonts w:hint="eastAsia" w:ascii="宋体" w:hAnsi="宋体" w:eastAsia="宋体" w:cs="宋体"/>
          <w:kern w:val="0"/>
          <w:sz w:val="24"/>
          <w:szCs w:val="24"/>
        </w:rPr>
      </w:pPr>
      <w:r>
        <w:rPr>
          <w:rFonts w:hint="eastAsia" w:ascii="宋体" w:hAnsi="宋体" w:eastAsia="宋体" w:cs="宋体"/>
          <w:kern w:val="0"/>
          <w:sz w:val="24"/>
          <w:szCs w:val="24"/>
          <w:shd w:val="clear" w:fill="FFFFFF"/>
        </w:rPr>
        <w:t>已经保密审查、内容审定，同意对外公开</w:t>
      </w:r>
    </w:p>
    <w:p w14:paraId="621FE1FF">
      <w:pPr>
        <w:pStyle w:val="42"/>
        <w:keepNext w:val="0"/>
        <w:keepLines w:val="0"/>
        <w:widowControl/>
        <w:suppressLineNumbers w:val="0"/>
        <w:spacing w:before="0" w:beforeAutospacing="0"/>
        <w:ind w:left="0"/>
        <w:jc w:val="left"/>
        <w:rPr>
          <w:rFonts w:hint="eastAsia" w:ascii="宋体" w:hAnsi="宋体" w:eastAsia="宋体" w:cs="宋体"/>
          <w:kern w:val="0"/>
          <w:sz w:val="24"/>
          <w:szCs w:val="24"/>
        </w:rPr>
      </w:pPr>
      <w:r>
        <w:rPr>
          <w:rFonts w:hint="eastAsia" w:ascii="宋体" w:hAnsi="宋体" w:eastAsia="宋体" w:cs="宋体"/>
          <w:kern w:val="0"/>
          <w:sz w:val="24"/>
          <w:szCs w:val="24"/>
          <w:shd w:val="clear" w:fill="FFFFFF"/>
        </w:rPr>
        <w:t xml:space="preserve"> </w:t>
      </w:r>
    </w:p>
    <w:p w14:paraId="3C6E1CC6">
      <w:pPr>
        <w:pStyle w:val="42"/>
        <w:keepNext w:val="0"/>
        <w:keepLines w:val="0"/>
        <w:widowControl/>
        <w:suppressLineNumbers w:val="0"/>
        <w:spacing w:before="0" w:beforeAutospacing="0"/>
        <w:ind w:left="0"/>
        <w:jc w:val="left"/>
        <w:rPr>
          <w:rFonts w:hint="eastAsia" w:ascii="宋体" w:hAnsi="宋体" w:eastAsia="宋体" w:cs="宋体"/>
          <w:kern w:val="0"/>
          <w:sz w:val="24"/>
          <w:szCs w:val="24"/>
        </w:rPr>
      </w:pPr>
      <w:r>
        <w:rPr>
          <w:rFonts w:hint="eastAsia" w:ascii="宋体" w:hAnsi="宋体" w:eastAsia="宋体" w:cs="宋体"/>
          <w:kern w:val="0"/>
          <w:sz w:val="24"/>
          <w:szCs w:val="24"/>
          <w:shd w:val="clear" w:fill="FFFFFF"/>
        </w:rPr>
        <w:t xml:space="preserve"> </w:t>
      </w:r>
    </w:p>
    <w:p w14:paraId="503A8AEE">
      <w:pPr>
        <w:pStyle w:val="42"/>
        <w:keepNext w:val="0"/>
        <w:keepLines w:val="0"/>
        <w:widowControl/>
        <w:suppressLineNumbers w:val="0"/>
        <w:spacing w:before="0" w:beforeAutospacing="0"/>
        <w:ind w:left="0"/>
        <w:jc w:val="center"/>
        <w:rPr>
          <w:rFonts w:hint="eastAsia" w:ascii="宋体" w:hAnsi="宋体" w:eastAsia="宋体" w:cs="宋体"/>
          <w:kern w:val="0"/>
          <w:sz w:val="24"/>
          <w:szCs w:val="24"/>
        </w:rPr>
      </w:pPr>
      <w:r>
        <w:rPr>
          <w:rFonts w:hint="eastAsia" w:ascii="宋体" w:hAnsi="宋体" w:eastAsia="宋体" w:cs="宋体"/>
          <w:kern w:val="0"/>
          <w:sz w:val="24"/>
          <w:szCs w:val="24"/>
          <w:shd w:val="clear" w:fill="FFFFFF"/>
        </w:rPr>
        <w:t xml:space="preserve"> </w:t>
      </w:r>
    </w:p>
    <w:p w14:paraId="35D47F8D">
      <w:pPr>
        <w:pStyle w:val="42"/>
        <w:keepNext w:val="0"/>
        <w:keepLines w:val="0"/>
        <w:widowControl/>
        <w:suppressLineNumbers w:val="0"/>
        <w:spacing w:before="0" w:beforeAutospacing="0"/>
        <w:ind w:left="0"/>
        <w:jc w:val="left"/>
        <w:rPr>
          <w:rFonts w:hint="eastAsia" w:ascii="宋体" w:hAnsi="宋体" w:eastAsia="宋体" w:cs="宋体"/>
          <w:kern w:val="0"/>
          <w:sz w:val="24"/>
          <w:szCs w:val="24"/>
        </w:rPr>
      </w:pPr>
      <w:r>
        <w:rPr>
          <w:rFonts w:hint="eastAsia" w:ascii="宋体" w:hAnsi="宋体" w:eastAsia="宋体" w:cs="宋体"/>
          <w:kern w:val="0"/>
          <w:sz w:val="24"/>
          <w:szCs w:val="24"/>
          <w:shd w:val="clear" w:fill="FFFFFF"/>
        </w:rPr>
        <w:t xml:space="preserve"> </w:t>
      </w:r>
    </w:p>
    <w:p w14:paraId="5A400126">
      <w:pPr>
        <w:pStyle w:val="42"/>
        <w:keepNext w:val="0"/>
        <w:keepLines w:val="0"/>
        <w:widowControl/>
        <w:suppressLineNumbers w:val="0"/>
        <w:spacing w:before="0" w:beforeAutospacing="0"/>
        <w:ind w:left="0"/>
        <w:jc w:val="center"/>
        <w:rPr>
          <w:rFonts w:hint="eastAsia" w:ascii="宋体" w:hAnsi="宋体" w:eastAsia="宋体" w:cs="宋体"/>
          <w:kern w:val="0"/>
          <w:sz w:val="24"/>
          <w:szCs w:val="24"/>
        </w:rPr>
      </w:pPr>
      <w:r>
        <w:rPr>
          <w:rFonts w:hint="eastAsia" w:ascii="宋体" w:hAnsi="宋体" w:eastAsia="宋体" w:cs="宋体"/>
          <w:kern w:val="0"/>
          <w:sz w:val="24"/>
          <w:szCs w:val="24"/>
          <w:shd w:val="clear" w:fill="FFFFFF"/>
        </w:rPr>
        <w:t xml:space="preserve"> </w:t>
      </w:r>
    </w:p>
    <w:p w14:paraId="7E228586">
      <w:pPr>
        <w:pStyle w:val="42"/>
        <w:keepNext w:val="0"/>
        <w:keepLines w:val="0"/>
        <w:widowControl/>
        <w:suppressLineNumbers w:val="0"/>
        <w:spacing w:before="0" w:beforeAutospacing="0"/>
        <w:ind w:left="0"/>
        <w:jc w:val="center"/>
        <w:rPr>
          <w:rFonts w:hint="eastAsia" w:ascii="宋体" w:hAnsi="宋体" w:eastAsia="宋体" w:cs="宋体"/>
          <w:kern w:val="0"/>
          <w:sz w:val="24"/>
          <w:szCs w:val="24"/>
        </w:rPr>
      </w:pPr>
      <w:r>
        <w:rPr>
          <w:rFonts w:hint="eastAsia" w:ascii="宋体" w:hAnsi="宋体" w:eastAsia="宋体" w:cs="宋体"/>
          <w:kern w:val="0"/>
          <w:sz w:val="24"/>
          <w:szCs w:val="24"/>
          <w:shd w:val="clear" w:fill="FFFFFF"/>
        </w:rPr>
        <w:t xml:space="preserve"> </w:t>
      </w:r>
    </w:p>
    <w:p w14:paraId="02F6591F">
      <w:pPr>
        <w:pStyle w:val="42"/>
        <w:keepNext w:val="0"/>
        <w:keepLines w:val="0"/>
        <w:widowControl/>
        <w:suppressLineNumbers w:val="0"/>
        <w:spacing w:before="0" w:beforeAutospacing="0"/>
        <w:ind w:left="0"/>
        <w:jc w:val="center"/>
        <w:rPr>
          <w:rFonts w:hint="eastAsia" w:ascii="宋体" w:hAnsi="宋体" w:eastAsia="宋体" w:cs="宋体"/>
          <w:kern w:val="0"/>
          <w:sz w:val="24"/>
          <w:szCs w:val="24"/>
        </w:rPr>
      </w:pPr>
      <w:r>
        <w:rPr>
          <w:rFonts w:hint="eastAsia" w:ascii="宋体" w:hAnsi="宋体" w:eastAsia="宋体" w:cs="宋体"/>
          <w:kern w:val="0"/>
          <w:sz w:val="24"/>
          <w:szCs w:val="24"/>
          <w:shd w:val="clear" w:fill="FFFFFF"/>
        </w:rPr>
        <w:t xml:space="preserve"> </w:t>
      </w:r>
    </w:p>
    <w:p w14:paraId="54F30160">
      <w:pPr>
        <w:pStyle w:val="42"/>
        <w:keepNext w:val="0"/>
        <w:keepLines w:val="0"/>
        <w:widowControl/>
        <w:suppressLineNumbers w:val="0"/>
        <w:spacing w:before="0" w:beforeAutospacing="0"/>
        <w:ind w:left="0"/>
        <w:jc w:val="center"/>
        <w:rPr>
          <w:rFonts w:hint="eastAsia" w:ascii="宋体" w:hAnsi="宋体" w:eastAsia="宋体" w:cs="宋体"/>
          <w:kern w:val="0"/>
          <w:sz w:val="24"/>
          <w:szCs w:val="24"/>
        </w:rPr>
      </w:pPr>
      <w:r>
        <w:rPr>
          <w:rFonts w:hint="eastAsia" w:ascii="宋体" w:hAnsi="宋体" w:eastAsia="宋体" w:cs="宋体"/>
          <w:kern w:val="0"/>
          <w:sz w:val="24"/>
          <w:szCs w:val="24"/>
          <w:shd w:val="clear" w:fill="FFFFFF"/>
        </w:rPr>
        <w:br w:type="textWrapping"/>
      </w:r>
      <w:r>
        <w:rPr>
          <w:rFonts w:hint="eastAsia" w:ascii="宋体" w:hAnsi="宋体" w:eastAsia="宋体" w:cs="宋体"/>
          <w:kern w:val="0"/>
          <w:sz w:val="24"/>
          <w:szCs w:val="24"/>
          <w:shd w:val="clear" w:fill="FFFFFF"/>
        </w:rPr>
        <w:t xml:space="preserve"> </w:t>
      </w:r>
    </w:p>
    <w:p w14:paraId="2AA471B2">
      <w:pPr>
        <w:pStyle w:val="42"/>
        <w:keepNext w:val="0"/>
        <w:keepLines w:val="0"/>
        <w:widowControl/>
        <w:suppressLineNumbers w:val="0"/>
        <w:spacing w:before="0" w:beforeAutospacing="0"/>
        <w:ind w:left="0"/>
        <w:jc w:val="center"/>
        <w:rPr>
          <w:rFonts w:hint="eastAsia" w:ascii="宋体" w:hAnsi="宋体" w:eastAsia="宋体" w:cs="宋体"/>
          <w:kern w:val="0"/>
          <w:sz w:val="24"/>
          <w:szCs w:val="24"/>
        </w:rPr>
      </w:pPr>
      <w:r>
        <w:rPr>
          <w:rFonts w:hint="eastAsia" w:ascii="宋体" w:hAnsi="宋体" w:eastAsia="宋体" w:cs="宋体"/>
          <w:kern w:val="0"/>
          <w:sz w:val="24"/>
          <w:szCs w:val="24"/>
          <w:shd w:val="clear" w:fill="FFFFFF"/>
        </w:rPr>
        <w:t>公开时间：2023年   月   日</w:t>
      </w:r>
    </w:p>
    <w:p w14:paraId="6D4D01C0">
      <w:pPr>
        <w:pStyle w:val="42"/>
        <w:keepNext w:val="0"/>
        <w:keepLines w:val="0"/>
        <w:widowControl/>
        <w:suppressLineNumbers w:val="0"/>
        <w:spacing w:before="0" w:beforeAutospacing="0"/>
        <w:ind w:left="0"/>
        <w:jc w:val="center"/>
        <w:rPr>
          <w:rFonts w:hint="eastAsia" w:ascii="宋体" w:hAnsi="宋体" w:eastAsia="宋体" w:cs="宋体"/>
          <w:b/>
          <w:bCs/>
          <w:kern w:val="0"/>
          <w:sz w:val="32"/>
          <w:szCs w:val="32"/>
          <w:lang w:val="en-US" w:eastAsia="zh-CN"/>
        </w:rPr>
      </w:pPr>
      <w:r>
        <w:rPr>
          <w:rFonts w:hint="eastAsia" w:cs="宋体"/>
          <w:b/>
          <w:bCs/>
          <w:kern w:val="0"/>
          <w:sz w:val="32"/>
          <w:szCs w:val="32"/>
          <w:shd w:val="clear" w:fill="FFFFFF"/>
          <w:lang w:val="en-US" w:eastAsia="zh-CN"/>
        </w:rPr>
        <w:t>目录</w:t>
      </w:r>
    </w:p>
    <w:p w14:paraId="79773B5B">
      <w:pPr>
        <w:pStyle w:val="42"/>
        <w:keepNext w:val="0"/>
        <w:keepLines w:val="0"/>
        <w:widowControl/>
        <w:suppressLineNumbers w:val="0"/>
        <w:spacing w:before="0" w:beforeAutospacing="0"/>
        <w:ind w:left="0"/>
        <w:jc w:val="left"/>
        <w:rPr>
          <w:rFonts w:hint="eastAsia" w:ascii="宋体" w:hAnsi="宋体" w:eastAsia="宋体" w:cs="宋体"/>
          <w:kern w:val="0"/>
          <w:sz w:val="32"/>
          <w:szCs w:val="32"/>
        </w:rPr>
      </w:pPr>
      <w:r>
        <w:rPr>
          <w:rFonts w:hint="eastAsia" w:ascii="宋体" w:hAnsi="宋体" w:eastAsia="宋体" w:cs="宋体"/>
          <w:kern w:val="0"/>
          <w:sz w:val="32"/>
          <w:szCs w:val="32"/>
          <w:shd w:val="clear" w:fill="FFFFFF"/>
        </w:rPr>
        <w:t>第一部分 单位概况</w:t>
      </w:r>
    </w:p>
    <w:p w14:paraId="63C5DAC9">
      <w:pPr>
        <w:pStyle w:val="42"/>
        <w:keepNext w:val="0"/>
        <w:keepLines w:val="0"/>
        <w:widowControl/>
        <w:suppressLineNumbers w:val="0"/>
        <w:spacing w:before="0" w:beforeAutospacing="0"/>
        <w:ind w:left="420"/>
        <w:jc w:val="left"/>
        <w:rPr>
          <w:rFonts w:hint="eastAsia" w:ascii="宋体" w:hAnsi="宋体" w:eastAsia="宋体" w:cs="宋体"/>
          <w:kern w:val="0"/>
          <w:sz w:val="32"/>
          <w:szCs w:val="32"/>
        </w:rPr>
      </w:pPr>
      <w:r>
        <w:rPr>
          <w:rFonts w:hint="eastAsia" w:ascii="宋体" w:hAnsi="宋体" w:eastAsia="宋体" w:cs="宋体"/>
          <w:kern w:val="0"/>
          <w:sz w:val="32"/>
          <w:szCs w:val="32"/>
          <w:shd w:val="clear" w:fill="FFFFFF"/>
        </w:rPr>
        <w:t>一、主要职责</w:t>
      </w:r>
    </w:p>
    <w:p w14:paraId="7D128E65">
      <w:pPr>
        <w:pStyle w:val="42"/>
        <w:keepNext w:val="0"/>
        <w:keepLines w:val="0"/>
        <w:widowControl/>
        <w:suppressLineNumbers w:val="0"/>
        <w:spacing w:before="0" w:beforeAutospacing="0"/>
        <w:ind w:left="420"/>
        <w:jc w:val="left"/>
        <w:rPr>
          <w:rFonts w:hint="eastAsia" w:ascii="宋体" w:hAnsi="宋体" w:eastAsia="宋体" w:cs="宋体"/>
          <w:kern w:val="0"/>
          <w:sz w:val="32"/>
          <w:szCs w:val="32"/>
        </w:rPr>
      </w:pPr>
      <w:r>
        <w:rPr>
          <w:rFonts w:hint="eastAsia" w:ascii="宋体" w:hAnsi="宋体" w:eastAsia="宋体" w:cs="宋体"/>
          <w:kern w:val="0"/>
          <w:sz w:val="32"/>
          <w:szCs w:val="32"/>
          <w:shd w:val="clear" w:fill="FFFFFF"/>
        </w:rPr>
        <w:t>二、机构设置</w:t>
      </w:r>
    </w:p>
    <w:p w14:paraId="5F138201">
      <w:pPr>
        <w:pStyle w:val="42"/>
        <w:keepNext w:val="0"/>
        <w:keepLines w:val="0"/>
        <w:widowControl/>
        <w:suppressLineNumbers w:val="0"/>
        <w:spacing w:before="0" w:beforeAutospacing="0"/>
        <w:ind w:left="0"/>
        <w:jc w:val="left"/>
        <w:rPr>
          <w:rFonts w:hint="eastAsia" w:ascii="宋体" w:hAnsi="宋体" w:eastAsia="宋体" w:cs="宋体"/>
          <w:kern w:val="0"/>
          <w:sz w:val="32"/>
          <w:szCs w:val="32"/>
        </w:rPr>
      </w:pPr>
      <w:r>
        <w:rPr>
          <w:rFonts w:hint="eastAsia" w:ascii="宋体" w:hAnsi="宋体" w:eastAsia="宋体" w:cs="宋体"/>
          <w:kern w:val="0"/>
          <w:sz w:val="32"/>
          <w:szCs w:val="32"/>
          <w:shd w:val="clear" w:fill="FFFFFF"/>
        </w:rPr>
        <w:t>第二部分 2022年度单位决算情况说明</w:t>
      </w:r>
    </w:p>
    <w:p w14:paraId="0B47EF36">
      <w:pPr>
        <w:pStyle w:val="42"/>
        <w:keepNext w:val="0"/>
        <w:keepLines w:val="0"/>
        <w:widowControl/>
        <w:suppressLineNumbers w:val="0"/>
        <w:spacing w:before="0" w:beforeAutospacing="0"/>
        <w:ind w:left="420"/>
        <w:jc w:val="left"/>
        <w:rPr>
          <w:rFonts w:hint="eastAsia" w:ascii="宋体" w:hAnsi="宋体" w:eastAsia="宋体" w:cs="宋体"/>
          <w:kern w:val="0"/>
          <w:sz w:val="32"/>
          <w:szCs w:val="32"/>
        </w:rPr>
      </w:pPr>
      <w:r>
        <w:rPr>
          <w:rFonts w:hint="eastAsia" w:ascii="宋体" w:hAnsi="宋体" w:eastAsia="宋体" w:cs="宋体"/>
          <w:kern w:val="0"/>
          <w:sz w:val="32"/>
          <w:szCs w:val="32"/>
          <w:shd w:val="clear" w:fill="FFFFFF"/>
        </w:rPr>
        <w:t>一、收入支出决算总体情况说明</w:t>
      </w:r>
    </w:p>
    <w:p w14:paraId="58037905">
      <w:pPr>
        <w:pStyle w:val="42"/>
        <w:keepNext w:val="0"/>
        <w:keepLines w:val="0"/>
        <w:widowControl/>
        <w:suppressLineNumbers w:val="0"/>
        <w:spacing w:before="0" w:beforeAutospacing="0"/>
        <w:ind w:left="420"/>
        <w:jc w:val="left"/>
        <w:rPr>
          <w:rFonts w:hint="eastAsia" w:ascii="宋体" w:hAnsi="宋体" w:eastAsia="宋体" w:cs="宋体"/>
          <w:kern w:val="0"/>
          <w:sz w:val="32"/>
          <w:szCs w:val="32"/>
        </w:rPr>
      </w:pPr>
      <w:r>
        <w:rPr>
          <w:rFonts w:hint="eastAsia" w:ascii="宋体" w:hAnsi="宋体" w:eastAsia="宋体" w:cs="宋体"/>
          <w:kern w:val="0"/>
          <w:sz w:val="32"/>
          <w:szCs w:val="32"/>
          <w:shd w:val="clear" w:fill="FFFFFF"/>
        </w:rPr>
        <w:t>二、收入决算情况说明</w:t>
      </w:r>
    </w:p>
    <w:p w14:paraId="0BED81A5">
      <w:pPr>
        <w:pStyle w:val="42"/>
        <w:keepNext w:val="0"/>
        <w:keepLines w:val="0"/>
        <w:widowControl/>
        <w:suppressLineNumbers w:val="0"/>
        <w:spacing w:before="0" w:beforeAutospacing="0"/>
        <w:ind w:left="420"/>
        <w:jc w:val="left"/>
        <w:rPr>
          <w:rFonts w:hint="eastAsia" w:ascii="宋体" w:hAnsi="宋体" w:eastAsia="宋体" w:cs="宋体"/>
          <w:kern w:val="0"/>
          <w:sz w:val="32"/>
          <w:szCs w:val="32"/>
        </w:rPr>
      </w:pPr>
      <w:r>
        <w:rPr>
          <w:rFonts w:hint="eastAsia" w:ascii="宋体" w:hAnsi="宋体" w:eastAsia="宋体" w:cs="宋体"/>
          <w:kern w:val="0"/>
          <w:sz w:val="32"/>
          <w:szCs w:val="32"/>
          <w:shd w:val="clear" w:fill="FFFFFF"/>
        </w:rPr>
        <w:t>三、支出决算情况说明</w:t>
      </w:r>
    </w:p>
    <w:p w14:paraId="46F49579">
      <w:pPr>
        <w:pStyle w:val="42"/>
        <w:keepNext w:val="0"/>
        <w:keepLines w:val="0"/>
        <w:widowControl/>
        <w:suppressLineNumbers w:val="0"/>
        <w:spacing w:before="0" w:beforeAutospacing="0"/>
        <w:ind w:left="420"/>
        <w:jc w:val="left"/>
        <w:rPr>
          <w:rFonts w:hint="eastAsia" w:ascii="宋体" w:hAnsi="宋体" w:eastAsia="宋体" w:cs="宋体"/>
          <w:kern w:val="0"/>
          <w:sz w:val="32"/>
          <w:szCs w:val="32"/>
        </w:rPr>
      </w:pPr>
      <w:r>
        <w:rPr>
          <w:rFonts w:hint="eastAsia" w:ascii="宋体" w:hAnsi="宋体" w:eastAsia="宋体" w:cs="宋体"/>
          <w:kern w:val="0"/>
          <w:sz w:val="32"/>
          <w:szCs w:val="32"/>
          <w:shd w:val="clear" w:fill="FFFFFF"/>
        </w:rPr>
        <w:t>四、财政拨款收入支出决算总体情况说明</w:t>
      </w:r>
    </w:p>
    <w:p w14:paraId="43417021">
      <w:pPr>
        <w:pStyle w:val="42"/>
        <w:keepNext w:val="0"/>
        <w:keepLines w:val="0"/>
        <w:widowControl/>
        <w:suppressLineNumbers w:val="0"/>
        <w:spacing w:before="0" w:beforeAutospacing="0"/>
        <w:ind w:left="420"/>
        <w:jc w:val="left"/>
        <w:rPr>
          <w:rFonts w:hint="eastAsia" w:ascii="宋体" w:hAnsi="宋体" w:eastAsia="宋体" w:cs="宋体"/>
          <w:kern w:val="0"/>
          <w:sz w:val="32"/>
          <w:szCs w:val="32"/>
        </w:rPr>
      </w:pPr>
      <w:r>
        <w:rPr>
          <w:rFonts w:hint="eastAsia" w:ascii="宋体" w:hAnsi="宋体" w:eastAsia="宋体" w:cs="宋体"/>
          <w:kern w:val="0"/>
          <w:sz w:val="32"/>
          <w:szCs w:val="32"/>
          <w:shd w:val="clear" w:fill="FFFFFF"/>
        </w:rPr>
        <w:t>五、一般公共预算财政拨款支出决算情况说明</w:t>
      </w:r>
    </w:p>
    <w:p w14:paraId="5E108611">
      <w:pPr>
        <w:pStyle w:val="42"/>
        <w:keepNext w:val="0"/>
        <w:keepLines w:val="0"/>
        <w:widowControl/>
        <w:suppressLineNumbers w:val="0"/>
        <w:spacing w:before="0" w:beforeAutospacing="0"/>
        <w:ind w:left="420"/>
        <w:jc w:val="left"/>
        <w:rPr>
          <w:rFonts w:hint="eastAsia" w:ascii="宋体" w:hAnsi="宋体" w:eastAsia="宋体" w:cs="宋体"/>
          <w:kern w:val="0"/>
          <w:sz w:val="32"/>
          <w:szCs w:val="32"/>
        </w:rPr>
      </w:pPr>
      <w:r>
        <w:rPr>
          <w:rFonts w:hint="eastAsia" w:ascii="宋体" w:hAnsi="宋体" w:eastAsia="宋体" w:cs="宋体"/>
          <w:kern w:val="0"/>
          <w:sz w:val="32"/>
          <w:szCs w:val="32"/>
          <w:shd w:val="clear" w:fill="FFFFFF"/>
        </w:rPr>
        <w:t>六、一般公共预算财政拨款基本支出决算情况说明</w:t>
      </w:r>
    </w:p>
    <w:p w14:paraId="4566D3D8">
      <w:pPr>
        <w:pStyle w:val="42"/>
        <w:keepNext w:val="0"/>
        <w:keepLines w:val="0"/>
        <w:widowControl/>
        <w:suppressLineNumbers w:val="0"/>
        <w:spacing w:before="0" w:beforeAutospacing="0"/>
        <w:ind w:left="420"/>
        <w:jc w:val="left"/>
        <w:rPr>
          <w:rFonts w:hint="eastAsia" w:ascii="宋体" w:hAnsi="宋体" w:eastAsia="宋体" w:cs="宋体"/>
          <w:kern w:val="0"/>
          <w:sz w:val="32"/>
          <w:szCs w:val="32"/>
        </w:rPr>
      </w:pPr>
      <w:r>
        <w:rPr>
          <w:rFonts w:hint="eastAsia" w:ascii="宋体" w:hAnsi="宋体" w:eastAsia="宋体" w:cs="宋体"/>
          <w:kern w:val="0"/>
          <w:sz w:val="32"/>
          <w:szCs w:val="32"/>
          <w:shd w:val="clear" w:fill="FFFFFF"/>
        </w:rPr>
        <w:t>七、财政拨款“三公”经费支出决算情况说明</w:t>
      </w:r>
    </w:p>
    <w:p w14:paraId="40793262">
      <w:pPr>
        <w:pStyle w:val="42"/>
        <w:keepNext w:val="0"/>
        <w:keepLines w:val="0"/>
        <w:widowControl/>
        <w:suppressLineNumbers w:val="0"/>
        <w:spacing w:before="0" w:beforeAutospacing="0"/>
        <w:ind w:left="420"/>
        <w:jc w:val="left"/>
        <w:rPr>
          <w:rFonts w:hint="eastAsia" w:ascii="宋体" w:hAnsi="宋体" w:eastAsia="宋体" w:cs="宋体"/>
          <w:kern w:val="0"/>
          <w:sz w:val="32"/>
          <w:szCs w:val="32"/>
        </w:rPr>
      </w:pPr>
      <w:r>
        <w:rPr>
          <w:rFonts w:hint="eastAsia" w:ascii="宋体" w:hAnsi="宋体" w:eastAsia="宋体" w:cs="宋体"/>
          <w:kern w:val="0"/>
          <w:sz w:val="32"/>
          <w:szCs w:val="32"/>
          <w:shd w:val="clear" w:fill="FFFFFF"/>
        </w:rPr>
        <w:t>八、政府性基金预算支出决算情况说明</w:t>
      </w:r>
    </w:p>
    <w:p w14:paraId="24C68ED8">
      <w:pPr>
        <w:pStyle w:val="42"/>
        <w:keepNext w:val="0"/>
        <w:keepLines w:val="0"/>
        <w:widowControl/>
        <w:suppressLineNumbers w:val="0"/>
        <w:spacing w:before="0" w:beforeAutospacing="0"/>
        <w:ind w:left="0"/>
        <w:jc w:val="left"/>
        <w:rPr>
          <w:rFonts w:hint="eastAsia" w:ascii="宋体" w:hAnsi="宋体" w:eastAsia="宋体" w:cs="宋体"/>
          <w:kern w:val="0"/>
          <w:sz w:val="32"/>
          <w:szCs w:val="32"/>
        </w:rPr>
      </w:pPr>
      <w:r>
        <w:rPr>
          <w:rFonts w:hint="eastAsia" w:ascii="宋体" w:hAnsi="宋体" w:eastAsia="宋体" w:cs="宋体"/>
          <w:kern w:val="0"/>
          <w:sz w:val="32"/>
          <w:szCs w:val="32"/>
          <w:shd w:val="clear" w:fill="FFFFFF"/>
        </w:rPr>
        <w:t xml:space="preserve">   九、国有资本经营预算支出决算情况说明</w:t>
      </w:r>
    </w:p>
    <w:p w14:paraId="26ED3BCB">
      <w:pPr>
        <w:pStyle w:val="42"/>
        <w:keepNext w:val="0"/>
        <w:keepLines w:val="0"/>
        <w:widowControl/>
        <w:suppressLineNumbers w:val="0"/>
        <w:spacing w:before="0" w:beforeAutospacing="0"/>
        <w:ind w:left="0"/>
        <w:jc w:val="left"/>
        <w:rPr>
          <w:rFonts w:hint="eastAsia" w:ascii="宋体" w:hAnsi="宋体" w:eastAsia="宋体" w:cs="宋体"/>
          <w:kern w:val="0"/>
          <w:sz w:val="32"/>
          <w:szCs w:val="32"/>
        </w:rPr>
      </w:pPr>
      <w:r>
        <w:rPr>
          <w:rFonts w:hint="eastAsia" w:ascii="宋体" w:hAnsi="宋体" w:eastAsia="宋体" w:cs="宋体"/>
          <w:kern w:val="0"/>
          <w:sz w:val="32"/>
          <w:szCs w:val="32"/>
          <w:shd w:val="clear" w:fill="FFFFFF"/>
        </w:rPr>
        <w:t xml:space="preserve">   十、其他重要事项的情况说明 </w:t>
      </w:r>
    </w:p>
    <w:p w14:paraId="5FC26F7E">
      <w:pPr>
        <w:pStyle w:val="42"/>
        <w:keepNext w:val="0"/>
        <w:keepLines w:val="0"/>
        <w:widowControl/>
        <w:suppressLineNumbers w:val="0"/>
        <w:spacing w:before="0" w:beforeAutospacing="0"/>
        <w:ind w:left="0"/>
        <w:jc w:val="left"/>
        <w:rPr>
          <w:rFonts w:hint="eastAsia" w:ascii="宋体" w:hAnsi="宋体" w:eastAsia="宋体" w:cs="宋体"/>
          <w:kern w:val="0"/>
          <w:sz w:val="32"/>
          <w:szCs w:val="32"/>
        </w:rPr>
      </w:pPr>
      <w:r>
        <w:rPr>
          <w:rFonts w:hint="eastAsia" w:ascii="宋体" w:hAnsi="宋体" w:eastAsia="宋体" w:cs="宋体"/>
          <w:kern w:val="0"/>
          <w:sz w:val="32"/>
          <w:szCs w:val="32"/>
          <w:shd w:val="clear" w:fill="FFFFFF"/>
        </w:rPr>
        <w:t>第三部分 名词解释</w:t>
      </w:r>
    </w:p>
    <w:p w14:paraId="6680EC61">
      <w:pPr>
        <w:pStyle w:val="42"/>
        <w:keepNext w:val="0"/>
        <w:keepLines w:val="0"/>
        <w:widowControl/>
        <w:suppressLineNumbers w:val="0"/>
        <w:spacing w:before="0" w:beforeAutospacing="0"/>
        <w:ind w:left="0"/>
        <w:jc w:val="left"/>
        <w:rPr>
          <w:rFonts w:hint="eastAsia" w:ascii="宋体" w:hAnsi="宋体" w:eastAsia="宋体" w:cs="宋体"/>
          <w:kern w:val="0"/>
          <w:sz w:val="32"/>
          <w:szCs w:val="32"/>
        </w:rPr>
      </w:pPr>
      <w:r>
        <w:rPr>
          <w:rFonts w:hint="eastAsia" w:ascii="宋体" w:hAnsi="宋体" w:eastAsia="宋体" w:cs="宋体"/>
          <w:kern w:val="0"/>
          <w:sz w:val="32"/>
          <w:szCs w:val="32"/>
          <w:shd w:val="clear" w:fill="FFFFFF"/>
        </w:rPr>
        <w:t>第四部分 附件</w:t>
      </w:r>
    </w:p>
    <w:p w14:paraId="6DE228A1">
      <w:pPr>
        <w:pStyle w:val="42"/>
        <w:keepNext w:val="0"/>
        <w:keepLines w:val="0"/>
        <w:widowControl/>
        <w:suppressLineNumbers w:val="0"/>
        <w:spacing w:before="0" w:beforeAutospacing="0"/>
        <w:ind w:left="0"/>
        <w:jc w:val="left"/>
        <w:rPr>
          <w:rFonts w:hint="eastAsia" w:ascii="宋体" w:hAnsi="宋体" w:eastAsia="宋体" w:cs="宋体"/>
          <w:kern w:val="0"/>
          <w:sz w:val="32"/>
          <w:szCs w:val="32"/>
        </w:rPr>
      </w:pPr>
      <w:r>
        <w:rPr>
          <w:rFonts w:hint="eastAsia" w:ascii="宋体" w:hAnsi="宋体" w:eastAsia="宋体" w:cs="宋体"/>
          <w:kern w:val="0"/>
          <w:sz w:val="32"/>
          <w:szCs w:val="32"/>
          <w:shd w:val="clear" w:fill="FFFFFF"/>
        </w:rPr>
        <w:t>第五部分 附表</w:t>
      </w:r>
    </w:p>
    <w:p w14:paraId="2BE80F4F">
      <w:pPr>
        <w:pStyle w:val="42"/>
        <w:keepNext w:val="0"/>
        <w:keepLines w:val="0"/>
        <w:widowControl/>
        <w:suppressLineNumbers w:val="0"/>
        <w:spacing w:before="0" w:beforeAutospacing="0"/>
        <w:ind w:left="420"/>
        <w:jc w:val="left"/>
        <w:rPr>
          <w:rFonts w:hint="eastAsia" w:ascii="宋体" w:hAnsi="宋体" w:eastAsia="宋体" w:cs="宋体"/>
          <w:kern w:val="0"/>
          <w:sz w:val="32"/>
          <w:szCs w:val="32"/>
        </w:rPr>
      </w:pPr>
      <w:r>
        <w:rPr>
          <w:rFonts w:hint="eastAsia" w:ascii="宋体" w:hAnsi="宋体" w:eastAsia="宋体" w:cs="宋体"/>
          <w:kern w:val="0"/>
          <w:sz w:val="32"/>
          <w:szCs w:val="32"/>
          <w:shd w:val="clear" w:fill="FFFFFF"/>
        </w:rPr>
        <w:t>一、收入支出决算总表</w:t>
      </w:r>
    </w:p>
    <w:p w14:paraId="2381C6A4">
      <w:pPr>
        <w:pStyle w:val="42"/>
        <w:keepNext w:val="0"/>
        <w:keepLines w:val="0"/>
        <w:widowControl/>
        <w:suppressLineNumbers w:val="0"/>
        <w:spacing w:before="0" w:beforeAutospacing="0"/>
        <w:ind w:left="420"/>
        <w:jc w:val="left"/>
        <w:rPr>
          <w:rFonts w:hint="eastAsia" w:ascii="宋体" w:hAnsi="宋体" w:eastAsia="宋体" w:cs="宋体"/>
          <w:kern w:val="0"/>
          <w:sz w:val="32"/>
          <w:szCs w:val="32"/>
        </w:rPr>
      </w:pPr>
      <w:r>
        <w:rPr>
          <w:rFonts w:hint="eastAsia" w:ascii="宋体" w:hAnsi="宋体" w:eastAsia="宋体" w:cs="宋体"/>
          <w:kern w:val="0"/>
          <w:sz w:val="32"/>
          <w:szCs w:val="32"/>
          <w:shd w:val="clear" w:fill="FFFFFF"/>
        </w:rPr>
        <w:t>二、收入决算表</w:t>
      </w:r>
    </w:p>
    <w:p w14:paraId="58DD9DA0">
      <w:pPr>
        <w:pStyle w:val="42"/>
        <w:keepNext w:val="0"/>
        <w:keepLines w:val="0"/>
        <w:widowControl/>
        <w:suppressLineNumbers w:val="0"/>
        <w:spacing w:before="0" w:beforeAutospacing="0"/>
        <w:ind w:left="420"/>
        <w:jc w:val="left"/>
        <w:rPr>
          <w:rFonts w:hint="eastAsia" w:ascii="宋体" w:hAnsi="宋体" w:eastAsia="宋体" w:cs="宋体"/>
          <w:kern w:val="0"/>
          <w:sz w:val="32"/>
          <w:szCs w:val="32"/>
        </w:rPr>
      </w:pPr>
      <w:r>
        <w:rPr>
          <w:rFonts w:hint="eastAsia" w:ascii="宋体" w:hAnsi="宋体" w:eastAsia="宋体" w:cs="宋体"/>
          <w:kern w:val="0"/>
          <w:sz w:val="32"/>
          <w:szCs w:val="32"/>
          <w:shd w:val="clear" w:fill="FFFFFF"/>
        </w:rPr>
        <w:t>三、支出决算表</w:t>
      </w:r>
    </w:p>
    <w:p w14:paraId="118605F1">
      <w:pPr>
        <w:pStyle w:val="42"/>
        <w:keepNext w:val="0"/>
        <w:keepLines w:val="0"/>
        <w:widowControl/>
        <w:suppressLineNumbers w:val="0"/>
        <w:spacing w:before="0" w:beforeAutospacing="0"/>
        <w:ind w:left="420"/>
        <w:jc w:val="left"/>
        <w:rPr>
          <w:rFonts w:hint="eastAsia" w:ascii="宋体" w:hAnsi="宋体" w:eastAsia="宋体" w:cs="宋体"/>
          <w:kern w:val="0"/>
          <w:sz w:val="32"/>
          <w:szCs w:val="32"/>
        </w:rPr>
      </w:pPr>
      <w:r>
        <w:rPr>
          <w:rFonts w:hint="eastAsia" w:ascii="宋体" w:hAnsi="宋体" w:eastAsia="宋体" w:cs="宋体"/>
          <w:kern w:val="0"/>
          <w:sz w:val="32"/>
          <w:szCs w:val="32"/>
          <w:shd w:val="clear" w:fill="FFFFFF"/>
        </w:rPr>
        <w:t>四、财政拨款收入支出决算总表</w:t>
      </w:r>
    </w:p>
    <w:p w14:paraId="63F1A023">
      <w:pPr>
        <w:pStyle w:val="42"/>
        <w:keepNext w:val="0"/>
        <w:keepLines w:val="0"/>
        <w:widowControl/>
        <w:suppressLineNumbers w:val="0"/>
        <w:spacing w:before="0" w:beforeAutospacing="0"/>
        <w:ind w:left="420"/>
        <w:jc w:val="left"/>
        <w:rPr>
          <w:rFonts w:hint="eastAsia" w:ascii="宋体" w:hAnsi="宋体" w:eastAsia="宋体" w:cs="宋体"/>
          <w:kern w:val="0"/>
          <w:sz w:val="32"/>
          <w:szCs w:val="32"/>
        </w:rPr>
      </w:pPr>
      <w:r>
        <w:rPr>
          <w:rFonts w:hint="eastAsia" w:ascii="宋体" w:hAnsi="宋体" w:eastAsia="宋体" w:cs="宋体"/>
          <w:kern w:val="0"/>
          <w:sz w:val="32"/>
          <w:szCs w:val="32"/>
          <w:shd w:val="clear" w:fill="FFFFFF"/>
        </w:rPr>
        <w:t>五、财政拨款支出决算明细表</w:t>
      </w:r>
    </w:p>
    <w:p w14:paraId="5CB36D06">
      <w:pPr>
        <w:pStyle w:val="42"/>
        <w:keepNext w:val="0"/>
        <w:keepLines w:val="0"/>
        <w:widowControl/>
        <w:suppressLineNumbers w:val="0"/>
        <w:spacing w:before="0" w:beforeAutospacing="0"/>
        <w:ind w:left="420"/>
        <w:jc w:val="left"/>
        <w:rPr>
          <w:rFonts w:hint="eastAsia" w:ascii="宋体" w:hAnsi="宋体" w:eastAsia="宋体" w:cs="宋体"/>
          <w:kern w:val="0"/>
          <w:sz w:val="32"/>
          <w:szCs w:val="32"/>
        </w:rPr>
      </w:pPr>
      <w:r>
        <w:rPr>
          <w:rFonts w:hint="eastAsia" w:ascii="宋体" w:hAnsi="宋体" w:eastAsia="宋体" w:cs="宋体"/>
          <w:kern w:val="0"/>
          <w:sz w:val="32"/>
          <w:szCs w:val="32"/>
          <w:shd w:val="clear" w:fill="FFFFFF"/>
        </w:rPr>
        <w:t>六、一般公共预算财政拨款支出决算表</w:t>
      </w:r>
    </w:p>
    <w:p w14:paraId="65206AA1">
      <w:pPr>
        <w:pStyle w:val="42"/>
        <w:keepNext w:val="0"/>
        <w:keepLines w:val="0"/>
        <w:widowControl/>
        <w:suppressLineNumbers w:val="0"/>
        <w:spacing w:before="0" w:beforeAutospacing="0"/>
        <w:ind w:left="420"/>
        <w:jc w:val="left"/>
        <w:rPr>
          <w:rFonts w:hint="eastAsia" w:ascii="宋体" w:hAnsi="宋体" w:eastAsia="宋体" w:cs="宋体"/>
          <w:kern w:val="0"/>
          <w:sz w:val="32"/>
          <w:szCs w:val="32"/>
        </w:rPr>
      </w:pPr>
      <w:r>
        <w:rPr>
          <w:rFonts w:hint="eastAsia" w:ascii="宋体" w:hAnsi="宋体" w:eastAsia="宋体" w:cs="宋体"/>
          <w:kern w:val="0"/>
          <w:sz w:val="32"/>
          <w:szCs w:val="32"/>
          <w:shd w:val="clear" w:fill="FFFFFF"/>
        </w:rPr>
        <w:t>七、一般公共预算财政拨款支出决算明细表</w:t>
      </w:r>
    </w:p>
    <w:p w14:paraId="09CB4053">
      <w:pPr>
        <w:pStyle w:val="42"/>
        <w:keepNext w:val="0"/>
        <w:keepLines w:val="0"/>
        <w:widowControl/>
        <w:suppressLineNumbers w:val="0"/>
        <w:spacing w:before="0" w:beforeAutospacing="0"/>
        <w:ind w:left="420"/>
        <w:jc w:val="left"/>
        <w:rPr>
          <w:rFonts w:hint="eastAsia" w:ascii="宋体" w:hAnsi="宋体" w:eastAsia="宋体" w:cs="宋体"/>
          <w:kern w:val="0"/>
          <w:sz w:val="32"/>
          <w:szCs w:val="32"/>
        </w:rPr>
      </w:pPr>
      <w:r>
        <w:rPr>
          <w:rFonts w:hint="eastAsia" w:ascii="宋体" w:hAnsi="宋体" w:eastAsia="宋体" w:cs="宋体"/>
          <w:kern w:val="0"/>
          <w:sz w:val="32"/>
          <w:szCs w:val="32"/>
          <w:shd w:val="clear" w:fill="FFFFFF"/>
        </w:rPr>
        <w:t>八、一般公共预算财政拨款基本支出决算表</w:t>
      </w:r>
    </w:p>
    <w:p w14:paraId="6E93D860">
      <w:pPr>
        <w:pStyle w:val="42"/>
        <w:keepNext w:val="0"/>
        <w:keepLines w:val="0"/>
        <w:widowControl/>
        <w:suppressLineNumbers w:val="0"/>
        <w:spacing w:before="0" w:beforeAutospacing="0"/>
        <w:ind w:left="420"/>
        <w:jc w:val="left"/>
        <w:rPr>
          <w:rFonts w:hint="eastAsia" w:ascii="宋体" w:hAnsi="宋体" w:eastAsia="宋体" w:cs="宋体"/>
          <w:kern w:val="0"/>
          <w:sz w:val="32"/>
          <w:szCs w:val="32"/>
        </w:rPr>
      </w:pPr>
      <w:r>
        <w:rPr>
          <w:rFonts w:hint="eastAsia" w:ascii="宋体" w:hAnsi="宋体" w:eastAsia="宋体" w:cs="宋体"/>
          <w:kern w:val="0"/>
          <w:sz w:val="32"/>
          <w:szCs w:val="32"/>
          <w:shd w:val="clear" w:fill="FFFFFF"/>
        </w:rPr>
        <w:t>九、一般公共预算财政拨款项目支出决算表</w:t>
      </w:r>
    </w:p>
    <w:p w14:paraId="25CEFA03">
      <w:pPr>
        <w:pStyle w:val="42"/>
        <w:keepNext w:val="0"/>
        <w:keepLines w:val="0"/>
        <w:widowControl/>
        <w:suppressLineNumbers w:val="0"/>
        <w:spacing w:before="0" w:beforeAutospacing="0"/>
        <w:ind w:left="420"/>
        <w:jc w:val="left"/>
        <w:rPr>
          <w:rFonts w:hint="eastAsia" w:ascii="宋体" w:hAnsi="宋体" w:eastAsia="宋体" w:cs="宋体"/>
          <w:kern w:val="0"/>
          <w:sz w:val="32"/>
          <w:szCs w:val="32"/>
        </w:rPr>
      </w:pPr>
      <w:r>
        <w:rPr>
          <w:rFonts w:hint="eastAsia" w:ascii="宋体" w:hAnsi="宋体" w:eastAsia="宋体" w:cs="宋体"/>
          <w:kern w:val="0"/>
          <w:sz w:val="32"/>
          <w:szCs w:val="32"/>
          <w:shd w:val="clear" w:fill="FFFFFF"/>
        </w:rPr>
        <w:t>十、政府性基金预算财政拨款收入支出决算表</w:t>
      </w:r>
    </w:p>
    <w:p w14:paraId="2B40E8F3">
      <w:pPr>
        <w:pStyle w:val="42"/>
        <w:keepNext w:val="0"/>
        <w:keepLines w:val="0"/>
        <w:widowControl/>
        <w:suppressLineNumbers w:val="0"/>
        <w:spacing w:before="0" w:beforeAutospacing="0"/>
        <w:ind w:left="420"/>
        <w:jc w:val="left"/>
        <w:rPr>
          <w:rFonts w:hint="eastAsia" w:ascii="宋体" w:hAnsi="宋体" w:eastAsia="宋体" w:cs="宋体"/>
          <w:kern w:val="0"/>
          <w:sz w:val="32"/>
          <w:szCs w:val="32"/>
        </w:rPr>
      </w:pPr>
      <w:r>
        <w:rPr>
          <w:rFonts w:hint="eastAsia" w:ascii="宋体" w:hAnsi="宋体" w:eastAsia="宋体" w:cs="宋体"/>
          <w:kern w:val="0"/>
          <w:sz w:val="32"/>
          <w:szCs w:val="32"/>
          <w:shd w:val="clear" w:fill="FFFFFF"/>
        </w:rPr>
        <w:t>十一、国有资本经营预算财政拨款收入支出决算表</w:t>
      </w:r>
    </w:p>
    <w:p w14:paraId="44FCF890">
      <w:pPr>
        <w:pStyle w:val="42"/>
        <w:keepNext w:val="0"/>
        <w:keepLines w:val="0"/>
        <w:widowControl/>
        <w:suppressLineNumbers w:val="0"/>
        <w:spacing w:before="0" w:beforeAutospacing="0"/>
        <w:ind w:left="420"/>
        <w:jc w:val="left"/>
        <w:rPr>
          <w:rFonts w:hint="eastAsia" w:ascii="宋体" w:hAnsi="宋体" w:eastAsia="宋体" w:cs="宋体"/>
          <w:kern w:val="0"/>
          <w:sz w:val="32"/>
          <w:szCs w:val="32"/>
        </w:rPr>
      </w:pPr>
      <w:r>
        <w:rPr>
          <w:rFonts w:hint="eastAsia" w:ascii="宋体" w:hAnsi="宋体" w:eastAsia="宋体" w:cs="宋体"/>
          <w:kern w:val="0"/>
          <w:sz w:val="32"/>
          <w:szCs w:val="32"/>
          <w:shd w:val="clear" w:fill="FFFFFF"/>
        </w:rPr>
        <w:t>十二、国有资本经营预算财政拨款支出决算表</w:t>
      </w:r>
    </w:p>
    <w:p w14:paraId="3E950500">
      <w:pPr>
        <w:pStyle w:val="42"/>
        <w:keepNext w:val="0"/>
        <w:keepLines w:val="0"/>
        <w:widowControl/>
        <w:suppressLineNumbers w:val="0"/>
        <w:spacing w:before="0" w:beforeAutospacing="0"/>
        <w:ind w:left="420"/>
        <w:jc w:val="left"/>
        <w:rPr>
          <w:rFonts w:hint="eastAsia" w:ascii="宋体" w:hAnsi="宋体" w:eastAsia="宋体" w:cs="宋体"/>
          <w:kern w:val="0"/>
          <w:sz w:val="32"/>
          <w:szCs w:val="32"/>
        </w:rPr>
      </w:pPr>
      <w:r>
        <w:rPr>
          <w:rFonts w:hint="eastAsia" w:ascii="宋体" w:hAnsi="宋体" w:eastAsia="宋体" w:cs="宋体"/>
          <w:kern w:val="0"/>
          <w:sz w:val="32"/>
          <w:szCs w:val="32"/>
          <w:shd w:val="clear" w:fill="FFFFFF"/>
        </w:rPr>
        <w:t>十三、财政拨款“三公”经费支出决算表</w:t>
      </w:r>
    </w:p>
    <w:p w14:paraId="747B5485">
      <w:pPr>
        <w:pStyle w:val="42"/>
        <w:keepNext w:val="0"/>
        <w:keepLines w:val="0"/>
        <w:widowControl/>
        <w:suppressLineNumbers w:val="0"/>
        <w:spacing w:before="0" w:beforeAutospacing="0"/>
        <w:ind w:left="0"/>
        <w:jc w:val="left"/>
        <w:rPr>
          <w:rFonts w:hint="eastAsia" w:ascii="宋体" w:hAnsi="宋体" w:eastAsia="宋体" w:cs="宋体"/>
          <w:kern w:val="0"/>
          <w:sz w:val="32"/>
          <w:szCs w:val="32"/>
        </w:rPr>
      </w:pPr>
      <w:r>
        <w:rPr>
          <w:rFonts w:hint="eastAsia" w:cs="宋体"/>
          <w:kern w:val="0"/>
          <w:sz w:val="32"/>
          <w:szCs w:val="32"/>
          <w:shd w:val="clear" w:fill="FFFFFF"/>
          <w:lang w:eastAsia="zh-CN"/>
        </w:rPr>
        <w:t>（</w:t>
      </w:r>
      <w:r>
        <w:rPr>
          <w:rFonts w:hint="eastAsia" w:ascii="宋体" w:hAnsi="宋体" w:eastAsia="宋体" w:cs="宋体"/>
          <w:kern w:val="0"/>
          <w:sz w:val="32"/>
          <w:szCs w:val="32"/>
          <w:shd w:val="clear" w:fill="FFFFFF"/>
        </w:rPr>
        <w:t>注：请部门根据实际注明页码</w:t>
      </w:r>
      <w:r>
        <w:rPr>
          <w:rFonts w:hint="eastAsia" w:cs="宋体"/>
          <w:kern w:val="0"/>
          <w:sz w:val="32"/>
          <w:szCs w:val="32"/>
          <w:shd w:val="clear" w:fill="FFFFFF"/>
          <w:lang w:eastAsia="zh-CN"/>
        </w:rPr>
        <w:t>）</w:t>
      </w:r>
    </w:p>
    <w:p w14:paraId="56C13724">
      <w:pPr>
        <w:pStyle w:val="42"/>
        <w:keepNext w:val="0"/>
        <w:keepLines w:val="0"/>
        <w:widowControl/>
        <w:suppressLineNumbers w:val="0"/>
        <w:spacing w:before="0" w:beforeAutospacing="0"/>
        <w:ind w:left="0"/>
        <w:jc w:val="left"/>
        <w:rPr>
          <w:rFonts w:hint="eastAsia" w:ascii="宋体" w:hAnsi="宋体" w:eastAsia="宋体" w:cs="宋体"/>
          <w:kern w:val="0"/>
          <w:sz w:val="32"/>
          <w:szCs w:val="32"/>
        </w:rPr>
      </w:pPr>
      <w:r>
        <w:rPr>
          <w:rFonts w:hint="eastAsia" w:ascii="宋体" w:hAnsi="宋体" w:eastAsia="宋体" w:cs="宋体"/>
          <w:kern w:val="0"/>
          <w:sz w:val="32"/>
          <w:szCs w:val="32"/>
          <w:shd w:val="clear" w:fill="FFFFFF"/>
        </w:rPr>
        <w:t xml:space="preserve"> </w:t>
      </w:r>
    </w:p>
    <w:p w14:paraId="46D06793">
      <w:pPr>
        <w:pStyle w:val="42"/>
        <w:keepNext w:val="0"/>
        <w:keepLines w:val="0"/>
        <w:widowControl/>
        <w:suppressLineNumbers w:val="0"/>
        <w:spacing w:before="0" w:beforeAutospacing="0"/>
        <w:ind w:left="0"/>
        <w:jc w:val="left"/>
        <w:rPr>
          <w:rFonts w:hint="eastAsia" w:ascii="宋体" w:hAnsi="宋体" w:eastAsia="宋体" w:cs="宋体"/>
          <w:kern w:val="0"/>
          <w:sz w:val="32"/>
          <w:szCs w:val="32"/>
        </w:rPr>
      </w:pPr>
      <w:r>
        <w:rPr>
          <w:rFonts w:hint="eastAsia" w:ascii="宋体" w:hAnsi="宋体" w:eastAsia="宋体" w:cs="宋体"/>
          <w:kern w:val="0"/>
          <w:sz w:val="32"/>
          <w:szCs w:val="32"/>
          <w:shd w:val="clear" w:fill="FFFFFF"/>
        </w:rPr>
        <w:t xml:space="preserve"> </w:t>
      </w:r>
    </w:p>
    <w:p w14:paraId="618D4818">
      <w:pPr>
        <w:pStyle w:val="4"/>
        <w:keepNext w:val="0"/>
        <w:keepLines w:val="0"/>
        <w:widowControl/>
        <w:suppressLineNumbers w:val="0"/>
        <w:spacing w:before="0" w:beforeAutospacing="0"/>
        <w:ind w:left="0"/>
        <w:jc w:val="center"/>
        <w:rPr>
          <w:rFonts w:hint="eastAsia" w:ascii="宋体" w:hAnsi="宋体" w:eastAsia="宋体" w:cs="宋体"/>
          <w:b/>
          <w:bCs/>
          <w:kern w:val="44"/>
          <w:sz w:val="32"/>
          <w:szCs w:val="32"/>
          <w:shd w:val="clear" w:fill="FFFFFF"/>
        </w:rPr>
      </w:pPr>
      <w:r>
        <w:rPr>
          <w:rFonts w:hint="eastAsia" w:ascii="宋体" w:hAnsi="宋体" w:eastAsia="宋体" w:cs="宋体"/>
          <w:b/>
          <w:bCs/>
          <w:kern w:val="44"/>
          <w:sz w:val="32"/>
          <w:szCs w:val="32"/>
          <w:shd w:val="clear" w:fill="FFFFFF"/>
        </w:rPr>
        <w:t xml:space="preserve"> </w:t>
      </w:r>
    </w:p>
    <w:p w14:paraId="06B53B2A">
      <w:pPr>
        <w:pStyle w:val="4"/>
        <w:keepNext w:val="0"/>
        <w:keepLines w:val="0"/>
        <w:widowControl/>
        <w:suppressLineNumbers w:val="0"/>
        <w:spacing w:before="0" w:beforeAutospacing="0"/>
        <w:ind w:left="0"/>
        <w:jc w:val="center"/>
        <w:rPr>
          <w:rFonts w:hint="eastAsia" w:ascii="宋体" w:hAnsi="宋体" w:eastAsia="宋体" w:cs="宋体"/>
          <w:b/>
          <w:bCs/>
          <w:kern w:val="44"/>
          <w:sz w:val="32"/>
          <w:szCs w:val="32"/>
          <w:shd w:val="clear" w:fill="FFFFFF"/>
        </w:rPr>
      </w:pPr>
      <w:r>
        <w:rPr>
          <w:rFonts w:hint="eastAsia" w:ascii="宋体" w:hAnsi="宋体" w:eastAsia="宋体" w:cs="宋体"/>
          <w:b/>
          <w:bCs/>
          <w:kern w:val="44"/>
          <w:sz w:val="32"/>
          <w:szCs w:val="32"/>
          <w:shd w:val="clear" w:fill="FFFFFF"/>
        </w:rPr>
        <w:t xml:space="preserve"> </w:t>
      </w:r>
    </w:p>
    <w:p w14:paraId="25AE6A88">
      <w:pPr>
        <w:pStyle w:val="4"/>
        <w:keepNext w:val="0"/>
        <w:keepLines w:val="0"/>
        <w:widowControl/>
        <w:suppressLineNumbers w:val="0"/>
        <w:spacing w:before="0" w:beforeAutospacing="0"/>
        <w:ind w:left="0"/>
        <w:jc w:val="center"/>
        <w:rPr>
          <w:rFonts w:hint="eastAsia" w:ascii="宋体" w:hAnsi="宋体" w:eastAsia="宋体" w:cs="宋体"/>
          <w:b/>
          <w:bCs/>
          <w:kern w:val="44"/>
          <w:sz w:val="32"/>
          <w:szCs w:val="32"/>
          <w:shd w:val="clear" w:fill="FFFFFF"/>
        </w:rPr>
      </w:pPr>
      <w:r>
        <w:rPr>
          <w:rFonts w:hint="eastAsia" w:ascii="宋体" w:hAnsi="宋体" w:eastAsia="宋体" w:cs="宋体"/>
          <w:b/>
          <w:bCs/>
          <w:kern w:val="44"/>
          <w:sz w:val="32"/>
          <w:szCs w:val="32"/>
          <w:shd w:val="clear" w:fill="FFFFFF"/>
        </w:rPr>
        <w:t xml:space="preserve"> </w:t>
      </w:r>
    </w:p>
    <w:p w14:paraId="388757BA">
      <w:pPr>
        <w:pStyle w:val="4"/>
        <w:keepNext w:val="0"/>
        <w:keepLines w:val="0"/>
        <w:widowControl/>
        <w:suppressLineNumbers w:val="0"/>
        <w:spacing w:before="0" w:beforeAutospacing="0"/>
        <w:ind w:left="0"/>
        <w:jc w:val="center"/>
        <w:rPr>
          <w:rFonts w:hint="eastAsia" w:ascii="宋体" w:hAnsi="宋体" w:eastAsia="宋体" w:cs="宋体"/>
          <w:b/>
          <w:bCs/>
          <w:kern w:val="44"/>
          <w:sz w:val="32"/>
          <w:szCs w:val="32"/>
          <w:shd w:val="clear" w:fill="FFFFFF"/>
        </w:rPr>
      </w:pPr>
      <w:r>
        <w:rPr>
          <w:rFonts w:hint="eastAsia" w:ascii="宋体" w:hAnsi="宋体" w:eastAsia="宋体" w:cs="宋体"/>
          <w:b/>
          <w:bCs/>
          <w:kern w:val="44"/>
          <w:sz w:val="32"/>
          <w:szCs w:val="32"/>
          <w:shd w:val="clear" w:fill="FFFFFF"/>
        </w:rPr>
        <w:t xml:space="preserve"> </w:t>
      </w:r>
    </w:p>
    <w:p w14:paraId="3FB04A1C">
      <w:pPr>
        <w:pStyle w:val="4"/>
        <w:keepNext w:val="0"/>
        <w:keepLines w:val="0"/>
        <w:widowControl/>
        <w:suppressLineNumbers w:val="0"/>
        <w:spacing w:before="0" w:beforeAutospacing="0"/>
        <w:ind w:left="0"/>
        <w:jc w:val="center"/>
        <w:rPr>
          <w:rFonts w:hint="eastAsia" w:ascii="宋体" w:hAnsi="宋体" w:eastAsia="宋体" w:cs="宋体"/>
          <w:b/>
          <w:bCs/>
          <w:kern w:val="44"/>
          <w:sz w:val="32"/>
          <w:szCs w:val="32"/>
          <w:shd w:val="clear" w:fill="FFFFFF"/>
        </w:rPr>
      </w:pPr>
      <w:r>
        <w:rPr>
          <w:rFonts w:hint="eastAsia" w:ascii="宋体" w:hAnsi="宋体" w:eastAsia="宋体" w:cs="宋体"/>
          <w:b/>
          <w:bCs/>
          <w:kern w:val="44"/>
          <w:sz w:val="32"/>
          <w:szCs w:val="32"/>
          <w:shd w:val="clear" w:fill="FFFFFF"/>
        </w:rPr>
        <w:t xml:space="preserve"> </w:t>
      </w:r>
    </w:p>
    <w:p w14:paraId="7D8CBFE3">
      <w:pPr>
        <w:pStyle w:val="4"/>
        <w:keepNext w:val="0"/>
        <w:keepLines w:val="0"/>
        <w:widowControl/>
        <w:suppressLineNumbers w:val="0"/>
        <w:spacing w:before="0" w:beforeAutospacing="0"/>
        <w:ind w:left="0"/>
        <w:jc w:val="center"/>
        <w:rPr>
          <w:rFonts w:hint="eastAsia" w:ascii="宋体" w:hAnsi="宋体" w:eastAsia="宋体" w:cs="宋体"/>
          <w:b/>
          <w:bCs/>
          <w:kern w:val="44"/>
          <w:sz w:val="32"/>
          <w:szCs w:val="32"/>
          <w:shd w:val="clear" w:fill="FFFFFF"/>
        </w:rPr>
      </w:pPr>
      <w:r>
        <w:rPr>
          <w:rFonts w:hint="eastAsia" w:ascii="宋体" w:hAnsi="宋体" w:eastAsia="宋体" w:cs="宋体"/>
          <w:b/>
          <w:bCs/>
          <w:kern w:val="44"/>
          <w:sz w:val="32"/>
          <w:szCs w:val="32"/>
          <w:shd w:val="clear" w:fill="FFFFFF"/>
        </w:rPr>
        <w:t xml:space="preserve"> </w:t>
      </w:r>
    </w:p>
    <w:p w14:paraId="128A43F6">
      <w:pPr>
        <w:pStyle w:val="4"/>
        <w:keepNext w:val="0"/>
        <w:keepLines w:val="0"/>
        <w:widowControl/>
        <w:suppressLineNumbers w:val="0"/>
        <w:spacing w:before="0" w:beforeAutospacing="0"/>
        <w:ind w:left="0"/>
        <w:jc w:val="center"/>
        <w:rPr>
          <w:rFonts w:hint="eastAsia" w:ascii="宋体" w:hAnsi="宋体" w:eastAsia="宋体" w:cs="宋体"/>
          <w:b/>
          <w:bCs/>
          <w:kern w:val="44"/>
          <w:sz w:val="32"/>
          <w:szCs w:val="32"/>
          <w:shd w:val="clear" w:fill="FFFFFF"/>
        </w:rPr>
      </w:pPr>
      <w:r>
        <w:rPr>
          <w:rFonts w:hint="eastAsia" w:ascii="宋体" w:hAnsi="宋体" w:eastAsia="宋体" w:cs="宋体"/>
          <w:b/>
          <w:bCs/>
          <w:kern w:val="44"/>
          <w:sz w:val="32"/>
          <w:szCs w:val="32"/>
          <w:shd w:val="clear" w:fill="FFFFFF"/>
        </w:rPr>
        <w:t xml:space="preserve"> </w:t>
      </w:r>
    </w:p>
    <w:p w14:paraId="57A59E2C">
      <w:pPr>
        <w:widowControl/>
        <w:spacing w:line="440" w:lineRule="exact"/>
        <w:jc w:val="left"/>
        <w:rPr>
          <w:rFonts w:ascii="仿宋" w:hAnsi="仿宋" w:eastAsia="仿宋"/>
          <w:bCs/>
          <w:kern w:val="44"/>
          <w:sz w:val="24"/>
        </w:rPr>
      </w:pPr>
      <w:r>
        <w:rPr>
          <w:rFonts w:ascii="仿宋" w:hAnsi="仿宋" w:eastAsia="仿宋"/>
          <w:b/>
          <w:sz w:val="24"/>
        </w:rPr>
        <w:br w:type="page"/>
      </w:r>
    </w:p>
    <w:p w14:paraId="1104546B">
      <w:pPr>
        <w:pStyle w:val="4"/>
        <w:jc w:val="center"/>
        <w:rPr>
          <w:rStyle w:val="26"/>
          <w:rFonts w:ascii="黑体" w:hAnsi="黑体" w:eastAsia="黑体"/>
          <w:b/>
          <w:bCs w:val="0"/>
        </w:rPr>
      </w:pPr>
      <w:bookmarkStart w:id="3" w:name="_Toc79163601"/>
      <w:bookmarkStart w:id="4" w:name="_Toc79163851"/>
      <w:r>
        <w:rPr>
          <w:rFonts w:hint="eastAsia" w:ascii="黑体" w:hAnsi="黑体" w:eastAsia="黑体"/>
          <w:b w:val="0"/>
        </w:rPr>
        <w:t>第一部分</w:t>
      </w:r>
      <w:r>
        <w:rPr>
          <w:rFonts w:ascii="黑体" w:hAnsi="黑体" w:eastAsia="黑体"/>
          <w:b w:val="0"/>
        </w:rPr>
        <w:t xml:space="preserve"> </w:t>
      </w:r>
      <w:r>
        <w:rPr>
          <w:rStyle w:val="26"/>
          <w:rFonts w:hint="eastAsia" w:ascii="黑体" w:hAnsi="黑体" w:eastAsia="黑体"/>
          <w:b w:val="0"/>
          <w:bCs w:val="0"/>
        </w:rPr>
        <w:t>部门概况</w:t>
      </w:r>
      <w:bookmarkEnd w:id="1"/>
      <w:bookmarkEnd w:id="2"/>
      <w:bookmarkEnd w:id="3"/>
      <w:bookmarkEnd w:id="4"/>
    </w:p>
    <w:p w14:paraId="740ADCB1">
      <w:pPr>
        <w:widowControl/>
        <w:jc w:val="left"/>
        <w:rPr>
          <w:rFonts w:ascii="黑体" w:eastAsia="黑体"/>
          <w:color w:val="000000"/>
          <w:sz w:val="32"/>
          <w:szCs w:val="32"/>
        </w:rPr>
      </w:pPr>
    </w:p>
    <w:p w14:paraId="215F61AF">
      <w:pPr>
        <w:pStyle w:val="5"/>
        <w:rPr>
          <w:rStyle w:val="27"/>
          <w:rFonts w:hint="eastAsia" w:ascii="仿宋" w:hAnsi="仿宋" w:eastAsia="黑体"/>
          <w:b w:val="0"/>
          <w:bCs w:val="0"/>
          <w:lang w:val="en-US" w:eastAsia="zh-CN"/>
        </w:rPr>
      </w:pPr>
      <w:bookmarkStart w:id="5" w:name="_Toc15377197"/>
      <w:bookmarkStart w:id="6" w:name="_Toc15396600"/>
      <w:bookmarkStart w:id="7" w:name="_Toc79163602"/>
      <w:bookmarkStart w:id="8" w:name="_Toc79163852"/>
      <w:r>
        <w:rPr>
          <w:rFonts w:hint="eastAsia" w:ascii="黑体" w:hAnsi="黑体" w:eastAsia="黑体"/>
          <w:b w:val="0"/>
          <w:color w:val="000000"/>
        </w:rPr>
        <w:t>一、</w:t>
      </w:r>
      <w:bookmarkEnd w:id="5"/>
      <w:bookmarkEnd w:id="6"/>
      <w:bookmarkEnd w:id="7"/>
      <w:bookmarkEnd w:id="8"/>
      <w:r>
        <w:rPr>
          <w:rFonts w:hint="eastAsia" w:ascii="黑体" w:hAnsi="黑体" w:eastAsia="黑体"/>
          <w:b w:val="0"/>
          <w:color w:val="000000"/>
          <w:lang w:eastAsia="zh-CN"/>
        </w:rPr>
        <w:t>主要职责</w:t>
      </w:r>
    </w:p>
    <w:p w14:paraId="664CB0EC">
      <w:pPr>
        <w:pStyle w:val="8"/>
        <w:adjustRightInd w:val="0"/>
        <w:snapToGrid w:val="0"/>
        <w:spacing w:before="93" w:line="600" w:lineRule="exact"/>
        <w:ind w:firstLine="675" w:firstLineChars="210"/>
        <w:outlineLvl w:val="2"/>
        <w:rPr>
          <w:rFonts w:hint="eastAsia" w:ascii="楷体" w:hAnsi="楷体" w:eastAsia="楷体" w:cs="楷体"/>
          <w:b/>
          <w:bCs/>
          <w:color w:val="auto"/>
          <w:kern w:val="2"/>
          <w:sz w:val="32"/>
          <w:szCs w:val="32"/>
          <w:lang w:val="en-US" w:eastAsia="zh-CN" w:bidi="ar-SA"/>
        </w:rPr>
      </w:pPr>
      <w:bookmarkStart w:id="9" w:name="_Toc79163853"/>
      <w:bookmarkStart w:id="10" w:name="_Toc79163603"/>
      <w:bookmarkStart w:id="11" w:name="_Toc15378445"/>
      <w:bookmarkStart w:id="12" w:name="_Toc15377198"/>
      <w:r>
        <w:rPr>
          <w:rFonts w:hint="eastAsia" w:ascii="楷体" w:hAnsi="楷体" w:eastAsia="楷体" w:cs="楷体"/>
          <w:b/>
          <w:bCs/>
          <w:color w:val="auto"/>
          <w:kern w:val="2"/>
          <w:sz w:val="32"/>
          <w:szCs w:val="32"/>
          <w:lang w:val="en-US" w:eastAsia="zh-CN" w:bidi="ar-SA"/>
        </w:rPr>
        <w:t>（一）主要职能。</w:t>
      </w:r>
      <w:bookmarkEnd w:id="9"/>
      <w:bookmarkEnd w:id="10"/>
    </w:p>
    <w:bookmarkEnd w:id="11"/>
    <w:bookmarkEnd w:id="12"/>
    <w:p w14:paraId="296B6605">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6" w:lineRule="exact"/>
        <w:ind w:left="0" w:right="0" w:firstLine="643" w:firstLineChars="200"/>
        <w:jc w:val="both"/>
        <w:textAlignment w:val="auto"/>
        <w:rPr>
          <w:rFonts w:hint="default" w:ascii="仿宋_GB2312" w:hAnsi="仿宋_GB2312" w:eastAsia="仿宋_GB2312" w:cs="仿宋_GB2312"/>
          <w:i w:val="0"/>
          <w:caps w:val="0"/>
          <w:color w:val="auto"/>
          <w:spacing w:val="0"/>
          <w:kern w:val="0"/>
          <w:sz w:val="32"/>
          <w:szCs w:val="32"/>
          <w:lang w:val="en-US" w:eastAsia="zh-CN" w:bidi="ar"/>
        </w:rPr>
      </w:pPr>
      <w:r>
        <w:rPr>
          <w:rFonts w:hint="eastAsia" w:ascii="楷体" w:hAnsi="楷体" w:eastAsia="楷体" w:cs="楷体"/>
          <w:b/>
          <w:bCs/>
          <w:color w:val="auto"/>
          <w:sz w:val="32"/>
          <w:szCs w:val="32"/>
          <w:lang w:val="en-US" w:eastAsia="zh-CN"/>
        </w:rPr>
        <w:t>1、加强党的领导，抓好基层党建</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率</w:t>
      </w:r>
      <w:r>
        <w:rPr>
          <w:rFonts w:hint="eastAsia" w:ascii="仿宋_GB2312" w:hAnsi="仿宋_GB2312" w:eastAsia="仿宋_GB2312" w:cs="仿宋_GB2312"/>
          <w:color w:val="auto"/>
          <w:sz w:val="32"/>
          <w:szCs w:val="32"/>
        </w:rPr>
        <w:t>行政治领导责任，做好理论武装和思想政治工作，负责学习、宣传、贯彻执行党的理论和路线方针政策，贯彻落实党中央、省委、州委、县委的决策部署，发挥好把方向、管大局、保落实的重要作用。</w:t>
      </w:r>
      <w:r>
        <w:rPr>
          <w:rFonts w:hint="eastAsia" w:ascii="仿宋_GB2312" w:hAnsi="仿宋_GB2312" w:eastAsia="仿宋_GB2312" w:cs="仿宋_GB2312"/>
          <w:color w:val="auto"/>
          <w:sz w:val="32"/>
          <w:szCs w:val="32"/>
          <w:lang w:val="en-US" w:eastAsia="zh-CN"/>
        </w:rPr>
        <w:t>履行党要管党、从严治党主体责任，全面推进党的政治建设、思想建设、组织建设、作风建设、纪律建设，落实党建工作责任制，推动全面从严治党向基层延伸。认真履行党风廉政建设主体责任，维护和执行党的纪律，监督党员干部和其他工作人员严格遵守国家法律法规。其他应当由党委讨论和决定的重大问题。</w:t>
      </w:r>
      <w:r>
        <w:rPr>
          <w:rFonts w:hint="eastAsia" w:ascii="仿宋_GB2312" w:hAnsi="仿宋_GB2312" w:eastAsia="仿宋_GB2312" w:cs="仿宋_GB2312"/>
          <w:color w:val="auto"/>
          <w:sz w:val="32"/>
          <w:szCs w:val="32"/>
        </w:rPr>
        <w:t>贯彻党管干部原则，加强干部队伍建设，完善干部培养选拔机制，加强干部教育管理监督。贯彻党管人才原则，加强人才队伍建设。加强对本</w:t>
      </w:r>
      <w:r>
        <w:rPr>
          <w:rFonts w:hint="eastAsia" w:ascii="仿宋_GB2312" w:hAnsi="仿宋_GB2312" w:eastAsia="仿宋_GB2312" w:cs="仿宋_GB2312"/>
          <w:color w:val="auto"/>
          <w:sz w:val="32"/>
          <w:szCs w:val="32"/>
          <w:lang w:val="en-US" w:eastAsia="zh-CN"/>
        </w:rPr>
        <w:t>镇</w:t>
      </w:r>
      <w:r>
        <w:rPr>
          <w:rFonts w:hint="eastAsia" w:ascii="仿宋_GB2312" w:hAnsi="仿宋_GB2312" w:eastAsia="仿宋_GB2312" w:cs="仿宋_GB2312"/>
          <w:color w:val="auto"/>
          <w:sz w:val="32"/>
          <w:szCs w:val="32"/>
        </w:rPr>
        <w:t>工会、共青团、妇联等群团工作的领导。</w:t>
      </w:r>
      <w:r>
        <w:rPr>
          <w:rFonts w:hint="eastAsia" w:ascii="仿宋_GB2312" w:hAnsi="仿宋_GB2312" w:eastAsia="仿宋_GB2312" w:cs="仿宋_GB2312"/>
          <w:color w:val="auto"/>
          <w:sz w:val="32"/>
          <w:szCs w:val="32"/>
          <w:lang w:val="en-US" w:eastAsia="zh-CN"/>
        </w:rPr>
        <w:t>指导农村党建，</w:t>
      </w:r>
      <w:r>
        <w:rPr>
          <w:rFonts w:hint="eastAsia" w:ascii="仿宋_GB2312" w:hAnsi="仿宋_GB2312" w:eastAsia="仿宋_GB2312" w:cs="仿宋_GB2312"/>
          <w:i w:val="0"/>
          <w:caps w:val="0"/>
          <w:color w:val="auto"/>
          <w:spacing w:val="0"/>
          <w:kern w:val="0"/>
          <w:sz w:val="32"/>
          <w:szCs w:val="32"/>
          <w:lang w:val="en-US" w:eastAsia="zh-CN" w:bidi="ar"/>
        </w:rPr>
        <w:t>落实基层党建工作责任制，严格抓好基层党组织建设各项制度，统筹抓好镇机关、村（社区）、驻辖区单位、行业、“两新”组织等党建工作，推进全面从严治党，强化“两个责任”，落实农村基层党建工作要求。加强基层社会宣传、舆论引导、精神文明建设、统一战线工作，落实党管意识形态工作责任制，健全完善党建引领基层体系，强化基层治理平台建设，进一步增强党在农村的政治领导力、思想引领力、群众组织力、社会号召力。</w:t>
      </w:r>
    </w:p>
    <w:p w14:paraId="67F4B165">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6" w:lineRule="exact"/>
        <w:ind w:left="0" w:right="0" w:firstLine="643" w:firstLineChars="200"/>
        <w:jc w:val="both"/>
        <w:textAlignment w:val="auto"/>
        <w:rPr>
          <w:rFonts w:hint="eastAsia" w:ascii="仿宋_GB2312" w:hAnsi="仿宋_GB2312" w:eastAsia="仿宋_GB2312" w:cs="仿宋_GB2312"/>
          <w:color w:val="auto"/>
          <w:sz w:val="32"/>
          <w:szCs w:val="32"/>
          <w:lang w:val="en-US" w:eastAsia="zh-CN"/>
        </w:rPr>
      </w:pPr>
      <w:r>
        <w:rPr>
          <w:rFonts w:hint="eastAsia" w:ascii="楷体" w:hAnsi="楷体" w:eastAsia="楷体" w:cs="楷体"/>
          <w:b/>
          <w:bCs/>
          <w:color w:val="auto"/>
          <w:sz w:val="32"/>
          <w:szCs w:val="32"/>
          <w:lang w:val="en-US" w:eastAsia="zh-CN"/>
        </w:rPr>
        <w:t>2、统筹经济发展，实施乡村振兴。</w:t>
      </w:r>
      <w:r>
        <w:rPr>
          <w:rFonts w:hint="eastAsia" w:ascii="仿宋_GB2312" w:hAnsi="仿宋_GB2312" w:eastAsia="仿宋_GB2312" w:cs="仿宋_GB2312"/>
          <w:color w:val="auto"/>
          <w:sz w:val="32"/>
          <w:szCs w:val="32"/>
          <w:lang w:val="en-US" w:eastAsia="zh-CN"/>
        </w:rPr>
        <w:t>负责辖区经济发展工作，执行辖区内的经济和社会发展计划、预算。参与区域内土地利用、产业发展等规划编制，对区域内重大基础设施建设、重大公共服务资源布局、重大政策提出意见建议。落实辖区内发展规划、专项规划、区域规划、国土空间规划和“四好农村路”建设等。巩固脱贫攻坚成果，贯彻落实中央、省、州、县关于实施乡村振兴战略的决策部署，提升农业发展质量，加强农村人居环境整治，推进宜居乡村建设，增强乡村振兴内生动力。指导农村经济发展，推动产业结构调整。保护各种经济组织的合法权益，营造良好的营商环境。落实财政保障和财政管理有关政策，统筹管理本级财务及集体资产，协助做好税收征管工作，指导、监管村级财务和资产管理工作。</w:t>
      </w:r>
    </w:p>
    <w:p w14:paraId="0B4A5037">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6" w:lineRule="exact"/>
        <w:ind w:left="0" w:right="0" w:firstLine="643" w:firstLineChars="200"/>
        <w:jc w:val="both"/>
        <w:textAlignment w:val="auto"/>
        <w:rPr>
          <w:rFonts w:hint="eastAsia" w:ascii="楷体" w:hAnsi="楷体" w:eastAsia="楷体" w:cs="楷体"/>
          <w:b/>
          <w:bCs/>
          <w:color w:val="auto"/>
          <w:sz w:val="32"/>
          <w:szCs w:val="32"/>
          <w:lang w:val="en-US" w:eastAsia="zh-CN"/>
        </w:rPr>
      </w:pPr>
      <w:r>
        <w:rPr>
          <w:rFonts w:hint="eastAsia" w:ascii="楷体" w:hAnsi="楷体" w:eastAsia="楷体" w:cs="楷体"/>
          <w:b/>
          <w:bCs/>
          <w:color w:val="auto"/>
          <w:sz w:val="32"/>
          <w:szCs w:val="32"/>
          <w:lang w:val="en-US" w:eastAsia="zh-CN"/>
        </w:rPr>
        <w:t>3、组织公共服务，着力改善民生。</w:t>
      </w:r>
      <w:r>
        <w:rPr>
          <w:rFonts w:hint="eastAsia" w:ascii="仿宋_GB2312" w:hAnsi="仿宋_GB2312" w:eastAsia="仿宋_GB2312" w:cs="仿宋_GB2312"/>
          <w:color w:val="auto"/>
          <w:sz w:val="32"/>
          <w:szCs w:val="32"/>
          <w:lang w:val="en-US" w:eastAsia="zh-CN"/>
        </w:rPr>
        <w:t>加强乡综合便民服务平台标准化建设，做好村（社区）服务配套设施和综合服务平台建设，提升便民服务质量。负责教育体育、劳动就业、社会保障、卫生健康、计划生育、医疗保障、低保救助、助老助残、殡葬管理、文化旅游、民族宗教、移民搬迁、农技推广、农民工、妇女和未成年人保护等公共服务工作，承担组织领导、推进实施、综合协调等职责。</w:t>
      </w:r>
    </w:p>
    <w:p w14:paraId="5DF70E1B">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6" w:lineRule="exact"/>
        <w:ind w:left="0" w:right="0" w:firstLine="643" w:firstLineChars="200"/>
        <w:jc w:val="both"/>
        <w:textAlignment w:val="auto"/>
        <w:rPr>
          <w:rFonts w:hint="eastAsia"/>
          <w:color w:val="auto"/>
          <w:lang w:val="en-US" w:eastAsia="zh-CN"/>
        </w:rPr>
      </w:pPr>
      <w:r>
        <w:rPr>
          <w:rFonts w:hint="eastAsia" w:ascii="楷体" w:hAnsi="楷体" w:eastAsia="楷体" w:cs="楷体"/>
          <w:b/>
          <w:bCs/>
          <w:color w:val="auto"/>
          <w:sz w:val="32"/>
          <w:szCs w:val="32"/>
          <w:lang w:val="en-US" w:eastAsia="zh-CN"/>
        </w:rPr>
        <w:t>4、领导基层治理，维护社会治安</w:t>
      </w:r>
      <w:r>
        <w:rPr>
          <w:rFonts w:hint="eastAsia" w:ascii="仿宋_GB2312" w:hAnsi="仿宋_GB2312" w:eastAsia="仿宋_GB2312" w:cs="仿宋_GB2312"/>
          <w:i w:val="0"/>
          <w:caps w:val="0"/>
          <w:color w:val="auto"/>
          <w:spacing w:val="0"/>
          <w:kern w:val="0"/>
          <w:sz w:val="32"/>
          <w:szCs w:val="32"/>
          <w:lang w:val="en-US" w:eastAsia="zh-CN" w:bidi="ar"/>
        </w:rPr>
        <w:t>负责</w:t>
      </w:r>
      <w:r>
        <w:rPr>
          <w:rFonts w:hint="eastAsia" w:ascii="仿宋_GB2312" w:hAnsi="仿宋_GB2312" w:eastAsia="仿宋_GB2312" w:cs="仿宋_GB2312"/>
          <w:color w:val="auto"/>
          <w:sz w:val="32"/>
          <w:szCs w:val="32"/>
          <w:lang w:val="en-US" w:eastAsia="zh-CN"/>
        </w:rPr>
        <w:t>辖区公共安全及安全生产监管、应急管理工作。构建公共安全防控体系，建立应对突发紧急事件的处理预案，做好安全生产、防汛、消防、森林（草原）防灭火、减灾救灾、防疫、气象灾害防御、食品药品安全、地质灾害防治等应急管理工作，加强监督检查、隐患排查，落实安全生产责任制。负责辖区内生态环境保护和自然资源管理等工作。</w:t>
      </w:r>
      <w:r>
        <w:rPr>
          <w:rFonts w:hint="eastAsia" w:ascii="仿宋_GB2312" w:hAnsi="仿宋_GB2312" w:eastAsia="仿宋_GB2312" w:cs="仿宋_GB2312"/>
          <w:i w:val="0"/>
          <w:caps w:val="0"/>
          <w:color w:val="auto"/>
          <w:spacing w:val="0"/>
          <w:kern w:val="0"/>
          <w:sz w:val="32"/>
          <w:szCs w:val="32"/>
          <w:lang w:val="en-US" w:eastAsia="zh-CN" w:bidi="ar"/>
        </w:rPr>
        <w:t>承担辖区社会治安综合治理工作，加强法制建设和社会治安综合治理。贯彻</w:t>
      </w:r>
      <w:r>
        <w:rPr>
          <w:rFonts w:hint="eastAsia" w:ascii="仿宋_GB2312" w:hAnsi="仿宋_GB2312" w:eastAsia="仿宋_GB2312" w:cs="仿宋_GB2312"/>
          <w:color w:val="auto"/>
          <w:sz w:val="32"/>
          <w:szCs w:val="32"/>
          <w:lang w:val="en-US" w:eastAsia="zh-CN"/>
        </w:rPr>
        <w:t>落实社会矛盾纠纷排查调处机制，及时化解辖区社会矛盾纠纷，确保社会稳定。协助司法机关开展打击各类刑事犯罪和禁毒、扫黑除恶等活动，稳妥处理突发性、群体性事件，确保人民群众生命财产安全。指导村（社区）村民（居民）自治，促进社会组织健康发展，完善村规民约，增强社会自治功能。负责国防教育，承担辖区内国防动员、征兵、民兵预备役、双拥等工作。保障各少数民族的合法权利和利益，尊重少数民族的风俗习惯。</w:t>
      </w:r>
      <w:r>
        <w:rPr>
          <w:rFonts w:hint="default" w:ascii="仿宋_GB2312" w:hAnsi="仿宋_GB2312" w:eastAsia="仿宋_GB2312" w:cs="仿宋_GB2312"/>
          <w:color w:val="auto"/>
          <w:sz w:val="32"/>
          <w:szCs w:val="32"/>
          <w:lang w:val="en-US" w:eastAsia="zh-CN"/>
        </w:rPr>
        <w:t>保障宪法和法律赋予妇女的男女平等、同工同酬和婚姻自由等各项权利。</w:t>
      </w:r>
    </w:p>
    <w:p w14:paraId="21755C53">
      <w:pPr>
        <w:pStyle w:val="18"/>
        <w:keepNext w:val="0"/>
        <w:keepLines w:val="0"/>
        <w:pageBreakBefore w:val="0"/>
        <w:widowControl w:val="0"/>
        <w:kinsoku/>
        <w:wordWrap/>
        <w:overflowPunct/>
        <w:topLinePunct w:val="0"/>
        <w:autoSpaceDE/>
        <w:autoSpaceDN/>
        <w:bidi w:val="0"/>
        <w:adjustRightInd/>
        <w:snapToGrid/>
        <w:spacing w:line="576" w:lineRule="exact"/>
        <w:ind w:leftChars="0" w:firstLine="643" w:firstLineChars="200"/>
        <w:textAlignment w:val="auto"/>
        <w:rPr>
          <w:rFonts w:hint="eastAsia" w:ascii="楷体" w:hAnsi="楷体" w:eastAsia="楷体" w:cs="楷体"/>
          <w:b/>
          <w:bCs/>
          <w:color w:val="auto"/>
          <w:sz w:val="32"/>
          <w:szCs w:val="32"/>
          <w:lang w:val="en-US" w:eastAsia="zh-CN"/>
        </w:rPr>
      </w:pPr>
      <w:r>
        <w:rPr>
          <w:rFonts w:hint="eastAsia" w:ascii="楷体" w:hAnsi="楷体" w:eastAsia="楷体" w:cs="楷体"/>
          <w:b/>
          <w:bCs/>
          <w:color w:val="auto"/>
          <w:sz w:val="32"/>
          <w:szCs w:val="32"/>
          <w:lang w:val="en-US" w:eastAsia="zh-CN"/>
        </w:rPr>
        <w:t>5、完成法律法规、规章规定和上级交办的其他事项。</w:t>
      </w:r>
    </w:p>
    <w:p w14:paraId="2164BE15">
      <w:pPr>
        <w:pStyle w:val="8"/>
        <w:adjustRightInd w:val="0"/>
        <w:snapToGrid w:val="0"/>
        <w:spacing w:before="93" w:line="600" w:lineRule="exact"/>
        <w:ind w:firstLine="643" w:firstLineChars="200"/>
        <w:outlineLvl w:val="2"/>
        <w:rPr>
          <w:rFonts w:hint="eastAsia" w:ascii="楷体" w:hAnsi="楷体" w:eastAsia="楷体" w:cs="楷体"/>
          <w:b/>
          <w:bCs w:val="0"/>
          <w:color w:val="000000"/>
          <w:sz w:val="32"/>
          <w:szCs w:val="32"/>
        </w:rPr>
      </w:pPr>
      <w:bookmarkStart w:id="13" w:name="_Toc79163854"/>
      <w:bookmarkStart w:id="14" w:name="_Toc15378446"/>
      <w:bookmarkStart w:id="15" w:name="_Toc15377199"/>
      <w:bookmarkStart w:id="16" w:name="_Toc79163604"/>
      <w:r>
        <w:rPr>
          <w:rFonts w:hint="eastAsia" w:ascii="楷体" w:hAnsi="楷体" w:eastAsia="楷体" w:cs="楷体"/>
          <w:b/>
          <w:bCs w:val="0"/>
          <w:color w:val="000000"/>
          <w:sz w:val="32"/>
          <w:szCs w:val="32"/>
        </w:rPr>
        <w:t>（二）202</w:t>
      </w:r>
      <w:r>
        <w:rPr>
          <w:rFonts w:hint="eastAsia" w:ascii="楷体" w:hAnsi="楷体" w:eastAsia="楷体" w:cs="楷体"/>
          <w:b/>
          <w:bCs w:val="0"/>
          <w:color w:val="000000"/>
          <w:sz w:val="32"/>
          <w:szCs w:val="32"/>
          <w:lang w:val="en-US" w:eastAsia="zh-CN"/>
        </w:rPr>
        <w:t>2</w:t>
      </w:r>
      <w:r>
        <w:rPr>
          <w:rFonts w:hint="eastAsia" w:ascii="楷体" w:hAnsi="楷体" w:eastAsia="楷体" w:cs="楷体"/>
          <w:b/>
          <w:bCs w:val="0"/>
          <w:color w:val="000000"/>
          <w:sz w:val="32"/>
          <w:szCs w:val="32"/>
        </w:rPr>
        <w:t>年重点工作完成情况。</w:t>
      </w:r>
      <w:bookmarkEnd w:id="13"/>
      <w:bookmarkEnd w:id="14"/>
      <w:bookmarkEnd w:id="15"/>
      <w:bookmarkEnd w:id="16"/>
    </w:p>
    <w:p w14:paraId="667511A2">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3" w:firstLineChars="200"/>
        <w:textAlignment w:val="auto"/>
        <w:rPr>
          <w:rFonts w:hint="eastAsia" w:ascii="Times New Roman" w:hAnsi="Times New Roman" w:eastAsia="仿宋_GB2312" w:cs="Times New Roman"/>
          <w:color w:val="auto"/>
          <w:sz w:val="32"/>
          <w:szCs w:val="32"/>
          <w:lang w:val="en-US" w:eastAsia="zh-CN"/>
        </w:rPr>
      </w:pPr>
      <w:r>
        <w:rPr>
          <w:rFonts w:hint="eastAsia" w:ascii="楷体_GB2312" w:hAnsi="楷体_GB2312" w:eastAsia="楷体_GB2312" w:cs="楷体_GB2312"/>
          <w:b/>
          <w:bCs/>
          <w:color w:val="auto"/>
          <w:sz w:val="32"/>
          <w:szCs w:val="32"/>
          <w:lang w:val="en-US" w:eastAsia="zh-CN"/>
        </w:rPr>
        <w:t>1、</w:t>
      </w:r>
      <w:r>
        <w:rPr>
          <w:rFonts w:hint="eastAsia" w:ascii="楷体_GB2312" w:hAnsi="楷体_GB2312" w:eastAsia="楷体_GB2312" w:cs="楷体_GB2312"/>
          <w:b/>
          <w:bCs/>
          <w:color w:val="auto"/>
          <w:sz w:val="32"/>
          <w:szCs w:val="32"/>
          <w:lang w:eastAsia="zh-CN"/>
        </w:rPr>
        <w:t>抓党建，</w:t>
      </w:r>
      <w:bookmarkStart w:id="142" w:name="_GoBack"/>
      <w:bookmarkEnd w:id="142"/>
      <w:r>
        <w:rPr>
          <w:rFonts w:hint="eastAsia" w:ascii="楷体_GB2312" w:hAnsi="楷体_GB2312" w:eastAsia="楷体_GB2312" w:cs="楷体_GB2312"/>
          <w:b/>
          <w:bCs/>
          <w:color w:val="auto"/>
          <w:sz w:val="32"/>
          <w:szCs w:val="32"/>
          <w:lang w:eastAsia="zh-CN"/>
        </w:rPr>
        <w:t>推动全面从严治党向纵深发展。</w:t>
      </w:r>
      <w:r>
        <w:rPr>
          <w:rFonts w:hint="default" w:ascii="Times New Roman" w:hAnsi="Times New Roman" w:eastAsia="仿宋_GB2312" w:cs="Times New Roman"/>
          <w:color w:val="auto"/>
          <w:sz w:val="32"/>
          <w:szCs w:val="32"/>
          <w:lang w:val="en-US" w:eastAsia="zh-CN"/>
        </w:rPr>
        <w:t>镇党委始终坚持把抓基层、打基础作为长远之计和固本之策，高点定位、高标谋划、高效落实</w:t>
      </w:r>
      <w:r>
        <w:rPr>
          <w:rFonts w:hint="eastAsia" w:ascii="Times New Roman" w:hAnsi="Times New Roman" w:eastAsia="仿宋_GB2312" w:cs="Times New Roman"/>
          <w:color w:val="auto"/>
          <w:sz w:val="32"/>
          <w:szCs w:val="32"/>
          <w:lang w:val="en-US" w:eastAsia="zh-CN"/>
        </w:rPr>
        <w:t>，积极推行“一线工作法”，27个基层党支部充分发挥</w:t>
      </w:r>
      <w:r>
        <w:rPr>
          <w:rFonts w:hint="eastAsia" w:eastAsia="仿宋_GB2312" w:cs="Times New Roman"/>
          <w:color w:val="auto"/>
          <w:sz w:val="32"/>
          <w:szCs w:val="32"/>
          <w:lang w:val="en-US" w:eastAsia="zh-CN"/>
        </w:rPr>
        <w:t>战斗堡垒作用</w:t>
      </w:r>
      <w:r>
        <w:rPr>
          <w:rFonts w:hint="eastAsia" w:ascii="Times New Roman" w:hAnsi="Times New Roman" w:eastAsia="仿宋_GB2312" w:cs="Times New Roman"/>
          <w:color w:val="auto"/>
          <w:sz w:val="32"/>
          <w:szCs w:val="32"/>
          <w:lang w:val="en-US" w:eastAsia="zh-CN"/>
        </w:rPr>
        <w:t>引领735名党员在疫情防控、防灾减灾、森林草原防灭火等工作一线发挥“先锋模范”作用。</w:t>
      </w:r>
      <w:r>
        <w:rPr>
          <w:rFonts w:hint="default" w:ascii="Times New Roman" w:hAnsi="Times New Roman" w:eastAsia="仿宋_GB2312" w:cs="Times New Roman"/>
          <w:color w:val="auto"/>
          <w:sz w:val="32"/>
          <w:szCs w:val="32"/>
          <w:lang w:val="en-US" w:eastAsia="zh-CN"/>
        </w:rPr>
        <w:t>紧扣“国际旅游生态小镇”战略定位，实施“1333”生态党建工程，分</w:t>
      </w:r>
      <w:r>
        <w:rPr>
          <w:rFonts w:hint="eastAsia" w:ascii="Times New Roman" w:hAnsi="Times New Roman" w:eastAsia="仿宋_GB2312" w:cs="Times New Roman"/>
          <w:color w:val="auto"/>
          <w:sz w:val="32"/>
          <w:szCs w:val="32"/>
          <w:lang w:val="en-US" w:eastAsia="zh-CN"/>
        </w:rPr>
        <w:t>领域、分步骤</w:t>
      </w:r>
      <w:r>
        <w:rPr>
          <w:rFonts w:hint="default" w:ascii="Times New Roman" w:hAnsi="Times New Roman" w:eastAsia="仿宋_GB2312" w:cs="Times New Roman"/>
          <w:color w:val="auto"/>
          <w:sz w:val="32"/>
          <w:szCs w:val="32"/>
          <w:lang w:val="en-US" w:eastAsia="zh-CN"/>
        </w:rPr>
        <w:t>实施“松潘先锋”党建示范工程，</w:t>
      </w:r>
      <w:r>
        <w:rPr>
          <w:rFonts w:hint="eastAsia" w:ascii="Times New Roman" w:hAnsi="Times New Roman" w:eastAsia="仿宋_GB2312" w:cs="Times New Roman"/>
          <w:color w:val="auto"/>
          <w:sz w:val="32"/>
          <w:szCs w:val="32"/>
          <w:lang w:val="en-US" w:eastAsia="zh-CN"/>
        </w:rPr>
        <w:t>推动山巴村党建示范点建设。</w:t>
      </w:r>
      <w:r>
        <w:rPr>
          <w:rFonts w:hint="eastAsia" w:ascii="Times New Roman" w:hAnsi="Times New Roman" w:eastAsia="仿宋_GB2312" w:cs="Times New Roman"/>
          <w:color w:val="auto"/>
          <w:sz w:val="32"/>
          <w:szCs w:val="32"/>
          <w:lang w:eastAsia="zh-CN"/>
        </w:rPr>
        <w:t>扎实开展</w:t>
      </w:r>
      <w:r>
        <w:rPr>
          <w:rFonts w:hint="default" w:ascii="Times New Roman" w:hAnsi="Times New Roman" w:eastAsia="仿宋_GB2312" w:cs="Times New Roman"/>
          <w:color w:val="auto"/>
          <w:sz w:val="32"/>
          <w:szCs w:val="32"/>
        </w:rPr>
        <w:t>党员</w:t>
      </w:r>
      <w:r>
        <w:rPr>
          <w:rFonts w:hint="default" w:ascii="Times New Roman" w:hAnsi="Times New Roman" w:eastAsia="仿宋_GB2312" w:cs="Times New Roman"/>
          <w:color w:val="auto"/>
          <w:sz w:val="32"/>
          <w:szCs w:val="32"/>
          <w:lang w:eastAsia="zh-CN"/>
        </w:rPr>
        <w:t>发展违规违纪</w:t>
      </w:r>
      <w:r>
        <w:rPr>
          <w:rFonts w:hint="eastAsia" w:ascii="Times New Roman" w:hAnsi="Times New Roman" w:eastAsia="仿宋_GB2312" w:cs="Times New Roman"/>
          <w:color w:val="auto"/>
          <w:sz w:val="32"/>
          <w:szCs w:val="32"/>
          <w:lang w:eastAsia="zh-CN"/>
        </w:rPr>
        <w:t>专项</w:t>
      </w:r>
      <w:r>
        <w:rPr>
          <w:rFonts w:hint="default" w:ascii="Times New Roman" w:hAnsi="Times New Roman" w:eastAsia="仿宋_GB2312" w:cs="Times New Roman"/>
          <w:color w:val="auto"/>
          <w:sz w:val="32"/>
          <w:szCs w:val="32"/>
        </w:rPr>
        <w:t>排查，</w:t>
      </w:r>
      <w:r>
        <w:rPr>
          <w:rFonts w:hint="eastAsia" w:ascii="Times New Roman" w:hAnsi="Times New Roman" w:eastAsia="仿宋_GB2312" w:cs="Times New Roman"/>
          <w:color w:val="auto"/>
          <w:sz w:val="32"/>
          <w:szCs w:val="32"/>
          <w:lang w:val="en-US" w:eastAsia="zh-CN"/>
        </w:rPr>
        <w:t>全覆盖对</w:t>
      </w:r>
      <w:r>
        <w:rPr>
          <w:rFonts w:hint="default" w:ascii="Times New Roman" w:hAnsi="Times New Roman" w:eastAsia="仿宋_GB2312" w:cs="Times New Roman"/>
          <w:color w:val="auto"/>
          <w:sz w:val="32"/>
          <w:szCs w:val="32"/>
          <w:lang w:val="en-US" w:eastAsia="zh-CN"/>
        </w:rPr>
        <w:t>73</w:t>
      </w:r>
      <w:r>
        <w:rPr>
          <w:rFonts w:hint="eastAsia" w:ascii="Times New Roman" w:hAnsi="Times New Roman" w:eastAsia="仿宋_GB2312" w:cs="Times New Roman"/>
          <w:color w:val="auto"/>
          <w:sz w:val="32"/>
          <w:szCs w:val="32"/>
          <w:lang w:val="en-US" w:eastAsia="zh-CN"/>
        </w:rPr>
        <w:t>5</w:t>
      </w:r>
      <w:r>
        <w:rPr>
          <w:rFonts w:hint="default" w:ascii="Times New Roman" w:hAnsi="Times New Roman" w:eastAsia="仿宋_GB2312" w:cs="Times New Roman"/>
          <w:color w:val="auto"/>
          <w:sz w:val="32"/>
          <w:szCs w:val="32"/>
        </w:rPr>
        <w:t>名党员组织关系</w:t>
      </w:r>
      <w:r>
        <w:rPr>
          <w:rFonts w:hint="default" w:ascii="Times New Roman" w:hAnsi="Times New Roman" w:eastAsia="仿宋_GB2312" w:cs="Times New Roman"/>
          <w:color w:val="auto"/>
          <w:sz w:val="32"/>
          <w:szCs w:val="32"/>
          <w:lang w:eastAsia="zh-CN"/>
        </w:rPr>
        <w:t>、违规违纪</w:t>
      </w:r>
      <w:r>
        <w:rPr>
          <w:rFonts w:hint="default" w:ascii="Times New Roman" w:hAnsi="Times New Roman" w:eastAsia="仿宋_GB2312" w:cs="Times New Roman"/>
          <w:color w:val="auto"/>
          <w:sz w:val="32"/>
          <w:szCs w:val="32"/>
          <w:lang w:val="en-US" w:eastAsia="zh-CN"/>
        </w:rPr>
        <w:t>情况</w:t>
      </w:r>
      <w:r>
        <w:rPr>
          <w:rFonts w:hint="default" w:ascii="Times New Roman" w:hAnsi="Times New Roman" w:eastAsia="仿宋_GB2312" w:cs="Times New Roman"/>
          <w:color w:val="auto"/>
          <w:sz w:val="32"/>
          <w:szCs w:val="32"/>
        </w:rPr>
        <w:t>进行</w:t>
      </w:r>
      <w:r>
        <w:rPr>
          <w:rFonts w:hint="eastAsia" w:ascii="Times New Roman" w:hAnsi="Times New Roman" w:eastAsia="仿宋_GB2312" w:cs="Times New Roman"/>
          <w:color w:val="auto"/>
          <w:sz w:val="32"/>
          <w:szCs w:val="32"/>
          <w:lang w:eastAsia="zh-CN"/>
        </w:rPr>
        <w:t>自查。</w:t>
      </w:r>
      <w:r>
        <w:rPr>
          <w:rFonts w:hint="default" w:ascii="Times New Roman" w:hAnsi="Times New Roman" w:eastAsia="仿宋_GB2312" w:cs="Times New Roman"/>
          <w:color w:val="auto"/>
          <w:sz w:val="32"/>
          <w:szCs w:val="32"/>
          <w:lang w:val="en-US" w:eastAsia="zh-CN"/>
        </w:rPr>
        <w:t>深化共治、共建、共享乡村善治工程，</w:t>
      </w:r>
      <w:r>
        <w:rPr>
          <w:rFonts w:hint="eastAsia" w:ascii="Times New Roman" w:hAnsi="Times New Roman" w:eastAsia="仿宋_GB2312" w:cs="Times New Roman"/>
          <w:color w:val="auto"/>
          <w:sz w:val="32"/>
          <w:szCs w:val="32"/>
          <w:lang w:val="en-US" w:eastAsia="zh-CN"/>
        </w:rPr>
        <w:t>以点带面创新推动</w:t>
      </w:r>
      <w:r>
        <w:rPr>
          <w:rFonts w:hint="default" w:ascii="Times New Roman" w:hAnsi="Times New Roman" w:eastAsia="仿宋_GB2312" w:cs="Times New Roman"/>
          <w:color w:val="auto"/>
          <w:sz w:val="32"/>
          <w:szCs w:val="32"/>
        </w:rPr>
        <w:t>上磨村“三型支部”</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山巴村“四共模式”、见培村“四项举措”</w:t>
      </w:r>
      <w:r>
        <w:rPr>
          <w:rFonts w:hint="default" w:ascii="Times New Roman" w:hAnsi="Times New Roman" w:eastAsia="仿宋_GB2312" w:cs="Times New Roman"/>
          <w:color w:val="auto"/>
          <w:sz w:val="32"/>
          <w:szCs w:val="32"/>
          <w:lang w:eastAsia="zh-CN"/>
        </w:rPr>
        <w:t>基层治理</w:t>
      </w:r>
      <w:r>
        <w:rPr>
          <w:rFonts w:hint="eastAsia" w:ascii="Times New Roman" w:hAnsi="Times New Roman" w:eastAsia="仿宋_GB2312" w:cs="Times New Roman"/>
          <w:color w:val="auto"/>
          <w:sz w:val="32"/>
          <w:szCs w:val="32"/>
          <w:lang w:eastAsia="zh-CN"/>
        </w:rPr>
        <w:t>模式，</w:t>
      </w:r>
      <w:r>
        <w:rPr>
          <w:rFonts w:hint="default" w:ascii="Times New Roman" w:hAnsi="Times New Roman" w:eastAsia="仿宋_GB2312" w:cs="Times New Roman"/>
          <w:color w:val="auto"/>
          <w:sz w:val="32"/>
          <w:szCs w:val="32"/>
          <w:lang w:val="en-US" w:eastAsia="zh-CN"/>
        </w:rPr>
        <w:t>助力乡村全面振兴。</w:t>
      </w:r>
      <w:r>
        <w:rPr>
          <w:rFonts w:hint="eastAsia" w:ascii="Times New Roman" w:hAnsi="Times New Roman" w:eastAsia="仿宋_GB2312" w:cs="Times New Roman"/>
          <w:color w:val="auto"/>
          <w:sz w:val="32"/>
          <w:szCs w:val="32"/>
          <w:lang w:eastAsia="zh-CN"/>
        </w:rPr>
        <w:t>持续深化“两联一进”群众工作全覆盖，</w:t>
      </w:r>
      <w:r>
        <w:rPr>
          <w:rFonts w:hint="eastAsia" w:ascii="Times New Roman" w:hAnsi="Times New Roman" w:eastAsia="仿宋_GB2312" w:cs="Times New Roman"/>
          <w:color w:val="auto"/>
          <w:sz w:val="32"/>
          <w:szCs w:val="32"/>
          <w:lang w:val="en-US" w:eastAsia="zh-CN"/>
        </w:rPr>
        <w:t>76名镇机关干部下层一线，切实</w:t>
      </w:r>
      <w:r>
        <w:rPr>
          <w:rFonts w:hint="default" w:ascii="Times New Roman" w:hAnsi="Times New Roman" w:eastAsia="仿宋_GB2312" w:cs="Times New Roman"/>
          <w:color w:val="auto"/>
          <w:sz w:val="32"/>
          <w:szCs w:val="32"/>
        </w:rPr>
        <w:t>做到民情摸上来，问题化解掉、民心聚起来</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集中整顿干部“四风、五为”作风问题</w:t>
      </w:r>
      <w:r>
        <w:rPr>
          <w:rFonts w:hint="eastAsia" w:ascii="Times New Roman" w:hAnsi="Times New Roman" w:eastAsia="仿宋_GB2312" w:cs="Times New Roman"/>
          <w:color w:val="auto"/>
          <w:sz w:val="32"/>
          <w:szCs w:val="32"/>
          <w:lang w:val="en-US" w:eastAsia="zh-CN"/>
        </w:rPr>
        <w:t>，分类建立整改台账，</w:t>
      </w:r>
      <w:r>
        <w:rPr>
          <w:rFonts w:hint="default" w:ascii="Times New Roman" w:hAnsi="Times New Roman" w:eastAsia="仿宋_GB2312" w:cs="Times New Roman"/>
          <w:color w:val="auto"/>
          <w:sz w:val="32"/>
          <w:szCs w:val="32"/>
        </w:rPr>
        <w:t>逐一销号清零</w:t>
      </w:r>
      <w:r>
        <w:rPr>
          <w:rFonts w:hint="eastAsia" w:ascii="Times New Roman" w:hAnsi="Times New Roman" w:eastAsia="仿宋_GB2312" w:cs="Times New Roman"/>
          <w:color w:val="auto"/>
          <w:sz w:val="32"/>
          <w:szCs w:val="32"/>
          <w:lang w:eastAsia="zh-CN"/>
        </w:rPr>
        <w:t>，推动全镇</w:t>
      </w:r>
      <w:r>
        <w:rPr>
          <w:rFonts w:hint="default" w:ascii="Times New Roman" w:hAnsi="Times New Roman" w:eastAsia="仿宋_GB2312" w:cs="Times New Roman"/>
          <w:color w:val="auto"/>
          <w:sz w:val="32"/>
          <w:szCs w:val="32"/>
        </w:rPr>
        <w:t>作风建设</w:t>
      </w:r>
      <w:r>
        <w:rPr>
          <w:rFonts w:hint="eastAsia" w:ascii="Times New Roman" w:hAnsi="Times New Roman" w:eastAsia="仿宋_GB2312" w:cs="Times New Roman"/>
          <w:color w:val="auto"/>
          <w:sz w:val="32"/>
          <w:szCs w:val="32"/>
          <w:lang w:eastAsia="zh-CN"/>
        </w:rPr>
        <w:t>实现</w:t>
      </w:r>
      <w:r>
        <w:rPr>
          <w:rFonts w:hint="default" w:ascii="Times New Roman" w:hAnsi="Times New Roman" w:eastAsia="仿宋_GB2312" w:cs="Times New Roman"/>
          <w:color w:val="auto"/>
          <w:sz w:val="32"/>
          <w:szCs w:val="32"/>
        </w:rPr>
        <w:t>规范化、制度化、常态化。</w:t>
      </w:r>
    </w:p>
    <w:p w14:paraId="79197C7E">
      <w:pPr>
        <w:pStyle w:val="2"/>
        <w:keepNext w:val="0"/>
        <w:keepLines w:val="0"/>
        <w:pageBreakBefore w:val="0"/>
        <w:widowControl w:val="0"/>
        <w:kinsoku/>
        <w:wordWrap/>
        <w:overflowPunct/>
        <w:topLinePunct w:val="0"/>
        <w:autoSpaceDE/>
        <w:autoSpaceDN/>
        <w:bidi w:val="0"/>
        <w:adjustRightInd/>
        <w:snapToGrid/>
        <w:spacing w:line="578" w:lineRule="exact"/>
        <w:textAlignment w:val="auto"/>
        <w:rPr>
          <w:rFonts w:hint="default" w:ascii="Times New Roman" w:hAnsi="Times New Roman" w:cs="Times New Roman"/>
          <w:color w:val="auto"/>
        </w:rPr>
      </w:pPr>
      <w:r>
        <w:rPr>
          <w:rFonts w:hint="eastAsia" w:ascii="楷体_GB2312" w:hAnsi="楷体_GB2312" w:eastAsia="楷体_GB2312" w:cs="楷体_GB2312"/>
          <w:b/>
          <w:bCs/>
          <w:color w:val="auto"/>
          <w:kern w:val="2"/>
          <w:sz w:val="32"/>
          <w:szCs w:val="32"/>
          <w:lang w:val="en-US" w:eastAsia="zh-CN" w:bidi="ar-SA"/>
        </w:rPr>
        <w:t>2、抓增量，实现经济发展稳中向上。</w:t>
      </w:r>
      <w:r>
        <w:rPr>
          <w:rFonts w:hint="default" w:ascii="Times New Roman" w:hAnsi="Times New Roman" w:eastAsia="仿宋_GB2312" w:cs="Times New Roman"/>
          <w:b w:val="0"/>
          <w:bCs w:val="0"/>
          <w:color w:val="auto"/>
          <w:sz w:val="32"/>
          <w:szCs w:val="32"/>
          <w:lang w:val="en-US" w:eastAsia="zh-CN"/>
        </w:rPr>
        <w:t>镇党委、政府全力克服经济下行压力，牢牢把握“稳”的大局，不断坚定“进”的取向，努力加快“追”的速度，始终保持“赶”的态势，抓产业，调结构，全镇经济发展稳中有进。</w:t>
      </w:r>
      <w:r>
        <w:rPr>
          <w:rFonts w:hint="eastAsia" w:ascii="Times New Roman" w:cs="Times New Roman"/>
          <w:b w:val="0"/>
          <w:bCs w:val="0"/>
          <w:color w:val="auto"/>
          <w:sz w:val="32"/>
          <w:szCs w:val="32"/>
          <w:lang w:val="en-US" w:eastAsia="zh-CN"/>
        </w:rPr>
        <w:t>截至三季度</w:t>
      </w:r>
      <w:r>
        <w:rPr>
          <w:rFonts w:hint="eastAsia" w:ascii="Times New Roman" w:hAnsi="Times New Roman" w:cs="Times New Roman"/>
          <w:color w:val="auto"/>
          <w:lang w:val="en-US" w:eastAsia="zh-CN"/>
        </w:rPr>
        <w:t>末</w:t>
      </w:r>
      <w:r>
        <w:rPr>
          <w:rFonts w:hint="default" w:ascii="Times New Roman" w:hAnsi="Times New Roman" w:cs="Times New Roman"/>
          <w:color w:val="auto"/>
        </w:rPr>
        <w:t>，</w:t>
      </w:r>
      <w:r>
        <w:rPr>
          <w:rFonts w:hint="eastAsia" w:ascii="Times New Roman" w:hAnsi="Times New Roman" w:cs="Times New Roman"/>
          <w:color w:val="auto"/>
          <w:lang w:eastAsia="zh-CN"/>
        </w:rPr>
        <w:t>全镇</w:t>
      </w:r>
      <w:r>
        <w:rPr>
          <w:rFonts w:hint="default" w:ascii="Times New Roman" w:hAnsi="Times New Roman" w:cs="Times New Roman"/>
          <w:color w:val="auto"/>
          <w:lang w:val="en-US" w:eastAsia="zh-CN"/>
        </w:rPr>
        <w:t>完成了经济总收入</w:t>
      </w:r>
      <w:r>
        <w:rPr>
          <w:rFonts w:hint="eastAsia" w:ascii="Times New Roman" w:hAnsi="Times New Roman" w:cs="Times New Roman"/>
          <w:color w:val="auto"/>
          <w:lang w:val="en-US" w:eastAsia="zh-CN"/>
        </w:rPr>
        <w:t>约</w:t>
      </w:r>
      <w:r>
        <w:rPr>
          <w:rFonts w:hint="default" w:ascii="Times New Roman" w:hAnsi="Times New Roman" w:cs="Times New Roman"/>
          <w:color w:val="auto"/>
          <w:lang w:val="en-US" w:eastAsia="zh-CN"/>
        </w:rPr>
        <w:t>2</w:t>
      </w:r>
      <w:r>
        <w:rPr>
          <w:rFonts w:hint="eastAsia" w:ascii="Times New Roman" w:hAnsi="Times New Roman" w:cs="Times New Roman"/>
          <w:color w:val="auto"/>
          <w:lang w:val="en-US" w:eastAsia="zh-CN"/>
        </w:rPr>
        <w:t>.</w:t>
      </w:r>
      <w:r>
        <w:rPr>
          <w:rFonts w:hint="default" w:ascii="Times New Roman" w:hAnsi="Times New Roman" w:cs="Times New Roman"/>
          <w:color w:val="auto"/>
          <w:lang w:val="en-US" w:eastAsia="zh-CN"/>
        </w:rPr>
        <w:t>43</w:t>
      </w:r>
      <w:r>
        <w:rPr>
          <w:rFonts w:hint="eastAsia" w:ascii="Times New Roman" w:hAnsi="Times New Roman" w:cs="Times New Roman"/>
          <w:color w:val="auto"/>
          <w:lang w:val="en-US" w:eastAsia="zh-CN"/>
        </w:rPr>
        <w:t>亿</w:t>
      </w:r>
      <w:r>
        <w:rPr>
          <w:rFonts w:hint="default" w:ascii="Times New Roman" w:hAnsi="Times New Roman" w:cs="Times New Roman"/>
          <w:color w:val="auto"/>
          <w:lang w:val="en-US" w:eastAsia="zh-CN"/>
        </w:rPr>
        <w:t>元。</w:t>
      </w:r>
      <w:r>
        <w:rPr>
          <w:rFonts w:hint="default" w:ascii="Times New Roman" w:hAnsi="Times New Roman" w:cs="Times New Roman"/>
          <w:color w:val="auto"/>
        </w:rPr>
        <w:t>其中，农业收入4</w:t>
      </w:r>
      <w:r>
        <w:rPr>
          <w:rFonts w:hint="default" w:ascii="Times New Roman" w:hAnsi="Times New Roman" w:cs="Times New Roman"/>
          <w:color w:val="auto"/>
          <w:lang w:val="en-US" w:eastAsia="zh-CN"/>
        </w:rPr>
        <w:t>020</w:t>
      </w:r>
      <w:r>
        <w:rPr>
          <w:rFonts w:hint="default" w:ascii="Times New Roman" w:hAnsi="Times New Roman" w:cs="Times New Roman"/>
          <w:color w:val="auto"/>
        </w:rPr>
        <w:t>万元，畜牧业收入</w:t>
      </w:r>
      <w:r>
        <w:rPr>
          <w:rFonts w:hint="default" w:ascii="Times New Roman" w:hAnsi="Times New Roman" w:cs="Times New Roman"/>
          <w:color w:val="auto"/>
          <w:lang w:val="en-US" w:eastAsia="zh-CN"/>
        </w:rPr>
        <w:t>3826</w:t>
      </w:r>
      <w:r>
        <w:rPr>
          <w:rFonts w:hint="default" w:ascii="Times New Roman" w:hAnsi="Times New Roman" w:cs="Times New Roman"/>
          <w:color w:val="auto"/>
        </w:rPr>
        <w:t>万元，商饮业收入</w:t>
      </w:r>
      <w:r>
        <w:rPr>
          <w:rFonts w:hint="default" w:ascii="Times New Roman" w:hAnsi="Times New Roman" w:cs="Times New Roman"/>
          <w:color w:val="auto"/>
          <w:lang w:val="en-US" w:eastAsia="zh-CN"/>
        </w:rPr>
        <w:t>3175</w:t>
      </w:r>
      <w:r>
        <w:rPr>
          <w:rFonts w:hint="default" w:ascii="Times New Roman" w:hAnsi="Times New Roman" w:cs="Times New Roman"/>
          <w:color w:val="auto"/>
        </w:rPr>
        <w:t>万元，服务业收入5</w:t>
      </w:r>
      <w:r>
        <w:rPr>
          <w:rFonts w:hint="default" w:ascii="Times New Roman" w:hAnsi="Times New Roman" w:cs="Times New Roman"/>
          <w:color w:val="auto"/>
          <w:lang w:val="en-US" w:eastAsia="zh-CN"/>
        </w:rPr>
        <w:t>105万元</w:t>
      </w:r>
      <w:r>
        <w:rPr>
          <w:rFonts w:hint="default" w:ascii="Times New Roman" w:hAnsi="Times New Roman" w:cs="Times New Roman"/>
          <w:color w:val="auto"/>
        </w:rPr>
        <w:t>，运输业收入2</w:t>
      </w:r>
      <w:r>
        <w:rPr>
          <w:rFonts w:hint="default" w:ascii="Times New Roman" w:hAnsi="Times New Roman" w:cs="Times New Roman"/>
          <w:color w:val="auto"/>
          <w:lang w:val="en-US" w:eastAsia="zh-CN"/>
        </w:rPr>
        <w:t>461</w:t>
      </w:r>
      <w:r>
        <w:rPr>
          <w:rFonts w:hint="default" w:ascii="Times New Roman" w:hAnsi="Times New Roman" w:cs="Times New Roman"/>
          <w:color w:val="auto"/>
        </w:rPr>
        <w:t>万元，建筑业11</w:t>
      </w:r>
      <w:r>
        <w:rPr>
          <w:rFonts w:hint="default" w:ascii="Times New Roman" w:hAnsi="Times New Roman" w:cs="Times New Roman"/>
          <w:color w:val="auto"/>
          <w:lang w:val="en-US" w:eastAsia="zh-CN"/>
        </w:rPr>
        <w:t>77</w:t>
      </w:r>
      <w:r>
        <w:rPr>
          <w:rFonts w:hint="default" w:ascii="Times New Roman" w:hAnsi="Times New Roman" w:cs="Times New Roman"/>
          <w:color w:val="auto"/>
        </w:rPr>
        <w:t>万元，工业7</w:t>
      </w:r>
      <w:r>
        <w:rPr>
          <w:rFonts w:hint="default" w:ascii="Times New Roman" w:hAnsi="Times New Roman" w:cs="Times New Roman"/>
          <w:color w:val="auto"/>
          <w:lang w:val="en-US" w:eastAsia="zh-CN"/>
        </w:rPr>
        <w:t>58</w:t>
      </w:r>
      <w:r>
        <w:rPr>
          <w:rFonts w:hint="default" w:ascii="Times New Roman" w:hAnsi="Times New Roman" w:cs="Times New Roman"/>
          <w:color w:val="auto"/>
        </w:rPr>
        <w:t>万元，其他收入3</w:t>
      </w:r>
      <w:r>
        <w:rPr>
          <w:rFonts w:hint="default" w:ascii="Times New Roman" w:hAnsi="Times New Roman" w:cs="Times New Roman"/>
          <w:color w:val="auto"/>
          <w:lang w:val="en-US" w:eastAsia="zh-CN"/>
        </w:rPr>
        <w:t>844</w:t>
      </w:r>
      <w:r>
        <w:rPr>
          <w:rFonts w:hint="default" w:ascii="Times New Roman" w:hAnsi="Times New Roman" w:cs="Times New Roman"/>
          <w:color w:val="auto"/>
        </w:rPr>
        <w:t>万元。农民人均可支配收入完成18870元，粮食播种面积4824亩，产量892吨，蔬菜播种面积8398亩，产量21576吨，水果种植面积180亩，产量142吨。出栏大小牲畜</w:t>
      </w:r>
      <w:r>
        <w:rPr>
          <w:rFonts w:hint="default" w:ascii="Times New Roman" w:hAnsi="Times New Roman" w:cs="Times New Roman"/>
          <w:color w:val="auto"/>
          <w:lang w:val="en-US" w:eastAsia="zh-CN"/>
        </w:rPr>
        <w:t>6173</w:t>
      </w:r>
      <w:r>
        <w:rPr>
          <w:rFonts w:hint="default" w:ascii="Times New Roman" w:hAnsi="Times New Roman" w:cs="Times New Roman"/>
          <w:color w:val="auto"/>
        </w:rPr>
        <w:t>头（只、匹），存栏</w:t>
      </w:r>
      <w:r>
        <w:rPr>
          <w:rFonts w:hint="default" w:ascii="Times New Roman" w:hAnsi="Times New Roman" w:cs="Times New Roman"/>
          <w:color w:val="auto"/>
          <w:lang w:val="en-US" w:eastAsia="zh-CN"/>
        </w:rPr>
        <w:t>28129</w:t>
      </w:r>
      <w:r>
        <w:rPr>
          <w:rFonts w:hint="default" w:ascii="Times New Roman" w:hAnsi="Times New Roman" w:cs="Times New Roman"/>
          <w:color w:val="auto"/>
        </w:rPr>
        <w:t>头（只、匹）</w:t>
      </w:r>
      <w:r>
        <w:rPr>
          <w:rFonts w:hint="default" w:ascii="Times New Roman" w:hAnsi="Times New Roman" w:cs="Times New Roman"/>
          <w:color w:val="auto"/>
          <w:lang w:eastAsia="zh-CN"/>
        </w:rPr>
        <w:t>。</w:t>
      </w:r>
      <w:r>
        <w:rPr>
          <w:rFonts w:hint="default" w:ascii="Times New Roman" w:hAnsi="Times New Roman" w:cs="Times New Roman"/>
          <w:color w:val="auto"/>
        </w:rPr>
        <w:t>全镇经济社会运行持续、较快、协调、健康全面发展，</w:t>
      </w:r>
      <w:r>
        <w:rPr>
          <w:rFonts w:hint="eastAsia" w:ascii="Times New Roman" w:hAnsi="Times New Roman" w:cs="Times New Roman"/>
          <w:color w:val="auto"/>
          <w:lang w:eastAsia="zh-CN"/>
        </w:rPr>
        <w:t>全镇群众</w:t>
      </w:r>
      <w:r>
        <w:rPr>
          <w:rFonts w:hint="default" w:ascii="Times New Roman" w:hAnsi="Times New Roman" w:cs="Times New Roman"/>
          <w:color w:val="auto"/>
        </w:rPr>
        <w:t>生活水平稳步提高。</w:t>
      </w:r>
    </w:p>
    <w:p w14:paraId="3A2CDC7A">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3" w:firstLineChars="200"/>
        <w:textAlignment w:val="auto"/>
        <w:rPr>
          <w:rFonts w:hint="eastAsia" w:ascii="仿宋_GB2312" w:hAnsi="仿宋_GB2312" w:eastAsia="仿宋_GB2312" w:cs="仿宋_GB2312"/>
          <w:color w:val="auto"/>
          <w:sz w:val="32"/>
          <w:szCs w:val="32"/>
          <w:lang w:val="en-US" w:eastAsia="zh-CN"/>
        </w:rPr>
      </w:pPr>
      <w:r>
        <w:rPr>
          <w:rFonts w:hint="eastAsia" w:ascii="楷体_GB2312" w:hAnsi="楷体_GB2312" w:eastAsia="楷体_GB2312" w:cs="楷体_GB2312"/>
          <w:b/>
          <w:bCs/>
          <w:color w:val="auto"/>
          <w:kern w:val="2"/>
          <w:sz w:val="32"/>
          <w:szCs w:val="32"/>
          <w:lang w:val="en-US" w:eastAsia="zh-CN" w:bidi="ar-SA"/>
        </w:rPr>
        <w:t>3、抓建设，推动基础设施持续提升。</w:t>
      </w:r>
      <w:r>
        <w:rPr>
          <w:rFonts w:hint="eastAsia" w:ascii="仿宋_GB2312" w:hAnsi="仿宋_GB2312" w:eastAsia="仿宋_GB2312" w:cs="仿宋_GB2312"/>
          <w:color w:val="auto"/>
          <w:sz w:val="32"/>
          <w:szCs w:val="32"/>
          <w:lang w:val="en-US" w:eastAsia="zh-CN"/>
        </w:rPr>
        <w:t>今年以来，在县委、县政府大力支持下，镇党委始终把项目建设作为全镇经济稳</w:t>
      </w:r>
      <w:r>
        <w:rPr>
          <w:rFonts w:hint="default" w:ascii="Times New Roman" w:hAnsi="Times New Roman" w:eastAsia="仿宋_GB2312" w:cs="Times New Roman"/>
          <w:color w:val="auto"/>
          <w:sz w:val="32"/>
          <w:szCs w:val="32"/>
          <w:lang w:val="en-US" w:eastAsia="zh-CN"/>
        </w:rPr>
        <w:t>步增长的“重中之重”来抓，积极争取各级政策资金，确保项目建设保质保量，全面有序推进项目建设工作。2022年共计实施项目19个，概算投资约2600万元。</w:t>
      </w:r>
      <w:r>
        <w:rPr>
          <w:rFonts w:hint="eastAsia" w:eastAsia="仿宋_GB2312" w:cs="Times New Roman"/>
          <w:color w:val="auto"/>
          <w:sz w:val="32"/>
          <w:szCs w:val="32"/>
          <w:lang w:val="en-US" w:eastAsia="zh-CN"/>
        </w:rPr>
        <w:t>截至目前</w:t>
      </w:r>
      <w:r>
        <w:rPr>
          <w:rFonts w:hint="default" w:ascii="Times New Roman" w:hAnsi="Times New Roman" w:eastAsia="仿宋_GB2312" w:cs="Times New Roman"/>
          <w:color w:val="auto"/>
          <w:kern w:val="2"/>
          <w:sz w:val="32"/>
          <w:szCs w:val="32"/>
          <w:lang w:val="en-US" w:eastAsia="zh-CN" w:bidi="ar-SA"/>
        </w:rPr>
        <w:t>，已完工17个，已完工项目资金拨付率达84.24％</w:t>
      </w:r>
      <w:r>
        <w:rPr>
          <w:rFonts w:hint="eastAsia" w:ascii="Times New Roman" w:hAnsi="Times New Roman" w:eastAsia="仿宋_GB2312" w:cs="Times New Roman"/>
          <w:color w:val="auto"/>
          <w:kern w:val="2"/>
          <w:sz w:val="32"/>
          <w:szCs w:val="32"/>
          <w:lang w:val="en-US" w:eastAsia="zh-CN" w:bidi="ar-SA"/>
        </w:rPr>
        <w:t>；</w:t>
      </w:r>
      <w:r>
        <w:rPr>
          <w:rFonts w:hint="eastAsia" w:ascii="仿宋_GB2312" w:hAnsi="仿宋_GB2312" w:eastAsia="仿宋_GB2312" w:cs="仿宋_GB2312"/>
          <w:color w:val="auto"/>
          <w:sz w:val="32"/>
          <w:szCs w:val="32"/>
          <w:lang w:val="en-US" w:eastAsia="zh-CN"/>
        </w:rPr>
        <w:t>各类乡村振兴项目序时推进，已按时按要求高质量全面完工。招商引资工作推进有序，其中涵盖旅游产业发展、红色文化教育基地建设及农业产业高质量发展等招商内容，目前正在紧密推进。各项重点项目建设工作稳步推进，利用省级百强中心镇创建为契机，策划实施城区公厕、停车场、雨污管网建设提档升级等项目，不断提升城市功能品质，加快城镇功能配套，不断提升城市人文品质、生态品质、生活品质，着力打造“国际生态旅游小镇”，着力提升城乡人居环境质量。</w:t>
      </w:r>
    </w:p>
    <w:p w14:paraId="4A1F8122">
      <w:pPr>
        <w:keepNext w:val="0"/>
        <w:keepLines w:val="0"/>
        <w:pageBreakBefore w:val="0"/>
        <w:widowControl w:val="0"/>
        <w:kinsoku/>
        <w:wordWrap/>
        <w:overflowPunct/>
        <w:topLinePunct w:val="0"/>
        <w:autoSpaceDE/>
        <w:autoSpaceDN/>
        <w:bidi w:val="0"/>
        <w:adjustRightInd/>
        <w:snapToGrid/>
        <w:spacing w:before="0" w:after="0" w:line="578" w:lineRule="exact"/>
        <w:ind w:right="0" w:firstLine="643" w:firstLineChars="200"/>
        <w:jc w:val="both"/>
        <w:textAlignment w:val="auto"/>
        <w:rPr>
          <w:rFonts w:hint="default" w:ascii="Times New Roman" w:hAnsi="Times New Roman" w:eastAsia="仿宋_GB2312" w:cs="Times New Roman"/>
          <w:b w:val="0"/>
          <w:bCs w:val="0"/>
          <w:color w:val="auto"/>
          <w:sz w:val="32"/>
          <w:szCs w:val="32"/>
          <w:lang w:val="en-US" w:eastAsia="zh-CN"/>
        </w:rPr>
      </w:pPr>
      <w:r>
        <w:rPr>
          <w:rFonts w:hint="eastAsia" w:ascii="Times New Roman" w:hAnsi="Times New Roman" w:eastAsia="楷体_GB2312" w:cs="Times New Roman"/>
          <w:b/>
          <w:bCs/>
          <w:color w:val="auto"/>
          <w:kern w:val="2"/>
          <w:sz w:val="32"/>
          <w:szCs w:val="32"/>
          <w:lang w:val="en-US" w:eastAsia="zh-CN" w:bidi="ar-SA"/>
        </w:rPr>
        <w:t>4、</w:t>
      </w:r>
      <w:r>
        <w:rPr>
          <w:rFonts w:hint="default" w:ascii="Times New Roman" w:hAnsi="Times New Roman" w:eastAsia="楷体_GB2312" w:cs="Times New Roman"/>
          <w:b/>
          <w:bCs/>
          <w:color w:val="auto"/>
          <w:kern w:val="2"/>
          <w:sz w:val="32"/>
          <w:szCs w:val="32"/>
          <w:lang w:val="en-US" w:eastAsia="zh-CN" w:bidi="ar-SA"/>
        </w:rPr>
        <w:t>抓民生，社会事业实现全面进步。</w:t>
      </w:r>
      <w:r>
        <w:rPr>
          <w:rFonts w:hint="default" w:ascii="Times New Roman" w:hAnsi="Times New Roman" w:eastAsia="仿宋_GB2312" w:cs="Times New Roman"/>
          <w:b/>
          <w:bCs/>
          <w:color w:val="auto"/>
          <w:kern w:val="0"/>
          <w:sz w:val="32"/>
          <w:szCs w:val="32"/>
          <w:lang w:val="en-US" w:eastAsia="zh-CN" w:bidi="ar"/>
        </w:rPr>
        <w:t>一</w:t>
      </w:r>
      <w:r>
        <w:rPr>
          <w:rFonts w:hint="default" w:ascii="Times New Roman" w:hAnsi="Times New Roman" w:eastAsia="仿宋_GB2312" w:cs="Times New Roman"/>
          <w:b/>
          <w:bCs/>
          <w:i w:val="0"/>
          <w:caps w:val="0"/>
          <w:color w:val="auto"/>
          <w:spacing w:val="0"/>
          <w:sz w:val="32"/>
          <w:szCs w:val="32"/>
          <w:highlight w:val="none"/>
          <w:shd w:val="clear" w:color="auto" w:fill="FFFFFF"/>
          <w:lang w:val="en-US" w:eastAsia="zh-CN"/>
        </w:rPr>
        <w:t>是</w:t>
      </w:r>
      <w:r>
        <w:rPr>
          <w:rFonts w:hint="default" w:ascii="Times New Roman" w:hAnsi="Times New Roman" w:eastAsia="仿宋_GB2312" w:cs="Times New Roman"/>
          <w:b w:val="0"/>
          <w:bCs w:val="0"/>
          <w:i w:val="0"/>
          <w:caps w:val="0"/>
          <w:color w:val="auto"/>
          <w:spacing w:val="0"/>
          <w:sz w:val="32"/>
          <w:szCs w:val="32"/>
          <w:highlight w:val="none"/>
          <w:shd w:val="clear" w:color="auto" w:fill="FFFFFF"/>
          <w:lang w:val="en-US" w:eastAsia="zh-CN"/>
        </w:rPr>
        <w:t>教育事业稳步发展，深入推进十五年免费教育提质增效，义务教育阶段入学率达100%。</w:t>
      </w:r>
      <w:r>
        <w:rPr>
          <w:rFonts w:hint="default" w:ascii="Times New Roman" w:hAnsi="Times New Roman" w:eastAsia="仿宋_GB2312" w:cs="Times New Roman"/>
          <w:b/>
          <w:bCs/>
          <w:i w:val="0"/>
          <w:caps w:val="0"/>
          <w:color w:val="auto"/>
          <w:spacing w:val="0"/>
          <w:sz w:val="32"/>
          <w:szCs w:val="32"/>
          <w:highlight w:val="none"/>
          <w:shd w:val="clear" w:color="auto" w:fill="FFFFFF"/>
          <w:lang w:val="en-US" w:eastAsia="zh-CN"/>
        </w:rPr>
        <w:t>二是</w:t>
      </w:r>
      <w:r>
        <w:rPr>
          <w:rFonts w:hint="default" w:ascii="Times New Roman" w:hAnsi="Times New Roman" w:eastAsia="仿宋_GB2312" w:cs="Times New Roman"/>
          <w:b w:val="0"/>
          <w:bCs w:val="0"/>
          <w:i w:val="0"/>
          <w:caps w:val="0"/>
          <w:color w:val="auto"/>
          <w:spacing w:val="0"/>
          <w:sz w:val="32"/>
          <w:szCs w:val="32"/>
          <w:highlight w:val="none"/>
          <w:shd w:val="clear" w:color="auto" w:fill="FFFFFF"/>
          <w:lang w:val="en-US" w:eastAsia="zh-CN"/>
        </w:rPr>
        <w:t>社会保障提质扩面，</w:t>
      </w:r>
      <w:r>
        <w:rPr>
          <w:rFonts w:hint="default" w:ascii="Times New Roman" w:hAnsi="Times New Roman" w:eastAsia="仿宋_GB2312" w:cs="Times New Roman"/>
          <w:b w:val="0"/>
          <w:bCs w:val="0"/>
          <w:color w:val="auto"/>
          <w:kern w:val="2"/>
          <w:sz w:val="32"/>
          <w:szCs w:val="32"/>
          <w:lang w:val="en-US" w:eastAsia="zh-CN" w:bidi="ar-SA"/>
        </w:rPr>
        <w:t>全镇城乡居民养老保险征缴工作及医疗保险、失业人员登记工作有序推进，低保动态管理工作进一步加强。</w:t>
      </w:r>
      <w:r>
        <w:rPr>
          <w:rFonts w:hint="default" w:ascii="Times New Roman" w:hAnsi="Times New Roman" w:eastAsia="仿宋_GB2312" w:cs="Times New Roman"/>
          <w:b/>
          <w:bCs/>
          <w:i w:val="0"/>
          <w:caps w:val="0"/>
          <w:color w:val="auto"/>
          <w:spacing w:val="0"/>
          <w:sz w:val="32"/>
          <w:szCs w:val="32"/>
          <w:highlight w:val="none"/>
          <w:shd w:val="clear" w:color="auto" w:fill="FFFFFF"/>
          <w:lang w:val="en-US" w:eastAsia="zh-CN"/>
        </w:rPr>
        <w:t>三是</w:t>
      </w:r>
      <w:r>
        <w:rPr>
          <w:rFonts w:hint="default" w:ascii="Times New Roman" w:hAnsi="Times New Roman" w:eastAsia="仿宋_GB2312" w:cs="Times New Roman"/>
          <w:b w:val="0"/>
          <w:bCs w:val="0"/>
          <w:i w:val="0"/>
          <w:caps w:val="0"/>
          <w:color w:val="auto"/>
          <w:spacing w:val="0"/>
          <w:sz w:val="32"/>
          <w:szCs w:val="32"/>
          <w:highlight w:val="none"/>
          <w:shd w:val="clear" w:color="auto" w:fill="FFFFFF"/>
          <w:lang w:val="en-US" w:eastAsia="zh-CN"/>
        </w:rPr>
        <w:t>服务机制创新完善，进一步完善“引导式”服务机制，以星级评分法努力提升业务人员工作效率和服务态度，切实解决群众办事脸难看的问题。</w:t>
      </w:r>
      <w:r>
        <w:rPr>
          <w:rFonts w:hint="default" w:ascii="Times New Roman" w:hAnsi="Times New Roman" w:eastAsia="仿宋_GB2312" w:cs="Times New Roman"/>
          <w:b/>
          <w:bCs/>
          <w:i w:val="0"/>
          <w:caps w:val="0"/>
          <w:color w:val="auto"/>
          <w:spacing w:val="0"/>
          <w:sz w:val="32"/>
          <w:szCs w:val="32"/>
          <w:highlight w:val="none"/>
          <w:shd w:val="clear" w:color="auto" w:fill="FFFFFF"/>
          <w:lang w:val="en-US" w:eastAsia="zh-CN"/>
        </w:rPr>
        <w:t>四是</w:t>
      </w:r>
      <w:r>
        <w:rPr>
          <w:rFonts w:hint="default" w:ascii="Times New Roman" w:hAnsi="Times New Roman" w:eastAsia="仿宋_GB2312" w:cs="Times New Roman"/>
          <w:b w:val="0"/>
          <w:bCs w:val="0"/>
          <w:color w:val="auto"/>
          <w:sz w:val="32"/>
          <w:szCs w:val="32"/>
          <w:lang w:val="en-US" w:eastAsia="zh-CN"/>
        </w:rPr>
        <w:t>乡风文明持续深化，以培育社会主义核心价值观为根本，开展“最美松潘人”评选表彰和宣传教育，运用榜样的力量推动形成良好风尚，各村将移风易俗纳入村规民约，建立健全红白理事会自治组织。</w:t>
      </w:r>
    </w:p>
    <w:p w14:paraId="2648B817">
      <w:pPr>
        <w:pStyle w:val="2"/>
        <w:keepNext w:val="0"/>
        <w:keepLines w:val="0"/>
        <w:pageBreakBefore w:val="0"/>
        <w:widowControl w:val="0"/>
        <w:kinsoku/>
        <w:wordWrap/>
        <w:overflowPunct/>
        <w:topLinePunct w:val="0"/>
        <w:autoSpaceDE/>
        <w:autoSpaceDN/>
        <w:bidi w:val="0"/>
        <w:adjustRightInd/>
        <w:snapToGrid/>
        <w:spacing w:line="578" w:lineRule="exact"/>
        <w:ind w:left="0" w:leftChars="0" w:firstLine="643" w:firstLineChars="200"/>
        <w:jc w:val="both"/>
        <w:textAlignment w:val="auto"/>
        <w:rPr>
          <w:rFonts w:hint="default" w:ascii="Times New Roman" w:hAnsi="Times New Roman" w:eastAsia="仿宋_GB2312" w:cs="Times New Roman"/>
          <w:b w:val="0"/>
          <w:bCs w:val="0"/>
          <w:i w:val="0"/>
          <w:caps w:val="0"/>
          <w:color w:val="auto"/>
          <w:spacing w:val="0"/>
          <w:kern w:val="2"/>
          <w:sz w:val="32"/>
          <w:szCs w:val="32"/>
          <w:shd w:val="clear" w:color="auto" w:fill="FFFFFF"/>
          <w:lang w:val="en-US" w:eastAsia="zh-CN"/>
        </w:rPr>
      </w:pPr>
      <w:r>
        <w:rPr>
          <w:rFonts w:hint="eastAsia" w:ascii="Times New Roman" w:hAnsi="Times New Roman" w:eastAsia="楷体_GB2312" w:cs="Times New Roman"/>
          <w:b/>
          <w:bCs/>
          <w:color w:val="auto"/>
          <w:kern w:val="2"/>
          <w:sz w:val="32"/>
          <w:szCs w:val="32"/>
          <w:lang w:val="en-US" w:eastAsia="zh-CN" w:bidi="ar-SA"/>
        </w:rPr>
        <w:t>5、</w:t>
      </w:r>
      <w:r>
        <w:rPr>
          <w:rFonts w:hint="default" w:ascii="Times New Roman" w:hAnsi="Times New Roman" w:eastAsia="楷体_GB2312" w:cs="Times New Roman"/>
          <w:b/>
          <w:bCs/>
          <w:color w:val="auto"/>
          <w:kern w:val="2"/>
          <w:sz w:val="32"/>
          <w:szCs w:val="32"/>
          <w:lang w:val="en-US" w:eastAsia="zh-CN" w:bidi="ar-SA"/>
        </w:rPr>
        <w:t>抓生态，推动环境保护持续发力。</w:t>
      </w:r>
      <w:r>
        <w:rPr>
          <w:rFonts w:hint="default" w:ascii="Times New Roman" w:hAnsi="Times New Roman" w:eastAsia="仿宋_GB2312" w:cs="Times New Roman"/>
          <w:b w:val="0"/>
          <w:bCs w:val="0"/>
          <w:color w:val="auto"/>
          <w:kern w:val="2"/>
          <w:sz w:val="32"/>
          <w:szCs w:val="32"/>
          <w:lang w:val="en-US" w:eastAsia="zh-CN" w:bidi="ar-SA"/>
        </w:rPr>
        <w:t>按照定人员、定区域、定标准、定时限的方式，对工作任务进行细化分解，</w:t>
      </w:r>
      <w:r>
        <w:rPr>
          <w:rFonts w:hint="eastAsia" w:ascii="Times New Roman" w:hAnsi="Times New Roman" w:cs="Times New Roman"/>
          <w:b w:val="0"/>
          <w:bCs w:val="0"/>
          <w:color w:val="auto"/>
          <w:kern w:val="2"/>
          <w:sz w:val="32"/>
          <w:szCs w:val="32"/>
          <w:lang w:val="en-US" w:eastAsia="zh-CN" w:bidi="ar-SA"/>
        </w:rPr>
        <w:t>22个</w:t>
      </w:r>
      <w:r>
        <w:rPr>
          <w:rFonts w:hint="default" w:ascii="Times New Roman" w:hAnsi="Times New Roman" w:eastAsia="仿宋_GB2312" w:cs="Times New Roman"/>
          <w:b w:val="0"/>
          <w:bCs w:val="0"/>
          <w:color w:val="auto"/>
          <w:kern w:val="2"/>
          <w:sz w:val="32"/>
          <w:szCs w:val="32"/>
          <w:lang w:val="en-US" w:eastAsia="zh-CN" w:bidi="ar-SA"/>
        </w:rPr>
        <w:t>村（社区）对所属河域分片管辖、分级负责，促使工作落实到点、责任落实到人，确保生态环境保护工作实现常态化管理</w:t>
      </w:r>
      <w:r>
        <w:rPr>
          <w:rFonts w:hint="eastAsia" w:ascii="Times New Roman" w:hAnsi="Times New Roman" w:cs="Times New Roman"/>
          <w:b w:val="0"/>
          <w:bCs w:val="0"/>
          <w:color w:val="auto"/>
          <w:kern w:val="2"/>
          <w:sz w:val="32"/>
          <w:szCs w:val="32"/>
          <w:lang w:val="en-US" w:eastAsia="zh-CN" w:bidi="ar-SA"/>
        </w:rPr>
        <w:t>。</w:t>
      </w:r>
      <w:r>
        <w:rPr>
          <w:rFonts w:hint="default" w:ascii="Times New Roman" w:hAnsi="Times New Roman" w:eastAsia="仿宋_GB2312" w:cs="Times New Roman"/>
          <w:b/>
          <w:bCs/>
          <w:color w:val="auto"/>
          <w:kern w:val="2"/>
          <w:sz w:val="32"/>
          <w:szCs w:val="32"/>
          <w:lang w:val="en-US" w:eastAsia="zh-CN" w:bidi="ar-SA"/>
        </w:rPr>
        <w:t>一是</w:t>
      </w:r>
      <w:r>
        <w:rPr>
          <w:rFonts w:hint="default" w:ascii="Times New Roman" w:hAnsi="Times New Roman" w:eastAsia="仿宋_GB2312" w:cs="Times New Roman"/>
          <w:b w:val="0"/>
          <w:bCs w:val="0"/>
          <w:color w:val="auto"/>
          <w:kern w:val="2"/>
          <w:sz w:val="32"/>
          <w:szCs w:val="32"/>
          <w:lang w:val="en-US" w:eastAsia="zh-CN" w:bidi="ar-SA"/>
        </w:rPr>
        <w:t>坚持生态优先绿色发展，始终践行“绿水青山就是金山银山”的理念，岷江源湿地沙化治理成效显著，“厕所革命”、乱搭乱建整治工作持续推进</w:t>
      </w:r>
      <w:r>
        <w:rPr>
          <w:rFonts w:hint="eastAsia" w:ascii="Times New Roman" w:hAnsi="Times New Roman" w:cs="Times New Roman"/>
          <w:b w:val="0"/>
          <w:bCs w:val="0"/>
          <w:color w:val="auto"/>
          <w:kern w:val="2"/>
          <w:sz w:val="32"/>
          <w:szCs w:val="32"/>
          <w:lang w:val="en-US" w:eastAsia="zh-CN" w:bidi="ar-SA"/>
        </w:rPr>
        <w:t>。</w:t>
      </w:r>
      <w:r>
        <w:rPr>
          <w:rFonts w:hint="default" w:ascii="Times New Roman" w:hAnsi="Times New Roman" w:eastAsia="仿宋_GB2312" w:cs="Times New Roman"/>
          <w:b/>
          <w:bCs/>
          <w:color w:val="auto"/>
          <w:kern w:val="2"/>
          <w:sz w:val="32"/>
          <w:szCs w:val="32"/>
          <w:lang w:val="en-US" w:eastAsia="zh-CN" w:bidi="ar-SA"/>
        </w:rPr>
        <w:t>二是</w:t>
      </w:r>
      <w:r>
        <w:rPr>
          <w:rFonts w:hint="default" w:ascii="Times New Roman" w:hAnsi="Times New Roman" w:eastAsia="仿宋_GB2312" w:cs="Times New Roman"/>
          <w:b w:val="0"/>
          <w:bCs w:val="0"/>
          <w:color w:val="auto"/>
          <w:kern w:val="2"/>
          <w:sz w:val="32"/>
          <w:szCs w:val="32"/>
          <w:lang w:val="en-US" w:eastAsia="zh-CN" w:bidi="ar-SA"/>
        </w:rPr>
        <w:t>持续加强生态综合治理，</w:t>
      </w:r>
      <w:r>
        <w:rPr>
          <w:rFonts w:hint="eastAsia" w:ascii="Times New Roman" w:hAnsi="Times New Roman" w:cs="Times New Roman"/>
          <w:b w:val="0"/>
          <w:bCs w:val="0"/>
          <w:color w:val="auto"/>
          <w:kern w:val="2"/>
          <w:sz w:val="32"/>
          <w:szCs w:val="32"/>
          <w:lang w:val="en-US" w:eastAsia="zh-CN" w:bidi="ar-SA"/>
        </w:rPr>
        <w:t>有效</w:t>
      </w:r>
      <w:r>
        <w:rPr>
          <w:rFonts w:hint="default" w:ascii="Times New Roman" w:hAnsi="Times New Roman" w:eastAsia="仿宋_GB2312" w:cs="Times New Roman"/>
          <w:b w:val="0"/>
          <w:bCs w:val="0"/>
          <w:color w:val="auto"/>
          <w:kern w:val="2"/>
          <w:sz w:val="32"/>
          <w:szCs w:val="32"/>
          <w:lang w:val="en-US" w:eastAsia="zh-CN" w:bidi="ar-SA"/>
        </w:rPr>
        <w:t>推进“林长制”，抓好草原生态保护、天然林管护、公益林建设。加大长江黄河上游支流流域治理力度，深化水土流失综合治理。</w:t>
      </w:r>
      <w:r>
        <w:rPr>
          <w:rFonts w:hint="default" w:ascii="Times New Roman" w:hAnsi="Times New Roman" w:eastAsia="仿宋_GB2312" w:cs="Times New Roman"/>
          <w:b/>
          <w:bCs/>
          <w:color w:val="auto"/>
          <w:kern w:val="2"/>
          <w:sz w:val="32"/>
          <w:szCs w:val="32"/>
          <w:lang w:val="en-US" w:eastAsia="zh-CN" w:bidi="ar-SA"/>
        </w:rPr>
        <w:t>三是</w:t>
      </w:r>
      <w:r>
        <w:rPr>
          <w:rFonts w:hint="default" w:ascii="Times New Roman" w:hAnsi="Times New Roman" w:eastAsia="仿宋_GB2312" w:cs="Times New Roman"/>
          <w:b w:val="0"/>
          <w:bCs w:val="0"/>
          <w:color w:val="auto"/>
          <w:kern w:val="2"/>
          <w:sz w:val="32"/>
          <w:szCs w:val="32"/>
          <w:lang w:val="en-US" w:eastAsia="zh-CN" w:bidi="ar-SA"/>
        </w:rPr>
        <w:t>持续美化城乡风貌，持续深化“三域一居”“六化三整治”行动，打造全域优美环境，不断完善城乡人居环境整治提升长效机制。</w:t>
      </w:r>
    </w:p>
    <w:p w14:paraId="2BA0CE52">
      <w:pPr>
        <w:keepNext w:val="0"/>
        <w:keepLines w:val="0"/>
        <w:pageBreakBefore w:val="0"/>
        <w:widowControl w:val="0"/>
        <w:kinsoku/>
        <w:wordWrap/>
        <w:overflowPunct/>
        <w:topLinePunct w:val="0"/>
        <w:autoSpaceDE/>
        <w:autoSpaceDN/>
        <w:bidi w:val="0"/>
        <w:adjustRightInd/>
        <w:snapToGrid/>
        <w:spacing w:before="0" w:after="0" w:line="578" w:lineRule="exact"/>
        <w:ind w:right="0" w:firstLine="643" w:firstLineChars="200"/>
        <w:jc w:val="both"/>
        <w:textAlignment w:val="auto"/>
        <w:rPr>
          <w:rFonts w:hint="eastAsia" w:ascii="楷体" w:hAnsi="楷体" w:eastAsia="楷体" w:cs="楷体"/>
          <w:b/>
          <w:bCs w:val="0"/>
          <w:color w:val="000000"/>
          <w:sz w:val="32"/>
          <w:szCs w:val="32"/>
        </w:rPr>
      </w:pPr>
      <w:r>
        <w:rPr>
          <w:rFonts w:hint="eastAsia" w:ascii="Times New Roman" w:hAnsi="Times New Roman" w:eastAsia="楷体_GB2312" w:cs="Times New Roman"/>
          <w:b/>
          <w:bCs/>
          <w:color w:val="auto"/>
          <w:kern w:val="2"/>
          <w:sz w:val="32"/>
          <w:szCs w:val="32"/>
          <w:lang w:val="en-US" w:eastAsia="zh-CN" w:bidi="ar-SA"/>
        </w:rPr>
        <w:t>6、</w:t>
      </w:r>
      <w:r>
        <w:rPr>
          <w:rFonts w:hint="default" w:ascii="Times New Roman" w:hAnsi="Times New Roman" w:eastAsia="楷体_GB2312" w:cs="Times New Roman"/>
          <w:b/>
          <w:bCs/>
          <w:color w:val="auto"/>
          <w:kern w:val="2"/>
          <w:sz w:val="32"/>
          <w:szCs w:val="32"/>
          <w:lang w:val="en-US" w:eastAsia="zh-CN" w:bidi="ar-SA"/>
        </w:rPr>
        <w:t>抓治理，社会大局实现稳定祥和。</w:t>
      </w:r>
      <w:r>
        <w:rPr>
          <w:rFonts w:hint="default" w:ascii="Times New Roman" w:hAnsi="Times New Roman" w:eastAsia="仿宋_GB2312" w:cs="Times New Roman"/>
          <w:b w:val="0"/>
          <w:bCs w:val="0"/>
          <w:color w:val="auto"/>
          <w:kern w:val="2"/>
          <w:sz w:val="32"/>
          <w:szCs w:val="32"/>
          <w:lang w:val="en-US" w:eastAsia="zh-CN" w:bidi="ar-SA"/>
        </w:rPr>
        <w:t>镇党委始终</w:t>
      </w:r>
      <w:r>
        <w:rPr>
          <w:rFonts w:hint="default" w:ascii="Times New Roman" w:hAnsi="Times New Roman" w:eastAsia="仿宋_GB2312" w:cs="Times New Roman"/>
          <w:b w:val="0"/>
          <w:bCs w:val="0"/>
          <w:color w:val="auto"/>
          <w:kern w:val="2"/>
          <w:sz w:val="32"/>
          <w:szCs w:val="32"/>
          <w:lang w:val="en-US" w:eastAsia="zh-CN" w:bidi="ar-SA"/>
        </w:rPr>
        <w:fldChar w:fldCharType="begin"/>
      </w:r>
      <w:r>
        <w:rPr>
          <w:rFonts w:hint="default" w:ascii="Times New Roman" w:hAnsi="Times New Roman" w:eastAsia="仿宋_GB2312" w:cs="Times New Roman"/>
          <w:b w:val="0"/>
          <w:bCs w:val="0"/>
          <w:color w:val="auto"/>
          <w:kern w:val="2"/>
          <w:sz w:val="32"/>
          <w:szCs w:val="32"/>
          <w:lang w:val="en-US" w:eastAsia="zh-CN" w:bidi="ar-SA"/>
        </w:rPr>
        <w:instrText xml:space="preserve"> HYPERLINK "http://www.baidu.com/link?url=5RWX1WG8ygGiQFM2eljDK2iwBj2hHGmd1IKJKrEFTyYaZ2ta9HNjvi45UmpjjvKpz1C5OFgJcgtd3mFRXxaYEkv5GnrxmwkTMdlygnLx-3_" \t "https://www.baidu.com/_blank" </w:instrText>
      </w:r>
      <w:r>
        <w:rPr>
          <w:rFonts w:hint="default" w:ascii="Times New Roman" w:hAnsi="Times New Roman" w:eastAsia="仿宋_GB2312" w:cs="Times New Roman"/>
          <w:b w:val="0"/>
          <w:bCs w:val="0"/>
          <w:color w:val="auto"/>
          <w:kern w:val="2"/>
          <w:sz w:val="32"/>
          <w:szCs w:val="32"/>
          <w:lang w:val="en-US" w:eastAsia="zh-CN" w:bidi="ar-SA"/>
        </w:rPr>
        <w:fldChar w:fldCharType="separate"/>
      </w:r>
      <w:r>
        <w:rPr>
          <w:rFonts w:hint="default" w:ascii="Times New Roman" w:hAnsi="Times New Roman" w:eastAsia="仿宋_GB2312" w:cs="Times New Roman"/>
          <w:b w:val="0"/>
          <w:bCs w:val="0"/>
          <w:color w:val="auto"/>
          <w:kern w:val="2"/>
          <w:sz w:val="32"/>
          <w:szCs w:val="32"/>
          <w:lang w:val="en-US" w:eastAsia="zh-CN" w:bidi="ar-SA"/>
        </w:rPr>
        <w:t>坚守底线思维，绷紧思想之弦</w:t>
      </w:r>
      <w:r>
        <w:rPr>
          <w:rFonts w:hint="eastAsia" w:ascii="Times New Roman" w:hAnsi="Times New Roman" w:eastAsia="仿宋_GB2312" w:cs="Times New Roman"/>
          <w:b w:val="0"/>
          <w:bCs w:val="0"/>
          <w:color w:val="auto"/>
          <w:kern w:val="2"/>
          <w:sz w:val="32"/>
          <w:szCs w:val="32"/>
          <w:lang w:val="en-US" w:eastAsia="zh-CN" w:bidi="ar-SA"/>
        </w:rPr>
        <w:t>，</w:t>
      </w:r>
      <w:r>
        <w:rPr>
          <w:rFonts w:hint="default" w:ascii="Times New Roman" w:hAnsi="Times New Roman" w:eastAsia="仿宋_GB2312" w:cs="Times New Roman"/>
          <w:b w:val="0"/>
          <w:bCs w:val="0"/>
          <w:color w:val="auto"/>
          <w:kern w:val="2"/>
          <w:sz w:val="32"/>
          <w:szCs w:val="32"/>
          <w:lang w:val="en-US" w:eastAsia="zh-CN" w:bidi="ar-SA"/>
        </w:rPr>
        <w:t>织牢织密安全防护网</w:t>
      </w:r>
      <w:r>
        <w:rPr>
          <w:rFonts w:hint="default" w:ascii="Times New Roman" w:hAnsi="Times New Roman" w:eastAsia="仿宋_GB2312" w:cs="Times New Roman"/>
          <w:b w:val="0"/>
          <w:bCs w:val="0"/>
          <w:color w:val="auto"/>
          <w:kern w:val="2"/>
          <w:sz w:val="32"/>
          <w:szCs w:val="32"/>
          <w:lang w:val="en-US" w:eastAsia="zh-CN" w:bidi="ar-SA"/>
        </w:rPr>
        <w:fldChar w:fldCharType="end"/>
      </w:r>
      <w:r>
        <w:rPr>
          <w:rFonts w:hint="eastAsia" w:ascii="Times New Roman" w:hAnsi="Times New Roman" w:eastAsia="仿宋_GB2312" w:cs="Times New Roman"/>
          <w:b w:val="0"/>
          <w:bCs w:val="0"/>
          <w:color w:val="auto"/>
          <w:kern w:val="2"/>
          <w:sz w:val="32"/>
          <w:szCs w:val="32"/>
          <w:lang w:val="en-US" w:eastAsia="zh-CN" w:bidi="ar-SA"/>
        </w:rPr>
        <w:t>。</w:t>
      </w:r>
      <w:r>
        <w:rPr>
          <w:rFonts w:hint="default" w:ascii="Times New Roman" w:hAnsi="Times New Roman" w:eastAsia="仿宋_GB2312" w:cs="Times New Roman"/>
          <w:b/>
          <w:bCs/>
          <w:color w:val="auto"/>
          <w:sz w:val="32"/>
          <w:szCs w:val="32"/>
          <w:lang w:val="en-US" w:eastAsia="zh-CN"/>
        </w:rPr>
        <w:t>一是</w:t>
      </w:r>
      <w:r>
        <w:rPr>
          <w:rFonts w:hint="default" w:ascii="Times New Roman" w:hAnsi="Times New Roman" w:eastAsia="仿宋_GB2312" w:cs="Times New Roman"/>
          <w:b w:val="0"/>
          <w:bCs w:val="0"/>
          <w:color w:val="auto"/>
          <w:sz w:val="32"/>
          <w:szCs w:val="32"/>
          <w:lang w:val="en-US" w:eastAsia="zh-CN"/>
        </w:rPr>
        <w:t>全覆盖签订安全生产责任书，常态安全生产宣传活动，深入企业、学校、建筑工地开展安全生产检查30余次。</w:t>
      </w:r>
      <w:r>
        <w:rPr>
          <w:rFonts w:hint="default" w:ascii="Times New Roman" w:hAnsi="Times New Roman" w:eastAsia="仿宋_GB2312" w:cs="Times New Roman"/>
          <w:b/>
          <w:bCs/>
          <w:color w:val="auto"/>
          <w:sz w:val="32"/>
          <w:szCs w:val="32"/>
          <w:lang w:val="en-US" w:eastAsia="zh-CN"/>
        </w:rPr>
        <w:t>二是</w:t>
      </w:r>
      <w:r>
        <w:rPr>
          <w:rFonts w:hint="default" w:ascii="Times New Roman" w:hAnsi="Times New Roman" w:eastAsia="仿宋_GB2312" w:cs="Times New Roman"/>
          <w:b w:val="0"/>
          <w:bCs w:val="0"/>
          <w:color w:val="auto"/>
          <w:sz w:val="32"/>
          <w:szCs w:val="32"/>
          <w:lang w:val="en-US" w:eastAsia="zh-CN"/>
        </w:rPr>
        <w:t>组织开展中小学生防溺水、消防、交通等校园安全宣传教育活动</w:t>
      </w:r>
      <w:r>
        <w:rPr>
          <w:rFonts w:hint="eastAsia" w:ascii="Times New Roman" w:hAnsi="Times New Roman" w:eastAsia="仿宋_GB2312" w:cs="Times New Roman"/>
          <w:b w:val="0"/>
          <w:bCs w:val="0"/>
          <w:color w:val="auto"/>
          <w:sz w:val="32"/>
          <w:szCs w:val="32"/>
          <w:lang w:val="en-US" w:eastAsia="zh-CN"/>
        </w:rPr>
        <w:t>10余次</w:t>
      </w:r>
      <w:r>
        <w:rPr>
          <w:rFonts w:hint="default" w:ascii="Times New Roman" w:hAnsi="Times New Roman" w:eastAsia="仿宋_GB2312" w:cs="Times New Roman"/>
          <w:b w:val="0"/>
          <w:bCs w:val="0"/>
          <w:color w:val="auto"/>
          <w:sz w:val="32"/>
          <w:szCs w:val="32"/>
          <w:lang w:val="en-US" w:eastAsia="zh-CN"/>
        </w:rPr>
        <w:t>。</w:t>
      </w:r>
      <w:r>
        <w:rPr>
          <w:rFonts w:hint="default" w:ascii="Times New Roman" w:hAnsi="Times New Roman" w:eastAsia="仿宋_GB2312" w:cs="Times New Roman"/>
          <w:b/>
          <w:bCs/>
          <w:color w:val="auto"/>
          <w:sz w:val="32"/>
          <w:szCs w:val="32"/>
          <w:lang w:val="en-US" w:eastAsia="zh-CN"/>
        </w:rPr>
        <w:t>三是</w:t>
      </w:r>
      <w:r>
        <w:rPr>
          <w:rFonts w:hint="default" w:ascii="Times New Roman" w:hAnsi="Times New Roman" w:eastAsia="仿宋_GB2312" w:cs="Times New Roman"/>
          <w:b w:val="0"/>
          <w:bCs w:val="0"/>
          <w:color w:val="auto"/>
          <w:sz w:val="32"/>
          <w:szCs w:val="32"/>
          <w:lang w:val="en-US" w:eastAsia="zh-CN"/>
        </w:rPr>
        <w:t>扎实推进“国家反诈中心”APP下载及反诈宣传工作</w:t>
      </w:r>
      <w:r>
        <w:rPr>
          <w:rFonts w:hint="eastAsia" w:ascii="Times New Roman" w:hAnsi="Times New Roman" w:eastAsia="仿宋_GB2312" w:cs="Times New Roman"/>
          <w:b w:val="0"/>
          <w:bCs w:val="0"/>
          <w:color w:val="auto"/>
          <w:sz w:val="32"/>
          <w:szCs w:val="32"/>
          <w:lang w:val="en-US" w:eastAsia="zh-CN"/>
        </w:rPr>
        <w:t>，</w:t>
      </w:r>
      <w:r>
        <w:rPr>
          <w:rFonts w:hint="default" w:ascii="Times New Roman" w:hAnsi="Times New Roman" w:eastAsia="仿宋_GB2312" w:cs="Times New Roman"/>
          <w:b w:val="0"/>
          <w:bCs w:val="0"/>
          <w:color w:val="auto"/>
          <w:sz w:val="32"/>
          <w:szCs w:val="32"/>
          <w:lang w:val="en-US" w:eastAsia="zh-CN"/>
        </w:rPr>
        <w:t>“国家反诈中心”APP下载成功人数共4033人，下载率近37%。</w:t>
      </w:r>
      <w:r>
        <w:rPr>
          <w:rFonts w:hint="default" w:ascii="Times New Roman" w:hAnsi="Times New Roman" w:eastAsia="仿宋_GB2312" w:cs="Times New Roman"/>
          <w:b/>
          <w:bCs/>
          <w:color w:val="auto"/>
          <w:sz w:val="32"/>
          <w:szCs w:val="32"/>
          <w:lang w:val="en-US" w:eastAsia="zh-CN"/>
        </w:rPr>
        <w:t>四是</w:t>
      </w:r>
      <w:r>
        <w:rPr>
          <w:rFonts w:hint="default" w:ascii="Times New Roman" w:hAnsi="Times New Roman" w:eastAsia="仿宋_GB2312" w:cs="Times New Roman"/>
          <w:b w:val="0"/>
          <w:bCs w:val="0"/>
          <w:color w:val="auto"/>
          <w:sz w:val="32"/>
          <w:szCs w:val="32"/>
          <w:lang w:val="en-US" w:eastAsia="zh-CN"/>
        </w:rPr>
        <w:t>积极排查化解社会矛盾纠纷、重点信访事项。</w:t>
      </w:r>
      <w:r>
        <w:rPr>
          <w:rFonts w:hint="default" w:ascii="Times New Roman" w:hAnsi="Times New Roman" w:eastAsia="仿宋_GB2312" w:cs="Times New Roman"/>
          <w:b/>
          <w:bCs/>
          <w:color w:val="auto"/>
          <w:sz w:val="32"/>
          <w:szCs w:val="32"/>
          <w:lang w:val="en-US" w:eastAsia="zh-CN"/>
        </w:rPr>
        <w:t>五是</w:t>
      </w:r>
      <w:r>
        <w:rPr>
          <w:rFonts w:hint="default" w:ascii="Times New Roman" w:hAnsi="Times New Roman" w:eastAsia="仿宋_GB2312" w:cs="Times New Roman"/>
          <w:b w:val="0"/>
          <w:bCs w:val="0"/>
          <w:color w:val="auto"/>
          <w:sz w:val="32"/>
          <w:szCs w:val="32"/>
          <w:lang w:val="en-US" w:eastAsia="zh-CN"/>
        </w:rPr>
        <w:t>大力推进全民普法工作，在重点时段、节点组织开展法律“七进”活动。</w:t>
      </w:r>
    </w:p>
    <w:p w14:paraId="238CA2EC">
      <w:pPr>
        <w:pStyle w:val="5"/>
        <w:numPr>
          <w:ilvl w:val="0"/>
          <w:numId w:val="1"/>
        </w:numPr>
        <w:ind w:firstLine="640" w:firstLineChars="200"/>
        <w:rPr>
          <w:rFonts w:hint="default" w:ascii="仿宋_GB2312" w:hAnsi="仿宋_GB2312" w:eastAsia="仿宋_GB2312" w:cs="仿宋_GB2312"/>
          <w:color w:val="auto"/>
          <w:sz w:val="32"/>
          <w:szCs w:val="32"/>
          <w:lang w:val="en-US" w:eastAsia="zh-CN"/>
        </w:rPr>
      </w:pPr>
      <w:bookmarkStart w:id="17" w:name="_Toc15396601"/>
      <w:bookmarkStart w:id="18" w:name="_Toc15377200"/>
      <w:bookmarkStart w:id="19" w:name="_Toc79163855"/>
      <w:bookmarkStart w:id="20" w:name="_Toc79163605"/>
      <w:r>
        <w:rPr>
          <w:rFonts w:hint="eastAsia" w:ascii="黑体" w:hAnsi="黑体" w:eastAsia="黑体"/>
          <w:b w:val="0"/>
          <w:color w:val="000000"/>
        </w:rPr>
        <w:t>机</w:t>
      </w:r>
      <w:r>
        <w:rPr>
          <w:rStyle w:val="27"/>
          <w:rFonts w:hint="eastAsia" w:ascii="黑体" w:hAnsi="黑体" w:eastAsia="黑体"/>
          <w:b w:val="0"/>
          <w:bCs w:val="0"/>
        </w:rPr>
        <w:t>构设置</w:t>
      </w:r>
      <w:bookmarkEnd w:id="17"/>
      <w:bookmarkEnd w:id="18"/>
      <w:bookmarkEnd w:id="19"/>
      <w:bookmarkEnd w:id="20"/>
    </w:p>
    <w:p w14:paraId="7AF4053B">
      <w:pPr>
        <w:pStyle w:val="5"/>
        <w:numPr>
          <w:ilvl w:val="0"/>
          <w:numId w:val="0"/>
        </w:numPr>
        <w:ind w:firstLine="643" w:firstLineChars="200"/>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党政综合办事机构设置9个，如下：</w:t>
      </w:r>
    </w:p>
    <w:p w14:paraId="0DD9FF5C">
      <w:pPr>
        <w:keepNext w:val="0"/>
        <w:keepLines w:val="0"/>
        <w:pageBreakBefore w:val="0"/>
        <w:widowControl w:val="0"/>
        <w:kinsoku/>
        <w:wordWrap/>
        <w:overflowPunct/>
        <w:topLinePunct w:val="0"/>
        <w:autoSpaceDE/>
        <w:autoSpaceDN/>
        <w:bidi w:val="0"/>
        <w:adjustRightInd/>
        <w:snapToGrid/>
        <w:spacing w:line="576" w:lineRule="exact"/>
        <w:ind w:leftChars="0" w:firstLine="643" w:firstLineChars="200"/>
        <w:textAlignment w:val="auto"/>
        <w:rPr>
          <w:rFonts w:hint="eastAsia" w:eastAsia="仿宋_GB2312" w:cs="Times New Roman"/>
          <w:b w:val="0"/>
          <w:bCs/>
          <w:color w:val="auto"/>
          <w:sz w:val="32"/>
          <w:szCs w:val="32"/>
          <w:lang w:val="en-US" w:eastAsia="zh-CN"/>
        </w:rPr>
      </w:pPr>
      <w:r>
        <w:rPr>
          <w:rFonts w:hint="eastAsia" w:ascii="楷体" w:hAnsi="楷体" w:eastAsia="楷体" w:cs="楷体"/>
          <w:b/>
          <w:bCs w:val="0"/>
          <w:color w:val="auto"/>
          <w:sz w:val="32"/>
          <w:szCs w:val="32"/>
        </w:rPr>
        <w:t>（一）</w:t>
      </w:r>
      <w:r>
        <w:rPr>
          <w:rFonts w:hint="eastAsia" w:ascii="楷体" w:hAnsi="楷体" w:eastAsia="楷体" w:cs="楷体"/>
          <w:b/>
          <w:bCs w:val="0"/>
          <w:color w:val="auto"/>
          <w:sz w:val="32"/>
          <w:szCs w:val="32"/>
          <w:lang w:val="en-US" w:eastAsia="zh-CN"/>
        </w:rPr>
        <w:t>党政办公室</w:t>
      </w:r>
      <w:r>
        <w:rPr>
          <w:rFonts w:hint="eastAsia" w:ascii="楷体" w:hAnsi="楷体" w:eastAsia="楷体" w:cs="楷体"/>
          <w:b/>
          <w:bCs w:val="0"/>
          <w:color w:val="auto"/>
          <w:sz w:val="32"/>
          <w:szCs w:val="32"/>
        </w:rPr>
        <w:t>。</w:t>
      </w:r>
      <w:r>
        <w:rPr>
          <w:rFonts w:hint="eastAsia" w:eastAsia="仿宋_GB2312" w:cs="Times New Roman"/>
          <w:b w:val="0"/>
          <w:bCs/>
          <w:color w:val="auto"/>
          <w:sz w:val="32"/>
          <w:szCs w:val="32"/>
          <w:lang w:val="en-US" w:eastAsia="zh-CN"/>
        </w:rPr>
        <w:t>负责镇党委、人大主席团、政府、政协的日常事务性工作。负责镇机关各方面的综合协调工作。负责综合文秘、档案管理、党政印章管理、信息、机要、保密、后勤保障等工作。组织办理人大代表议案建议、政协委员提案和人大代表、政协委员的联络服务工作。</w:t>
      </w:r>
    </w:p>
    <w:p w14:paraId="54CBD1B4">
      <w:pPr>
        <w:keepNext w:val="0"/>
        <w:keepLines w:val="0"/>
        <w:pageBreakBefore w:val="0"/>
        <w:widowControl w:val="0"/>
        <w:kinsoku/>
        <w:wordWrap/>
        <w:overflowPunct/>
        <w:topLinePunct w:val="0"/>
        <w:autoSpaceDE/>
        <w:autoSpaceDN/>
        <w:bidi w:val="0"/>
        <w:adjustRightInd/>
        <w:snapToGrid/>
        <w:spacing w:line="576" w:lineRule="exact"/>
        <w:ind w:leftChars="0" w:firstLine="643" w:firstLineChars="200"/>
        <w:textAlignment w:val="auto"/>
        <w:rPr>
          <w:rFonts w:hint="eastAsia" w:ascii="仿宋_GB2312" w:hAnsi="仿宋_GB2312" w:eastAsia="仿宋_GB2312" w:cs="仿宋_GB2312"/>
          <w:b w:val="0"/>
          <w:bCs/>
          <w:color w:val="auto"/>
          <w:sz w:val="32"/>
          <w:szCs w:val="32"/>
          <w:lang w:val="en-US" w:eastAsia="zh-CN"/>
        </w:rPr>
      </w:pPr>
      <w:r>
        <w:rPr>
          <w:rFonts w:hint="eastAsia" w:ascii="楷体" w:hAnsi="楷体" w:eastAsia="楷体" w:cs="楷体"/>
          <w:b/>
          <w:bCs w:val="0"/>
          <w:color w:val="auto"/>
          <w:sz w:val="32"/>
          <w:szCs w:val="32"/>
          <w:lang w:eastAsia="zh-CN"/>
        </w:rPr>
        <w:t>（</w:t>
      </w:r>
      <w:r>
        <w:rPr>
          <w:rFonts w:hint="eastAsia" w:ascii="楷体" w:hAnsi="楷体" w:eastAsia="楷体" w:cs="楷体"/>
          <w:b/>
          <w:bCs w:val="0"/>
          <w:color w:val="auto"/>
          <w:sz w:val="32"/>
          <w:szCs w:val="32"/>
          <w:lang w:val="en-US" w:eastAsia="zh-CN"/>
        </w:rPr>
        <w:t>二</w:t>
      </w:r>
      <w:r>
        <w:rPr>
          <w:rFonts w:hint="eastAsia" w:ascii="楷体" w:hAnsi="楷体" w:eastAsia="楷体" w:cs="楷体"/>
          <w:b/>
          <w:bCs w:val="0"/>
          <w:color w:val="auto"/>
          <w:sz w:val="32"/>
          <w:szCs w:val="32"/>
          <w:lang w:eastAsia="zh-CN"/>
        </w:rPr>
        <w:t>）</w:t>
      </w:r>
      <w:r>
        <w:rPr>
          <w:rFonts w:hint="eastAsia" w:ascii="楷体" w:hAnsi="楷体" w:eastAsia="楷体" w:cs="楷体"/>
          <w:b/>
          <w:bCs w:val="0"/>
          <w:color w:val="auto"/>
          <w:sz w:val="32"/>
          <w:szCs w:val="32"/>
          <w:lang w:val="en-US" w:eastAsia="zh-CN"/>
        </w:rPr>
        <w:t>党建工作办公室</w:t>
      </w:r>
      <w:r>
        <w:rPr>
          <w:rFonts w:hint="eastAsia" w:ascii="楷体" w:hAnsi="楷体" w:eastAsia="楷体" w:cs="楷体"/>
          <w:b/>
          <w:bCs w:val="0"/>
          <w:color w:val="auto"/>
          <w:sz w:val="32"/>
          <w:szCs w:val="32"/>
        </w:rPr>
        <w:t>。</w:t>
      </w:r>
      <w:r>
        <w:rPr>
          <w:rFonts w:hint="eastAsia" w:ascii="仿宋_GB2312" w:hAnsi="仿宋_GB2312" w:eastAsia="仿宋_GB2312" w:cs="仿宋_GB2312"/>
          <w:b w:val="0"/>
          <w:bCs/>
          <w:color w:val="auto"/>
          <w:sz w:val="32"/>
          <w:szCs w:val="32"/>
          <w:lang w:val="en-US" w:eastAsia="zh-CN"/>
        </w:rPr>
        <w:t>负责基层党组织建设、流动党支部建设、党风廉政建设、反腐败等工作。统筹辖区内党员和流动党员的发展、教育、管理和党费收缴工作，指导村（社区）党组织建设管理等工作。负责宣传思想、意识形态、精神文明建设和群众工作。负责本镇机构编制管理及人才队伍建设、干部人事管理、离退休干部管理工作。负责工会、共青团、妇联等群团工作。完成领导交办的其他工作。</w:t>
      </w:r>
    </w:p>
    <w:p w14:paraId="71460A1D">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eastAsia"/>
          <w:color w:val="auto"/>
          <w:lang w:val="en-US" w:eastAsia="zh-CN"/>
        </w:rPr>
      </w:pPr>
      <w:r>
        <w:rPr>
          <w:rFonts w:hint="eastAsia" w:ascii="楷体" w:hAnsi="楷体" w:eastAsia="楷体" w:cs="楷体"/>
          <w:b/>
          <w:bCs w:val="0"/>
          <w:color w:val="auto"/>
          <w:sz w:val="32"/>
          <w:szCs w:val="32"/>
          <w:lang w:eastAsia="zh-CN"/>
        </w:rPr>
        <w:t>（</w:t>
      </w:r>
      <w:r>
        <w:rPr>
          <w:rFonts w:hint="eastAsia" w:ascii="楷体" w:hAnsi="楷体" w:eastAsia="楷体" w:cs="楷体"/>
          <w:b/>
          <w:bCs w:val="0"/>
          <w:color w:val="auto"/>
          <w:sz w:val="32"/>
          <w:szCs w:val="32"/>
          <w:lang w:val="en-US" w:eastAsia="zh-CN"/>
        </w:rPr>
        <w:t>三</w:t>
      </w:r>
      <w:r>
        <w:rPr>
          <w:rFonts w:hint="eastAsia" w:ascii="楷体" w:hAnsi="楷体" w:eastAsia="楷体" w:cs="楷体"/>
          <w:b/>
          <w:bCs w:val="0"/>
          <w:color w:val="auto"/>
          <w:sz w:val="32"/>
          <w:szCs w:val="32"/>
          <w:lang w:eastAsia="zh-CN"/>
        </w:rPr>
        <w:t>）</w:t>
      </w:r>
      <w:r>
        <w:rPr>
          <w:rFonts w:hint="eastAsia" w:ascii="楷体" w:hAnsi="楷体" w:eastAsia="楷体" w:cs="楷体"/>
          <w:b/>
          <w:bCs w:val="0"/>
          <w:color w:val="auto"/>
          <w:sz w:val="32"/>
          <w:szCs w:val="32"/>
          <w:lang w:val="en-US" w:eastAsia="zh-CN"/>
        </w:rPr>
        <w:t>维护稳定办公室，挂群众工作办公室牌子</w:t>
      </w:r>
      <w:r>
        <w:rPr>
          <w:rFonts w:hint="eastAsia" w:ascii="楷体" w:hAnsi="楷体" w:eastAsia="楷体" w:cs="楷体"/>
          <w:b/>
          <w:bCs w:val="0"/>
          <w:color w:val="auto"/>
          <w:sz w:val="32"/>
          <w:szCs w:val="32"/>
        </w:rPr>
        <w:t>。</w:t>
      </w:r>
      <w:r>
        <w:rPr>
          <w:rFonts w:hint="eastAsia" w:eastAsia="仿宋_GB2312" w:cs="Times New Roman"/>
          <w:b w:val="0"/>
          <w:bCs/>
          <w:color w:val="auto"/>
          <w:sz w:val="32"/>
          <w:szCs w:val="32"/>
          <w:lang w:val="en-US" w:eastAsia="zh-CN"/>
        </w:rPr>
        <w:t>负责社会治安综合治理、维护稳定、群众信访等工作；组织开展</w:t>
      </w:r>
      <w:r>
        <w:rPr>
          <w:rFonts w:hint="default" w:ascii="Times New Roman" w:hAnsi="Times New Roman" w:eastAsia="仿宋_GB2312" w:cs="Times New Roman"/>
          <w:b w:val="0"/>
          <w:bCs w:val="0"/>
          <w:color w:val="auto"/>
          <w:sz w:val="32"/>
          <w:szCs w:val="32"/>
          <w:lang w:val="en-US" w:eastAsia="zh-CN"/>
        </w:rPr>
        <w:t>人武、政法、统战</w:t>
      </w:r>
      <w:r>
        <w:rPr>
          <w:rFonts w:hint="eastAsia" w:ascii="Times New Roman" w:hAnsi="Times New Roman" w:eastAsia="仿宋_GB2312" w:cs="Times New Roman"/>
          <w:b w:val="0"/>
          <w:bCs w:val="0"/>
          <w:color w:val="auto"/>
          <w:sz w:val="32"/>
          <w:szCs w:val="32"/>
          <w:lang w:val="en-US" w:eastAsia="zh-CN"/>
        </w:rPr>
        <w:t>、</w:t>
      </w:r>
      <w:r>
        <w:rPr>
          <w:rFonts w:hint="eastAsia" w:eastAsia="仿宋_GB2312" w:cs="Times New Roman"/>
          <w:b w:val="0"/>
          <w:bCs/>
          <w:color w:val="auto"/>
          <w:sz w:val="32"/>
          <w:szCs w:val="32"/>
          <w:lang w:val="en-US" w:eastAsia="zh-CN"/>
        </w:rPr>
        <w:t>信访、稳定、民宗、群众、防邪和网格化管理等相关工作。</w:t>
      </w:r>
      <w:r>
        <w:rPr>
          <w:rFonts w:hint="eastAsia" w:ascii="Times New Roman" w:hAnsi="Times New Roman" w:eastAsia="仿宋_GB2312" w:cs="Times New Roman"/>
          <w:b w:val="0"/>
          <w:bCs w:val="0"/>
          <w:color w:val="auto"/>
          <w:sz w:val="32"/>
          <w:szCs w:val="32"/>
          <w:lang w:val="en-US" w:eastAsia="zh-CN"/>
        </w:rPr>
        <w:t>负责辖区内法治建设，配合开展调解和帮教管理，</w:t>
      </w:r>
      <w:r>
        <w:rPr>
          <w:rFonts w:hint="eastAsia" w:eastAsia="仿宋_GB2312" w:cs="Times New Roman"/>
          <w:b w:val="0"/>
          <w:bCs/>
          <w:color w:val="auto"/>
          <w:sz w:val="32"/>
          <w:szCs w:val="32"/>
          <w:lang w:val="en-US" w:eastAsia="zh-CN"/>
        </w:rPr>
        <w:t>承担辖区内矛盾纠纷多元化解协调工作</w:t>
      </w:r>
      <w:r>
        <w:rPr>
          <w:rFonts w:hint="eastAsia" w:ascii="Times New Roman" w:hAnsi="Times New Roman" w:eastAsia="仿宋_GB2312" w:cs="Times New Roman"/>
          <w:b w:val="0"/>
          <w:bCs w:val="0"/>
          <w:color w:val="auto"/>
          <w:sz w:val="32"/>
          <w:szCs w:val="32"/>
          <w:lang w:val="en-US" w:eastAsia="zh-CN"/>
        </w:rPr>
        <w:t>。协助司法机关开展打击违法犯罪和禁毒、扫黑除恶活动。负责流动人口、外来僧道管理。</w:t>
      </w:r>
      <w:r>
        <w:rPr>
          <w:rFonts w:hint="eastAsia" w:ascii="Calibri" w:hAnsi="Calibri" w:eastAsia="仿宋_GB2312" w:cs="Times New Roman"/>
          <w:b w:val="0"/>
          <w:bCs/>
          <w:color w:val="auto"/>
          <w:sz w:val="32"/>
          <w:szCs w:val="32"/>
          <w:lang w:val="en-US" w:eastAsia="zh-CN"/>
        </w:rPr>
        <w:t>负责基层自治建设和民主法治建设，指导基层群众性自治组织规范化、制度化建设。指导村（居）民委员换届选举。组织开展法制、综治、平安建设等宣传教育活动，负责基层综治干部和群防群治队伍的教育、培训和管理等工作。负责国防动员和兵役服务工作。</w:t>
      </w:r>
      <w:r>
        <w:rPr>
          <w:rFonts w:hint="eastAsia" w:ascii="Times New Roman" w:hAnsi="Times New Roman" w:eastAsia="仿宋_GB2312" w:cs="Times New Roman"/>
          <w:b w:val="0"/>
          <w:bCs w:val="0"/>
          <w:color w:val="auto"/>
          <w:sz w:val="32"/>
          <w:szCs w:val="32"/>
          <w:lang w:val="en-US" w:eastAsia="zh-CN"/>
        </w:rPr>
        <w:t>完成领导交办的其他工作。</w:t>
      </w:r>
    </w:p>
    <w:p w14:paraId="789F625F">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eastAsia"/>
          <w:lang w:eastAsia="zh-CN"/>
        </w:rPr>
      </w:pPr>
      <w:r>
        <w:rPr>
          <w:rFonts w:hint="eastAsia" w:ascii="楷体" w:hAnsi="楷体" w:eastAsia="楷体" w:cs="楷体"/>
          <w:b/>
          <w:bCs w:val="0"/>
          <w:color w:val="auto"/>
          <w:sz w:val="32"/>
          <w:szCs w:val="32"/>
          <w:lang w:eastAsia="zh-CN"/>
        </w:rPr>
        <w:t>（</w:t>
      </w:r>
      <w:r>
        <w:rPr>
          <w:rFonts w:hint="eastAsia" w:ascii="楷体" w:hAnsi="楷体" w:eastAsia="楷体" w:cs="楷体"/>
          <w:b/>
          <w:bCs w:val="0"/>
          <w:color w:val="auto"/>
          <w:sz w:val="32"/>
          <w:szCs w:val="32"/>
          <w:lang w:val="en-US" w:eastAsia="zh-CN"/>
        </w:rPr>
        <w:t>四</w:t>
      </w:r>
      <w:r>
        <w:rPr>
          <w:rFonts w:hint="eastAsia" w:ascii="楷体" w:hAnsi="楷体" w:eastAsia="楷体" w:cs="楷体"/>
          <w:b/>
          <w:bCs w:val="0"/>
          <w:color w:val="auto"/>
          <w:sz w:val="32"/>
          <w:szCs w:val="32"/>
          <w:lang w:eastAsia="zh-CN"/>
        </w:rPr>
        <w:t>）群团工作办公室。</w:t>
      </w:r>
      <w:r>
        <w:rPr>
          <w:rFonts w:hint="eastAsia" w:ascii="仿宋_GB2312" w:hAnsi="仿宋_GB2312" w:eastAsia="仿宋_GB2312" w:cs="仿宋_GB2312"/>
          <w:b w:val="0"/>
          <w:bCs/>
          <w:color w:val="auto"/>
          <w:sz w:val="32"/>
          <w:szCs w:val="32"/>
          <w:lang w:eastAsia="zh-CN"/>
        </w:rPr>
        <w:t>负责乡镇工会、共青团、妇联等群团工作。监督干部职工福利待遇工作的落实，维护职工的合法权益。组织开展文体娱乐活动，组织各种形式的技能竞赛、报告和讲座。</w:t>
      </w:r>
      <w:r>
        <w:rPr>
          <w:rFonts w:hint="eastAsia" w:ascii="Times New Roman" w:hAnsi="Times New Roman" w:eastAsia="仿宋_GB2312" w:cs="Times New Roman"/>
          <w:b w:val="0"/>
          <w:bCs w:val="0"/>
          <w:color w:val="auto"/>
          <w:sz w:val="32"/>
          <w:szCs w:val="32"/>
          <w:lang w:val="en-US" w:eastAsia="zh-CN"/>
        </w:rPr>
        <w:t>完成领导交办的其他工作。</w:t>
      </w:r>
    </w:p>
    <w:p w14:paraId="49C2F124">
      <w:pPr>
        <w:pStyle w:val="18"/>
        <w:keepNext w:val="0"/>
        <w:keepLines w:val="0"/>
        <w:pageBreakBefore w:val="0"/>
        <w:widowControl w:val="0"/>
        <w:kinsoku/>
        <w:wordWrap/>
        <w:overflowPunct/>
        <w:topLinePunct w:val="0"/>
        <w:autoSpaceDE/>
        <w:autoSpaceDN/>
        <w:bidi w:val="0"/>
        <w:adjustRightInd/>
        <w:snapToGrid/>
        <w:spacing w:line="576" w:lineRule="exact"/>
        <w:ind w:left="0" w:leftChars="0" w:firstLine="643" w:firstLineChars="200"/>
        <w:textAlignment w:val="auto"/>
        <w:rPr>
          <w:rFonts w:hint="default" w:ascii="Calibri" w:hAnsi="Calibri"/>
          <w:color w:val="auto"/>
          <w:lang w:val="en-US" w:eastAsia="zh-CN"/>
        </w:rPr>
      </w:pPr>
      <w:r>
        <w:rPr>
          <w:rFonts w:hint="eastAsia" w:ascii="楷体" w:hAnsi="楷体" w:eastAsia="楷体" w:cs="楷体"/>
          <w:b/>
          <w:bCs w:val="0"/>
          <w:color w:val="auto"/>
          <w:kern w:val="2"/>
          <w:sz w:val="32"/>
          <w:szCs w:val="32"/>
          <w:lang w:val="en-US" w:eastAsia="zh-CN" w:bidi="ar-SA"/>
        </w:rPr>
        <w:t>（五）经济发展和乡村振兴办公室，挂扶贫开发办公室牌子。</w:t>
      </w:r>
      <w:r>
        <w:rPr>
          <w:rFonts w:hint="eastAsia" w:eastAsia="仿宋_GB2312" w:cs="Times New Roman"/>
          <w:b w:val="0"/>
          <w:bCs/>
          <w:color w:val="auto"/>
          <w:sz w:val="32"/>
          <w:szCs w:val="32"/>
          <w:lang w:val="en-US" w:eastAsia="zh-CN"/>
        </w:rPr>
        <w:t>负责经济工作的指导、协调、服务和监督管理。负责优化营商环境建设。负责统筹、协调、指导、配合开展辖区内经济结构调整、项目建设、招商引资、旅游开发、移民搬迁、土地流转等工作。负责组织实施扶贫开发、乡村振兴、农村人居环境整治，推动宜居乡村建设。统筹、指导、监管辖区内农业农村、林业、水利等工作。指导农民合作经济组织、农村集体经济组织建设和发展。</w:t>
      </w:r>
      <w:r>
        <w:rPr>
          <w:rFonts w:hint="eastAsia" w:ascii="Calibri" w:hAnsi="Calibri" w:eastAsia="仿宋_GB2312" w:cs="Times New Roman"/>
          <w:b w:val="0"/>
          <w:bCs/>
          <w:color w:val="auto"/>
          <w:sz w:val="32"/>
          <w:szCs w:val="32"/>
          <w:lang w:val="en-US" w:eastAsia="zh-CN"/>
        </w:rPr>
        <w:t>负责村镇规划建设管理，统筹农村基础设施建设等工作。完成领导交办的其他工作。</w:t>
      </w:r>
    </w:p>
    <w:p w14:paraId="27B0384B">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default" w:ascii="仿宋_GB2312" w:hAnsi="仿宋_GB2312" w:eastAsia="仿宋_GB2312" w:cs="仿宋_GB2312"/>
          <w:color w:val="auto"/>
          <w:sz w:val="32"/>
          <w:szCs w:val="32"/>
          <w:lang w:val="en-US" w:eastAsia="zh-CN"/>
        </w:rPr>
      </w:pPr>
      <w:r>
        <w:rPr>
          <w:rFonts w:hint="eastAsia" w:ascii="楷体" w:hAnsi="楷体" w:eastAsia="楷体" w:cs="楷体"/>
          <w:b/>
          <w:bCs w:val="0"/>
          <w:color w:val="auto"/>
          <w:sz w:val="32"/>
          <w:szCs w:val="32"/>
          <w:lang w:val="en-US" w:eastAsia="zh-CN"/>
        </w:rPr>
        <w:t>（六）社会事务和应急管理办公室，挂安全生产监督管理办公室牌子</w:t>
      </w:r>
      <w:r>
        <w:rPr>
          <w:rFonts w:hint="eastAsia" w:ascii="楷体" w:hAnsi="楷体" w:eastAsia="楷体" w:cs="楷体"/>
          <w:b/>
          <w:bCs w:val="0"/>
          <w:color w:val="auto"/>
          <w:sz w:val="32"/>
          <w:szCs w:val="32"/>
        </w:rPr>
        <w:t>。</w:t>
      </w:r>
      <w:r>
        <w:rPr>
          <w:rFonts w:hint="eastAsia" w:eastAsia="仿宋_GB2312" w:cs="Times New Roman"/>
          <w:b w:val="0"/>
          <w:bCs/>
          <w:color w:val="auto"/>
          <w:sz w:val="32"/>
          <w:szCs w:val="32"/>
          <w:lang w:val="en-US" w:eastAsia="zh-CN"/>
        </w:rPr>
        <w:t>负责公共事务综合管理。统一领导教育体育、科学、卫生健康、民政、文化等社会事业建设工作。负责应急体系建设、制度建设和应急管理工作，负责组织、指导、协调</w:t>
      </w:r>
      <w:r>
        <w:rPr>
          <w:rFonts w:hint="eastAsia" w:ascii="仿宋_GB2312" w:hAnsi="仿宋_GB2312" w:eastAsia="仿宋_GB2312" w:cs="仿宋_GB2312"/>
          <w:color w:val="auto"/>
          <w:sz w:val="32"/>
          <w:szCs w:val="32"/>
        </w:rPr>
        <w:t>安全生产</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自然灾害、防灾减灾救灾等日常工作。负责防汛抗旱、森林草原防灭火、地质灾害防治、卫生防疫等工作。负责应急抢险和应急队伍建设、管理、培训、演习以及应急设备和物资的储备、管理等工作。负责应急值守工作。负责辖区内生产经营单位安全生产状况的监督检查工作，协助有关部门依法履行安全生产监督管理工作。负责农村老旧危房安全排查，落实农村老旧住房安全监管和住房安全宣传引导职责。完成领导交办的其他工作。</w:t>
      </w:r>
    </w:p>
    <w:p w14:paraId="5DEF4B29">
      <w:pPr>
        <w:keepNext w:val="0"/>
        <w:keepLines w:val="0"/>
        <w:pageBreakBefore w:val="0"/>
        <w:widowControl w:val="0"/>
        <w:kinsoku/>
        <w:wordWrap/>
        <w:overflowPunct/>
        <w:topLinePunct w:val="0"/>
        <w:autoSpaceDE/>
        <w:autoSpaceDN/>
        <w:bidi w:val="0"/>
        <w:adjustRightInd/>
        <w:snapToGrid/>
        <w:spacing w:line="576" w:lineRule="exact"/>
        <w:ind w:left="0" w:leftChars="0" w:firstLine="643" w:firstLineChars="200"/>
        <w:jc w:val="both"/>
        <w:textAlignment w:val="auto"/>
        <w:rPr>
          <w:rFonts w:hint="default" w:ascii="仿宋_GB2312" w:hAnsi="仿宋_GB2312" w:eastAsia="仿宋_GB2312" w:cs="仿宋_GB2312"/>
          <w:color w:val="auto"/>
          <w:sz w:val="32"/>
          <w:szCs w:val="32"/>
          <w:lang w:val="en-US" w:eastAsia="zh-CN"/>
        </w:rPr>
      </w:pPr>
      <w:r>
        <w:rPr>
          <w:rFonts w:hint="eastAsia" w:ascii="楷体" w:hAnsi="楷体" w:eastAsia="楷体" w:cs="楷体"/>
          <w:b/>
          <w:bCs w:val="0"/>
          <w:color w:val="auto"/>
          <w:kern w:val="2"/>
          <w:sz w:val="32"/>
          <w:szCs w:val="32"/>
          <w:lang w:val="en-US" w:eastAsia="zh-CN" w:bidi="ar-SA"/>
        </w:rPr>
        <w:t>（七）村镇规划建设管理办公室，挂生态环境办公室牌子。</w:t>
      </w:r>
      <w:r>
        <w:rPr>
          <w:rFonts w:hint="eastAsia" w:ascii="仿宋_GB2312" w:hAnsi="仿宋_GB2312" w:eastAsia="仿宋_GB2312" w:cs="仿宋_GB2312"/>
          <w:color w:val="auto"/>
          <w:sz w:val="32"/>
          <w:szCs w:val="32"/>
          <w:lang w:val="en-US" w:eastAsia="zh-CN"/>
        </w:rPr>
        <w:t>负责村镇规划建设管理、生态环境保护工作。</w:t>
      </w:r>
      <w:r>
        <w:rPr>
          <w:rFonts w:hint="eastAsia" w:eastAsia="仿宋_GB2312" w:cs="Times New Roman"/>
          <w:b w:val="0"/>
          <w:bCs/>
          <w:color w:val="auto"/>
          <w:sz w:val="32"/>
          <w:szCs w:val="32"/>
          <w:lang w:val="en-US" w:eastAsia="zh-CN"/>
        </w:rPr>
        <w:t>负责参与拟订镇经济发展规划并组织实施，对辖区内重大基础设施建设、重大公共服务资源布局、重大决策提出意见及建议。</w:t>
      </w:r>
      <w:r>
        <w:rPr>
          <w:rFonts w:hint="eastAsia" w:ascii="Calibri" w:hAnsi="Calibri" w:eastAsia="仿宋_GB2312" w:cs="Times New Roman"/>
          <w:b w:val="0"/>
          <w:bCs/>
          <w:color w:val="auto"/>
          <w:kern w:val="2"/>
          <w:sz w:val="32"/>
          <w:szCs w:val="32"/>
          <w:lang w:val="en-US" w:eastAsia="zh-CN" w:bidi="ar-SA"/>
        </w:rPr>
        <w:t>负责辖区内自然资源保护、生态环境保护、城镇管理等工作。配合相关部门组织开展工业、生活、生产、经营、农业等污染的监督检查和防控整治工作，指导辖区内生态农业、牧业建设。负责辖区内水资源保护、水环境治理、节约用水、环境卫生管理等工作。参与重大生态破坏事件的调查处理。</w:t>
      </w:r>
      <w:r>
        <w:rPr>
          <w:rFonts w:hint="eastAsia" w:ascii="仿宋_GB2312" w:hAnsi="仿宋_GB2312" w:eastAsia="仿宋_GB2312" w:cs="仿宋_GB2312"/>
          <w:color w:val="auto"/>
          <w:sz w:val="32"/>
          <w:szCs w:val="32"/>
          <w:lang w:val="en-US" w:eastAsia="zh-CN"/>
        </w:rPr>
        <w:t>完成领导交办的其他工作。</w:t>
      </w:r>
    </w:p>
    <w:p w14:paraId="0ED63B35">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eastAsia" w:ascii="Calibri" w:hAnsi="Calibri" w:eastAsia="仿宋_GB2312" w:cs="Times New Roman"/>
          <w:b w:val="0"/>
          <w:bCs/>
          <w:color w:val="auto"/>
          <w:kern w:val="2"/>
          <w:sz w:val="32"/>
          <w:szCs w:val="32"/>
          <w:lang w:val="en-US" w:eastAsia="zh-CN" w:bidi="ar-SA"/>
        </w:rPr>
      </w:pPr>
      <w:r>
        <w:rPr>
          <w:rFonts w:hint="eastAsia" w:ascii="楷体" w:hAnsi="楷体" w:eastAsia="楷体" w:cs="楷体"/>
          <w:b/>
          <w:bCs w:val="0"/>
          <w:color w:val="auto"/>
          <w:kern w:val="2"/>
          <w:sz w:val="32"/>
          <w:szCs w:val="32"/>
          <w:lang w:val="en-US" w:eastAsia="zh-CN" w:bidi="ar-SA"/>
        </w:rPr>
        <w:t>（八）综合执法办公室。</w:t>
      </w:r>
      <w:r>
        <w:rPr>
          <w:rFonts w:hint="eastAsia" w:ascii="Calibri" w:hAnsi="Calibri" w:eastAsia="仿宋_GB2312" w:cs="Times New Roman"/>
          <w:b w:val="0"/>
          <w:bCs/>
          <w:color w:val="auto"/>
          <w:kern w:val="2"/>
          <w:sz w:val="32"/>
          <w:szCs w:val="32"/>
          <w:lang w:val="en-US" w:eastAsia="zh-CN" w:bidi="ar-SA"/>
        </w:rPr>
        <w:t>负责辖区内综合行政执法工作。负责城镇公用设施管理、秩序管理（户外广告空间资源和区位设置及外观形式等）、临时摊位和临时停车场的统一规划及管理等。完成领导交办的其他工作。</w:t>
      </w:r>
    </w:p>
    <w:p w14:paraId="1CC8FFC5">
      <w:pPr>
        <w:keepNext w:val="0"/>
        <w:keepLines w:val="0"/>
        <w:pageBreakBefore w:val="0"/>
        <w:widowControl w:val="0"/>
        <w:kinsoku/>
        <w:wordWrap/>
        <w:overflowPunct/>
        <w:topLinePunct w:val="0"/>
        <w:autoSpaceDE/>
        <w:autoSpaceDN/>
        <w:bidi w:val="0"/>
        <w:adjustRightInd/>
        <w:snapToGrid/>
        <w:spacing w:line="576" w:lineRule="exact"/>
        <w:ind w:leftChars="0" w:firstLine="643" w:firstLineChars="200"/>
        <w:textAlignment w:val="auto"/>
        <w:rPr>
          <w:rFonts w:hint="eastAsia" w:eastAsia="仿宋_GB2312" w:cs="Times New Roman"/>
          <w:b w:val="0"/>
          <w:bCs/>
          <w:color w:val="auto"/>
          <w:sz w:val="32"/>
          <w:szCs w:val="32"/>
          <w:lang w:val="en-US" w:eastAsia="zh-CN"/>
        </w:rPr>
      </w:pPr>
      <w:r>
        <w:rPr>
          <w:rFonts w:hint="eastAsia" w:ascii="楷体" w:hAnsi="楷体" w:eastAsia="楷体" w:cs="楷体"/>
          <w:b/>
          <w:bCs w:val="0"/>
          <w:color w:val="auto"/>
          <w:kern w:val="2"/>
          <w:sz w:val="32"/>
          <w:szCs w:val="32"/>
          <w:lang w:val="en-US" w:eastAsia="zh-CN" w:bidi="ar-SA"/>
        </w:rPr>
        <w:t>（九）财政工作办公室。</w:t>
      </w:r>
      <w:r>
        <w:rPr>
          <w:rFonts w:hint="eastAsia" w:eastAsia="仿宋_GB2312" w:cs="Times New Roman"/>
          <w:b w:val="0"/>
          <w:bCs/>
          <w:color w:val="auto"/>
          <w:sz w:val="32"/>
          <w:szCs w:val="32"/>
          <w:lang w:val="en-US" w:eastAsia="zh-CN"/>
        </w:rPr>
        <w:t>负责集体资产与村级财务的指导管理，管理乡镇行政事业单位和其他组织的各类财政资金等工作。完成领导交办的其他工作。</w:t>
      </w:r>
    </w:p>
    <w:p w14:paraId="0352EA91">
      <w:pPr>
        <w:keepNext w:val="0"/>
        <w:keepLines w:val="0"/>
        <w:pageBreakBefore w:val="0"/>
        <w:widowControl w:val="0"/>
        <w:kinsoku/>
        <w:wordWrap/>
        <w:overflowPunct/>
        <w:topLinePunct w:val="0"/>
        <w:autoSpaceDE/>
        <w:autoSpaceDN/>
        <w:bidi w:val="0"/>
        <w:adjustRightInd/>
        <w:snapToGrid/>
        <w:spacing w:line="576" w:lineRule="exact"/>
        <w:ind w:leftChars="0" w:firstLine="640" w:firstLineChars="200"/>
        <w:textAlignment w:val="auto"/>
        <w:rPr>
          <w:rFonts w:hint="default"/>
          <w:color w:val="auto"/>
          <w:lang w:val="en-US" w:eastAsia="zh-CN"/>
        </w:rPr>
      </w:pPr>
      <w:r>
        <w:rPr>
          <w:rFonts w:hint="eastAsia" w:ascii="仿宋_GB2312" w:hAnsi="仿宋_GB2312" w:eastAsia="仿宋_GB2312" w:cs="仿宋_GB2312"/>
          <w:color w:val="auto"/>
          <w:sz w:val="32"/>
          <w:szCs w:val="32"/>
          <w:lang w:val="en-US" w:eastAsia="zh-CN"/>
        </w:rPr>
        <w:t xml:space="preserve"> 川主寺镇设直属公益一类事业单位5个，如下：</w:t>
      </w:r>
    </w:p>
    <w:p w14:paraId="46E9C56B">
      <w:pPr>
        <w:pStyle w:val="18"/>
        <w:keepNext w:val="0"/>
        <w:keepLines w:val="0"/>
        <w:pageBreakBefore w:val="0"/>
        <w:widowControl w:val="0"/>
        <w:kinsoku/>
        <w:wordWrap/>
        <w:overflowPunct/>
        <w:topLinePunct w:val="0"/>
        <w:autoSpaceDE/>
        <w:autoSpaceDN/>
        <w:bidi w:val="0"/>
        <w:adjustRightInd/>
        <w:snapToGrid/>
        <w:spacing w:line="576" w:lineRule="exact"/>
        <w:ind w:left="0" w:leftChars="0" w:firstLine="643" w:firstLineChars="200"/>
        <w:textAlignment w:val="auto"/>
        <w:rPr>
          <w:rFonts w:hint="default" w:ascii="仿宋_GB2312" w:hAnsi="仿宋_GB2312" w:eastAsia="仿宋_GB2312" w:cs="仿宋_GB2312"/>
          <w:color w:val="auto"/>
          <w:sz w:val="32"/>
          <w:szCs w:val="32"/>
          <w:lang w:val="en-US" w:eastAsia="zh-CN"/>
        </w:rPr>
      </w:pPr>
      <w:r>
        <w:rPr>
          <w:rFonts w:hint="eastAsia" w:ascii="楷体" w:hAnsi="楷体" w:eastAsia="楷体" w:cs="楷体"/>
          <w:b/>
          <w:bCs/>
          <w:color w:val="auto"/>
          <w:sz w:val="32"/>
          <w:szCs w:val="32"/>
          <w:lang w:val="en-US" w:eastAsia="zh-CN"/>
        </w:rPr>
        <w:t>（一）便民服务中心，挂农民工服务中心牌子。</w:t>
      </w:r>
      <w:r>
        <w:rPr>
          <w:rFonts w:hint="eastAsia" w:ascii="仿宋_GB2312" w:hAnsi="仿宋_GB2312" w:eastAsia="仿宋_GB2312" w:cs="仿宋_GB2312"/>
          <w:color w:val="auto"/>
          <w:sz w:val="32"/>
          <w:szCs w:val="32"/>
          <w:lang w:val="en-US" w:eastAsia="zh-CN"/>
        </w:rPr>
        <w:t>宣传并贯彻落实政务服务、农民工服务等法律法规和方针政策。负责便民服务体系标准化、规范化建设，优化办事流程，拟订服务管理制度并组织实施，落实“最多跑一次”改革向基层延伸各项工作。负责便民服务窗口工作人员的管理，协助派驻到镇部门的行政审批及公共服务事项进驻窗口事宜。指导村（社区）便民服务点业务工作。牵头负责外出务工人员联络、农民工输出、培训、维权、回引及返乡创业服务等工作。承担镇党委、政府交办的其他工作任务。核定事业编制3名，其中：主任1名（股级）。</w:t>
      </w:r>
    </w:p>
    <w:p w14:paraId="45D4982C">
      <w:pPr>
        <w:keepNext w:val="0"/>
        <w:keepLines w:val="0"/>
        <w:pageBreakBefore w:val="0"/>
        <w:widowControl w:val="0"/>
        <w:kinsoku/>
        <w:wordWrap/>
        <w:overflowPunct/>
        <w:topLinePunct w:val="0"/>
        <w:autoSpaceDE/>
        <w:autoSpaceDN/>
        <w:bidi w:val="0"/>
        <w:adjustRightInd/>
        <w:snapToGrid/>
        <w:spacing w:line="576" w:lineRule="exact"/>
        <w:ind w:leftChars="0" w:firstLine="643" w:firstLineChars="200"/>
        <w:textAlignment w:val="auto"/>
        <w:rPr>
          <w:rFonts w:hint="eastAsia" w:ascii="仿宋_GB2312" w:hAnsi="仿宋_GB2312" w:eastAsia="仿宋_GB2312" w:cs="仿宋_GB2312"/>
          <w:color w:val="auto"/>
          <w:sz w:val="32"/>
          <w:szCs w:val="32"/>
          <w:lang w:val="en-US" w:eastAsia="zh-CN"/>
        </w:rPr>
      </w:pPr>
      <w:r>
        <w:rPr>
          <w:rFonts w:hint="eastAsia" w:ascii="楷体" w:hAnsi="楷体" w:eastAsia="楷体" w:cs="楷体"/>
          <w:b/>
          <w:bCs/>
          <w:color w:val="auto"/>
          <w:kern w:val="2"/>
          <w:sz w:val="32"/>
          <w:szCs w:val="32"/>
          <w:lang w:val="en-US" w:eastAsia="zh-CN" w:bidi="ar-SA"/>
        </w:rPr>
        <w:t>（二）经济发展服务中心。</w:t>
      </w:r>
      <w:r>
        <w:rPr>
          <w:rFonts w:hint="eastAsia" w:ascii="Times New Roman" w:hAnsi="Times New Roman" w:eastAsia="仿宋_GB2312" w:cs="Times New Roman"/>
          <w:color w:val="auto"/>
          <w:sz w:val="32"/>
          <w:szCs w:val="32"/>
          <w:lang w:eastAsia="zh-CN"/>
        </w:rPr>
        <w:t>负责乡村经济发展、乡村振兴、农村经济发展、农村体制改革、农村土地承包、</w:t>
      </w:r>
      <w:r>
        <w:rPr>
          <w:rFonts w:hint="eastAsia" w:ascii="仿宋_GB2312" w:hAnsi="仿宋_GB2312" w:eastAsia="仿宋_GB2312" w:cs="仿宋_GB2312"/>
          <w:color w:val="auto"/>
          <w:sz w:val="32"/>
          <w:szCs w:val="32"/>
          <w:lang w:val="en-US" w:eastAsia="zh-CN"/>
        </w:rPr>
        <w:t>扶贫</w:t>
      </w:r>
      <w:r>
        <w:rPr>
          <w:rFonts w:hint="eastAsia" w:ascii="Times New Roman" w:hAnsi="Times New Roman" w:eastAsia="仿宋_GB2312" w:cs="Times New Roman"/>
          <w:color w:val="auto"/>
          <w:sz w:val="32"/>
          <w:szCs w:val="32"/>
          <w:lang w:eastAsia="zh-CN"/>
        </w:rPr>
        <w:t>开发和综合治理等工作。</w:t>
      </w:r>
      <w:r>
        <w:rPr>
          <w:rFonts w:hint="eastAsia" w:ascii="Times New Roman" w:hAnsi="Times New Roman" w:eastAsia="仿宋_GB2312" w:cs="Times New Roman"/>
          <w:color w:val="auto"/>
          <w:sz w:val="32"/>
          <w:szCs w:val="32"/>
          <w:lang w:val="en-US" w:eastAsia="zh-CN"/>
        </w:rPr>
        <w:t>负责村级资金核拨和监督管理。负责综合统计工作。</w:t>
      </w:r>
      <w:r>
        <w:rPr>
          <w:rFonts w:hint="default" w:ascii="Times New Roman" w:hAnsi="Times New Roman" w:eastAsia="仿宋_GB2312" w:cs="Times New Roman"/>
          <w:color w:val="auto"/>
          <w:sz w:val="32"/>
          <w:szCs w:val="32"/>
        </w:rPr>
        <w:t>承担</w:t>
      </w:r>
      <w:r>
        <w:rPr>
          <w:rFonts w:hint="eastAsia" w:ascii="Times New Roman" w:hAnsi="Times New Roman" w:eastAsia="仿宋_GB2312" w:cs="Times New Roman"/>
          <w:color w:val="auto"/>
          <w:sz w:val="32"/>
          <w:szCs w:val="32"/>
          <w:lang w:val="en-US" w:eastAsia="zh-CN"/>
        </w:rPr>
        <w:t>镇</w:t>
      </w:r>
      <w:r>
        <w:rPr>
          <w:rFonts w:hint="default" w:ascii="Times New Roman" w:hAnsi="Times New Roman" w:eastAsia="仿宋_GB2312" w:cs="Times New Roman"/>
          <w:color w:val="auto"/>
          <w:sz w:val="32"/>
          <w:szCs w:val="32"/>
        </w:rPr>
        <w:t>党委、政府交办的其他工作任务。</w:t>
      </w:r>
      <w:r>
        <w:rPr>
          <w:rFonts w:hint="eastAsia" w:ascii="仿宋_GB2312" w:hAnsi="仿宋_GB2312" w:eastAsia="仿宋_GB2312" w:cs="仿宋_GB2312"/>
          <w:color w:val="auto"/>
          <w:sz w:val="32"/>
          <w:szCs w:val="32"/>
          <w:lang w:val="en-US" w:eastAsia="zh-CN"/>
        </w:rPr>
        <w:t>核定事业编制7名，其中：主任1名（股级）。</w:t>
      </w:r>
    </w:p>
    <w:p w14:paraId="4394F45B">
      <w:pPr>
        <w:keepNext w:val="0"/>
        <w:keepLines w:val="0"/>
        <w:pageBreakBefore w:val="0"/>
        <w:widowControl w:val="0"/>
        <w:kinsoku/>
        <w:wordWrap/>
        <w:overflowPunct/>
        <w:topLinePunct w:val="0"/>
        <w:autoSpaceDE/>
        <w:autoSpaceDN/>
        <w:bidi w:val="0"/>
        <w:adjustRightInd/>
        <w:snapToGrid/>
        <w:spacing w:line="576" w:lineRule="exact"/>
        <w:ind w:leftChars="0" w:firstLine="643" w:firstLineChars="200"/>
        <w:textAlignment w:val="auto"/>
        <w:rPr>
          <w:rFonts w:hint="eastAsia" w:ascii="仿宋_GB2312" w:hAnsi="仿宋_GB2312" w:eastAsia="仿宋_GB2312" w:cs="仿宋_GB2312"/>
          <w:color w:val="auto"/>
          <w:sz w:val="32"/>
          <w:szCs w:val="32"/>
          <w:lang w:val="en-US" w:eastAsia="zh-CN"/>
        </w:rPr>
      </w:pPr>
      <w:r>
        <w:rPr>
          <w:rFonts w:hint="eastAsia" w:ascii="楷体" w:hAnsi="楷体" w:eastAsia="楷体" w:cs="楷体"/>
          <w:b/>
          <w:bCs/>
          <w:color w:val="auto"/>
          <w:kern w:val="2"/>
          <w:sz w:val="32"/>
          <w:szCs w:val="32"/>
          <w:lang w:val="en-US" w:eastAsia="zh-CN" w:bidi="ar-SA"/>
        </w:rPr>
        <w:t>（三）农业农村服务中心。</w:t>
      </w:r>
      <w:r>
        <w:rPr>
          <w:rFonts w:hint="eastAsia" w:ascii="仿宋_GB2312" w:hAnsi="仿宋_GB2312" w:eastAsia="仿宋_GB2312" w:cs="仿宋_GB2312"/>
          <w:color w:val="auto"/>
          <w:sz w:val="32"/>
          <w:szCs w:val="32"/>
          <w:lang w:val="en-US" w:eastAsia="zh-CN"/>
        </w:rPr>
        <w:t>宣传并贯彻落实涉农法律法规和方针政策。负责农业、</w:t>
      </w:r>
      <w:r>
        <w:rPr>
          <w:rFonts w:hint="default" w:ascii="Times New Roman" w:hAnsi="Times New Roman" w:eastAsia="仿宋_GB2312" w:cs="Times New Roman"/>
          <w:color w:val="auto"/>
          <w:sz w:val="32"/>
          <w:szCs w:val="32"/>
        </w:rPr>
        <w:t>林业、水利、</w:t>
      </w:r>
      <w:r>
        <w:rPr>
          <w:rFonts w:hint="eastAsia" w:ascii="Times New Roman" w:hAnsi="Times New Roman" w:eastAsia="仿宋_GB2312" w:cs="Times New Roman"/>
          <w:color w:val="auto"/>
          <w:sz w:val="32"/>
          <w:szCs w:val="32"/>
          <w:lang w:val="en-US" w:eastAsia="zh-CN"/>
        </w:rPr>
        <w:t>渔业、畜牧业</w:t>
      </w:r>
      <w:r>
        <w:rPr>
          <w:rFonts w:hint="default" w:ascii="Times New Roman" w:hAnsi="Times New Roman" w:eastAsia="仿宋_GB2312" w:cs="Times New Roman"/>
          <w:color w:val="auto"/>
          <w:sz w:val="32"/>
          <w:szCs w:val="32"/>
        </w:rPr>
        <w:t>、农业机械等技术、品种、机具等</w:t>
      </w:r>
      <w:r>
        <w:rPr>
          <w:rFonts w:hint="eastAsia" w:ascii="Times New Roman" w:hAnsi="Times New Roman" w:eastAsia="仿宋_GB2312" w:cs="Times New Roman"/>
          <w:color w:val="auto"/>
          <w:sz w:val="32"/>
          <w:szCs w:val="32"/>
          <w:lang w:val="en-US" w:eastAsia="zh-CN"/>
        </w:rPr>
        <w:t>的</w:t>
      </w:r>
      <w:r>
        <w:rPr>
          <w:rFonts w:hint="default" w:ascii="Times New Roman" w:hAnsi="Times New Roman" w:eastAsia="仿宋_GB2312" w:cs="Times New Roman"/>
          <w:color w:val="auto"/>
          <w:sz w:val="32"/>
          <w:szCs w:val="32"/>
        </w:rPr>
        <w:t>示范、推广，负责农业公共信息和培训教育等服务工作</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负责农田水利建设、农产品及相关生产资料和投入品质量安全监测等服务性、技术性工作</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负责林业、农业苗情、灾害、病虫害</w:t>
      </w:r>
      <w:r>
        <w:rPr>
          <w:rFonts w:hint="eastAsia" w:ascii="Times New Roman" w:hAnsi="Times New Roman" w:eastAsia="仿宋_GB2312" w:cs="Times New Roman"/>
          <w:color w:val="auto"/>
          <w:sz w:val="32"/>
          <w:szCs w:val="32"/>
          <w:lang w:val="en-US" w:eastAsia="zh-CN"/>
        </w:rPr>
        <w:t>和动物疫病</w:t>
      </w:r>
      <w:r>
        <w:rPr>
          <w:rFonts w:hint="default" w:ascii="Times New Roman" w:hAnsi="Times New Roman" w:eastAsia="仿宋_GB2312" w:cs="Times New Roman"/>
          <w:color w:val="auto"/>
          <w:sz w:val="32"/>
          <w:szCs w:val="32"/>
        </w:rPr>
        <w:t>的监测、预报防治和处置</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承担组织指导农业产业发展、林业生产、农业机械管理、水产发展、农林水资源保护、水土保持预防及水土流失治理等服务工作</w:t>
      </w:r>
      <w:r>
        <w:rPr>
          <w:rFonts w:hint="eastAsia" w:ascii="Times New Roman" w:hAnsi="Times New Roman" w:eastAsia="仿宋_GB2312" w:cs="Times New Roman"/>
          <w:color w:val="auto"/>
          <w:sz w:val="32"/>
          <w:szCs w:val="32"/>
          <w:lang w:eastAsia="zh-CN"/>
        </w:rPr>
        <w:t>。负责新农村建设、乡村振兴、农村经济发展、农村体制改革、农村土地承包、</w:t>
      </w:r>
      <w:r>
        <w:rPr>
          <w:rFonts w:hint="eastAsia" w:ascii="仿宋_GB2312" w:hAnsi="仿宋_GB2312" w:eastAsia="仿宋_GB2312" w:cs="仿宋_GB2312"/>
          <w:color w:val="auto"/>
          <w:sz w:val="32"/>
          <w:szCs w:val="32"/>
          <w:lang w:val="en-US" w:eastAsia="zh-CN"/>
        </w:rPr>
        <w:t>扶贫</w:t>
      </w:r>
      <w:r>
        <w:rPr>
          <w:rFonts w:hint="eastAsia" w:ascii="Times New Roman" w:hAnsi="Times New Roman" w:eastAsia="仿宋_GB2312" w:cs="Times New Roman"/>
          <w:color w:val="auto"/>
          <w:sz w:val="32"/>
          <w:szCs w:val="32"/>
          <w:lang w:eastAsia="zh-CN"/>
        </w:rPr>
        <w:t>开发和综合治理等工作。</w:t>
      </w:r>
      <w:r>
        <w:rPr>
          <w:rFonts w:hint="default" w:ascii="Times New Roman" w:hAnsi="Times New Roman" w:eastAsia="仿宋_GB2312" w:cs="Times New Roman"/>
          <w:color w:val="auto"/>
          <w:sz w:val="32"/>
          <w:szCs w:val="32"/>
        </w:rPr>
        <w:t>承担</w:t>
      </w:r>
      <w:r>
        <w:rPr>
          <w:rFonts w:hint="eastAsia" w:ascii="Times New Roman" w:hAnsi="Times New Roman" w:eastAsia="仿宋_GB2312" w:cs="Times New Roman"/>
          <w:color w:val="auto"/>
          <w:sz w:val="32"/>
          <w:szCs w:val="32"/>
          <w:lang w:val="en-US" w:eastAsia="zh-CN"/>
        </w:rPr>
        <w:t>镇</w:t>
      </w:r>
      <w:r>
        <w:rPr>
          <w:rFonts w:hint="default" w:ascii="Times New Roman" w:hAnsi="Times New Roman" w:eastAsia="仿宋_GB2312" w:cs="Times New Roman"/>
          <w:color w:val="auto"/>
          <w:sz w:val="32"/>
          <w:szCs w:val="32"/>
        </w:rPr>
        <w:t>党委、政府交办的其他工作任务。</w:t>
      </w:r>
      <w:r>
        <w:rPr>
          <w:rFonts w:hint="eastAsia" w:ascii="仿宋_GB2312" w:hAnsi="仿宋_GB2312" w:eastAsia="仿宋_GB2312" w:cs="仿宋_GB2312"/>
          <w:color w:val="auto"/>
          <w:sz w:val="32"/>
          <w:szCs w:val="32"/>
          <w:lang w:val="en-US" w:eastAsia="zh-CN"/>
        </w:rPr>
        <w:t>核定事业编制13名，其中：主任1名（股级）。</w:t>
      </w:r>
    </w:p>
    <w:p w14:paraId="11C6EA15">
      <w:pPr>
        <w:pStyle w:val="18"/>
        <w:keepNext w:val="0"/>
        <w:keepLines w:val="0"/>
        <w:pageBreakBefore w:val="0"/>
        <w:widowControl w:val="0"/>
        <w:kinsoku/>
        <w:wordWrap/>
        <w:overflowPunct/>
        <w:topLinePunct w:val="0"/>
        <w:autoSpaceDE/>
        <w:autoSpaceDN/>
        <w:bidi w:val="0"/>
        <w:adjustRightInd/>
        <w:snapToGrid/>
        <w:spacing w:line="576" w:lineRule="exact"/>
        <w:ind w:leftChars="0" w:firstLine="643" w:firstLineChars="200"/>
        <w:textAlignment w:val="auto"/>
        <w:rPr>
          <w:rFonts w:hint="eastAsia" w:ascii="仿宋_GB2312" w:hAnsi="仿宋_GB2312" w:eastAsia="仿宋_GB2312" w:cs="仿宋_GB2312"/>
          <w:color w:val="auto"/>
          <w:sz w:val="32"/>
          <w:szCs w:val="32"/>
          <w:lang w:val="en-US" w:eastAsia="zh-CN"/>
        </w:rPr>
      </w:pPr>
      <w:r>
        <w:rPr>
          <w:rFonts w:hint="eastAsia" w:ascii="楷体" w:hAnsi="楷体" w:eastAsia="楷体" w:cs="楷体"/>
          <w:b/>
          <w:bCs/>
          <w:color w:val="auto"/>
          <w:sz w:val="32"/>
          <w:szCs w:val="32"/>
          <w:lang w:val="en-US" w:eastAsia="zh-CN"/>
        </w:rPr>
        <w:t>（四）社会事业服务中心，挂退役军人服务站牌子。</w:t>
      </w:r>
      <w:r>
        <w:rPr>
          <w:rFonts w:hint="eastAsia" w:ascii="仿宋_GB2312" w:hAnsi="仿宋_GB2312" w:eastAsia="仿宋_GB2312" w:cs="仿宋_GB2312"/>
          <w:color w:val="auto"/>
          <w:kern w:val="2"/>
          <w:sz w:val="32"/>
          <w:szCs w:val="32"/>
          <w:lang w:val="en-US" w:eastAsia="zh-CN" w:bidi="ar-SA"/>
        </w:rPr>
        <w:t>宣传并</w:t>
      </w:r>
      <w:r>
        <w:rPr>
          <w:rFonts w:hint="eastAsia" w:ascii="仿宋_GB2312" w:hAnsi="仿宋_GB2312" w:eastAsia="仿宋_GB2312" w:cs="仿宋_GB2312"/>
          <w:color w:val="auto"/>
          <w:sz w:val="32"/>
          <w:szCs w:val="32"/>
          <w:lang w:val="en-US" w:eastAsia="zh-CN"/>
        </w:rPr>
        <w:t>贯彻党和国家有关民政、社会保障、计划生育等方面的法律法规和方针政策。承担就业、社保、医保、劳动保障、计划生育、救助、救济、低保、儿童、老龄、残疾人等社会事业服务工作。承担退役军人就业创业扶持、拥军优属、优抚帮扶、走访慰问、信访接待、权益保障等退役军人服务工作。配合武装部做好征兵、民兵、预备役、国防教育、国民经济动员、人民防空、国防交通、国防设施保护等相关工作。承担镇党委、政府交办的其他工作任务。核定事业编制11名，其中：主任1名（股级）。根据服务对象多少，由镇党委、政府明确1至2名专兼职人员从事退役军人服务工作。</w:t>
      </w:r>
    </w:p>
    <w:p w14:paraId="11002210">
      <w:pPr>
        <w:numPr>
          <w:ilvl w:val="0"/>
          <w:numId w:val="0"/>
        </w:numPr>
        <w:ind w:firstLine="321" w:firstLineChars="100"/>
      </w:pPr>
      <w:r>
        <w:rPr>
          <w:rFonts w:hint="eastAsia" w:ascii="楷体" w:hAnsi="楷体" w:eastAsia="楷体" w:cs="楷体"/>
          <w:b/>
          <w:bCs/>
          <w:color w:val="auto"/>
          <w:kern w:val="2"/>
          <w:sz w:val="32"/>
          <w:szCs w:val="32"/>
          <w:lang w:val="en-US" w:eastAsia="zh-CN" w:bidi="ar-SA"/>
        </w:rPr>
        <w:t>（五）综合文化中心。</w:t>
      </w:r>
      <w:r>
        <w:rPr>
          <w:rFonts w:hint="eastAsia" w:ascii="仿宋_GB2312" w:hAnsi="仿宋_GB2312" w:eastAsia="仿宋_GB2312" w:cs="仿宋_GB2312"/>
          <w:color w:val="auto"/>
          <w:sz w:val="32"/>
          <w:szCs w:val="32"/>
          <w:lang w:val="en-US" w:eastAsia="zh-CN"/>
        </w:rPr>
        <w:t>宣传并贯彻落实宣传思想、精神文明建设、文化、旅游等法律法规和方针政策。承担基层新时代文明实践活动服务工作，做好理论宣讲、教育服务、文化服务、科技服务、健康服务、法律服务、志愿服务等工作。拟定年度公益性文化项目实施计划，组织开展多种形式的文娱体育活动和宣传文化阵地建设。负责对乡村文化、文艺等活动的指导、协调和宣传工作。拟定旅游发展项目实施计划，搞好旅游发展等服务工作。负责广播影视设施设备维护、信息上报等服务工作。组织实施电视“村村通”、广播“村村响”、无线数字电视工程建设等工作。承担镇党委、政府交办的其他工作任务。</w:t>
      </w:r>
    </w:p>
    <w:p w14:paraId="1B29BD4B">
      <w:pPr>
        <w:pStyle w:val="18"/>
      </w:pPr>
    </w:p>
    <w:p w14:paraId="4B4864B3">
      <w:pPr>
        <w:pStyle w:val="8"/>
        <w:adjustRightInd w:val="0"/>
        <w:snapToGrid w:val="0"/>
        <w:spacing w:before="93" w:line="600" w:lineRule="exact"/>
        <w:ind w:firstLine="1120" w:firstLineChars="350"/>
        <w:rPr>
          <w:rFonts w:ascii="仿宋" w:hAnsi="仿宋" w:eastAsia="仿宋"/>
          <w:color w:val="000000"/>
          <w:sz w:val="32"/>
          <w:szCs w:val="32"/>
        </w:rPr>
      </w:pPr>
    </w:p>
    <w:p w14:paraId="67E96B02">
      <w:pPr>
        <w:widowControl/>
        <w:jc w:val="left"/>
        <w:rPr>
          <w:rFonts w:ascii="仿宋" w:hAnsi="仿宋" w:eastAsia="仿宋"/>
          <w:color w:val="000000"/>
          <w:kern w:val="0"/>
          <w:sz w:val="32"/>
          <w:szCs w:val="32"/>
        </w:rPr>
      </w:pPr>
      <w:r>
        <w:rPr>
          <w:rFonts w:ascii="仿宋" w:hAnsi="仿宋" w:eastAsia="仿宋"/>
          <w:color w:val="000000"/>
          <w:sz w:val="32"/>
          <w:szCs w:val="32"/>
        </w:rPr>
        <w:br w:type="page"/>
      </w:r>
    </w:p>
    <w:p w14:paraId="07D3AEF0">
      <w:pPr>
        <w:pStyle w:val="4"/>
        <w:ind w:right="440"/>
        <w:jc w:val="right"/>
        <w:rPr>
          <w:rFonts w:hint="eastAsia" w:ascii="宋体" w:hAnsi="宋体" w:eastAsia="宋体" w:cs="宋体"/>
          <w:kern w:val="0"/>
          <w:sz w:val="32"/>
          <w:szCs w:val="32"/>
        </w:rPr>
      </w:pPr>
      <w:bookmarkStart w:id="21" w:name="_Toc79163609"/>
      <w:bookmarkStart w:id="22" w:name="_Toc79163859"/>
      <w:bookmarkStart w:id="23" w:name="_Toc15396602"/>
      <w:bookmarkStart w:id="24" w:name="_Toc15377204"/>
      <w:r>
        <w:rPr>
          <w:rFonts w:hint="eastAsia" w:ascii="黑体" w:hAnsi="黑体" w:eastAsia="黑体"/>
          <w:b w:val="0"/>
          <w:color w:val="000000"/>
        </w:rPr>
        <w:t>第二部分</w:t>
      </w:r>
      <w:r>
        <w:rPr>
          <w:rFonts w:ascii="黑体" w:hAnsi="黑体" w:eastAsia="黑体"/>
          <w:color w:val="000000"/>
        </w:rPr>
        <w:t xml:space="preserve"> </w:t>
      </w:r>
      <w:r>
        <w:rPr>
          <w:rStyle w:val="26"/>
          <w:rFonts w:ascii="黑体" w:hAnsi="黑体" w:eastAsia="黑体"/>
          <w:b w:val="0"/>
          <w:bCs w:val="0"/>
        </w:rPr>
        <w:t>202</w:t>
      </w:r>
      <w:r>
        <w:rPr>
          <w:rStyle w:val="26"/>
          <w:rFonts w:hint="eastAsia" w:ascii="黑体" w:hAnsi="黑体" w:eastAsia="黑体"/>
          <w:b w:val="0"/>
          <w:bCs w:val="0"/>
          <w:lang w:val="en-US" w:eastAsia="zh-CN"/>
        </w:rPr>
        <w:t>2</w:t>
      </w:r>
      <w:r>
        <w:rPr>
          <w:rStyle w:val="26"/>
          <w:rFonts w:hint="eastAsia" w:ascii="黑体" w:hAnsi="黑体" w:eastAsia="黑体"/>
          <w:b w:val="0"/>
          <w:bCs w:val="0"/>
        </w:rPr>
        <w:t>年度部门决算情况说明</w:t>
      </w:r>
      <w:bookmarkEnd w:id="21"/>
      <w:bookmarkEnd w:id="22"/>
      <w:bookmarkEnd w:id="23"/>
      <w:bookmarkEnd w:id="24"/>
      <w:r>
        <w:rPr>
          <w:rFonts w:hint="eastAsia" w:ascii="宋体" w:hAnsi="宋体" w:eastAsia="宋体" w:cs="宋体"/>
          <w:kern w:val="0"/>
          <w:sz w:val="32"/>
          <w:szCs w:val="32"/>
          <w:shd w:val="clear" w:fill="FFFFFF"/>
        </w:rPr>
        <w:t xml:space="preserve"> </w:t>
      </w:r>
    </w:p>
    <w:p w14:paraId="4CB45CAF">
      <w:pPr>
        <w:pStyle w:val="42"/>
        <w:keepNext w:val="0"/>
        <w:keepLines w:val="0"/>
        <w:widowControl/>
        <w:suppressLineNumbers w:val="0"/>
        <w:spacing w:before="0" w:beforeAutospacing="0"/>
        <w:ind w:left="0"/>
        <w:jc w:val="left"/>
        <w:rPr>
          <w:rFonts w:hint="eastAsia" w:ascii="宋体" w:hAnsi="宋体" w:eastAsia="宋体" w:cs="宋体"/>
          <w:b/>
          <w:bCs/>
          <w:kern w:val="0"/>
          <w:sz w:val="32"/>
          <w:szCs w:val="32"/>
        </w:rPr>
      </w:pPr>
      <w:r>
        <w:rPr>
          <w:rFonts w:hint="eastAsia" w:ascii="宋体" w:hAnsi="宋体" w:eastAsia="宋体" w:cs="宋体"/>
          <w:b/>
          <w:bCs/>
          <w:kern w:val="0"/>
          <w:sz w:val="32"/>
          <w:szCs w:val="32"/>
          <w:shd w:val="clear" w:fill="FFFFFF"/>
        </w:rPr>
        <w:t>一、收入支出决算总体情况说明</w:t>
      </w:r>
    </w:p>
    <w:p w14:paraId="7D85F440">
      <w:pPr>
        <w:pStyle w:val="42"/>
        <w:keepNext w:val="0"/>
        <w:keepLines w:val="0"/>
        <w:widowControl/>
        <w:suppressLineNumbers w:val="0"/>
        <w:spacing w:before="0" w:beforeAutospacing="0"/>
        <w:ind w:left="0" w:firstLine="640" w:firstLineChars="200"/>
        <w:jc w:val="left"/>
        <w:rPr>
          <w:rFonts w:hint="eastAsia" w:ascii="宋体" w:hAnsi="宋体" w:eastAsia="宋体" w:cs="宋体"/>
          <w:kern w:val="0"/>
          <w:sz w:val="32"/>
          <w:szCs w:val="32"/>
        </w:rPr>
      </w:pPr>
      <w:r>
        <w:rPr>
          <w:rFonts w:hint="eastAsia" w:ascii="宋体" w:hAnsi="宋体" w:eastAsia="宋体" w:cs="宋体"/>
          <w:kern w:val="0"/>
          <w:sz w:val="32"/>
          <w:szCs w:val="32"/>
          <w:shd w:val="clear" w:fill="FFFFFF"/>
        </w:rPr>
        <w:t>2022年度收、支总计5389.68万元。与2021年收、支总计8470.35相比，收、支总计各减少3080.67万元，减少36.37%。主要变动原因是为2022年川主寺镇农业农村服务中心单独做决算。</w:t>
      </w:r>
    </w:p>
    <w:p w14:paraId="6FE03FAF">
      <w:pPr>
        <w:pStyle w:val="18"/>
        <w:rPr>
          <w:rFonts w:hint="eastAsia" w:ascii="仿宋" w:hAnsi="仿宋" w:eastAsia="仿宋"/>
          <w:color w:val="000000"/>
          <w:sz w:val="32"/>
          <w:szCs w:val="32"/>
        </w:rPr>
      </w:pPr>
      <w:r>
        <w:rPr>
          <w:rFonts w:hint="eastAsia" w:ascii="仿宋" w:hAnsi="仿宋" w:eastAsia="仿宋"/>
          <w:color w:val="000000"/>
          <w:sz w:val="32"/>
          <w:szCs w:val="32"/>
          <w:lang w:eastAsia="zh-CN"/>
        </w:rPr>
        <w:drawing>
          <wp:anchor distT="0" distB="0" distL="114300" distR="114300" simplePos="0" relativeHeight="251659264" behindDoc="1" locked="0" layoutInCell="1" allowOverlap="1">
            <wp:simplePos x="0" y="0"/>
            <wp:positionH relativeFrom="column">
              <wp:posOffset>1099820</wp:posOffset>
            </wp:positionH>
            <wp:positionV relativeFrom="paragraph">
              <wp:posOffset>36830</wp:posOffset>
            </wp:positionV>
            <wp:extent cx="2527935" cy="1877695"/>
            <wp:effectExtent l="4445" t="4445" r="20320" b="22860"/>
            <wp:wrapTight wrapText="bothSides">
              <wp:wrapPolygon>
                <wp:start x="-38" y="-51"/>
                <wp:lineTo x="-38" y="21425"/>
                <wp:lineTo x="21448" y="21425"/>
                <wp:lineTo x="21448" y="-51"/>
                <wp:lineTo x="-38" y="-51"/>
              </wp:wrapPolygon>
            </wp:wrapTight>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anchor>
        </w:drawing>
      </w:r>
    </w:p>
    <w:p w14:paraId="0FEC3E0A">
      <w:pPr>
        <w:rPr>
          <w:rFonts w:hint="eastAsia" w:ascii="仿宋" w:hAnsi="仿宋" w:eastAsia="仿宋"/>
          <w:color w:val="000000"/>
          <w:sz w:val="32"/>
          <w:szCs w:val="32"/>
        </w:rPr>
      </w:pPr>
    </w:p>
    <w:p w14:paraId="72196210">
      <w:pPr>
        <w:pStyle w:val="18"/>
        <w:rPr>
          <w:rFonts w:hint="eastAsia"/>
          <w:lang w:eastAsia="zh-CN"/>
        </w:rPr>
      </w:pPr>
    </w:p>
    <w:p w14:paraId="1AF6E1E6">
      <w:pPr>
        <w:spacing w:line="600" w:lineRule="exact"/>
        <w:ind w:firstLine="640" w:firstLineChars="200"/>
        <w:rPr>
          <w:rFonts w:hint="eastAsia" w:ascii="仿宋" w:hAnsi="仿宋" w:eastAsia="仿宋"/>
          <w:color w:val="000000"/>
          <w:sz w:val="32"/>
          <w:szCs w:val="32"/>
        </w:rPr>
      </w:pPr>
    </w:p>
    <w:p w14:paraId="4BF6B06E">
      <w:pPr>
        <w:spacing w:line="600" w:lineRule="exact"/>
        <w:ind w:firstLine="640" w:firstLineChars="200"/>
        <w:rPr>
          <w:rFonts w:hint="eastAsia" w:ascii="仿宋" w:hAnsi="仿宋" w:eastAsia="仿宋"/>
          <w:color w:val="000000"/>
          <w:sz w:val="32"/>
          <w:szCs w:val="32"/>
        </w:rPr>
      </w:pPr>
    </w:p>
    <w:p w14:paraId="028A09C2">
      <w:pPr>
        <w:spacing w:line="600" w:lineRule="exact"/>
        <w:ind w:firstLine="1200" w:firstLineChars="500"/>
        <w:rPr>
          <w:rFonts w:ascii="仿宋" w:hAnsi="仿宋" w:eastAsia="仿宋"/>
          <w:color w:val="000000"/>
          <w:sz w:val="24"/>
          <w:szCs w:val="24"/>
        </w:rPr>
      </w:pPr>
      <w:r>
        <w:rPr>
          <w:rFonts w:hint="eastAsia" w:ascii="仿宋" w:hAnsi="仿宋" w:eastAsia="仿宋"/>
          <w:color w:val="000000"/>
          <w:sz w:val="24"/>
          <w:szCs w:val="24"/>
        </w:rPr>
        <w:t>（图</w:t>
      </w:r>
      <w:r>
        <w:rPr>
          <w:rFonts w:ascii="仿宋" w:hAnsi="仿宋" w:eastAsia="仿宋"/>
          <w:color w:val="000000"/>
          <w:sz w:val="24"/>
          <w:szCs w:val="24"/>
        </w:rPr>
        <w:t>1</w:t>
      </w:r>
      <w:r>
        <w:rPr>
          <w:rFonts w:hint="eastAsia" w:ascii="仿宋" w:hAnsi="仿宋" w:eastAsia="仿宋"/>
          <w:color w:val="000000"/>
          <w:sz w:val="24"/>
          <w:szCs w:val="24"/>
        </w:rPr>
        <w:t>：收、支决算总计变动情况图）（柱状图）</w:t>
      </w:r>
    </w:p>
    <w:p w14:paraId="773C249D">
      <w:pPr>
        <w:spacing w:line="600" w:lineRule="exact"/>
        <w:ind w:firstLine="640" w:firstLineChars="200"/>
        <w:jc w:val="left"/>
        <w:rPr>
          <w:rFonts w:ascii="仿宋_GB2312" w:eastAsia="仿宋_GB2312"/>
          <w:color w:val="000000"/>
          <w:sz w:val="32"/>
          <w:szCs w:val="32"/>
        </w:rPr>
      </w:pPr>
    </w:p>
    <w:p w14:paraId="2ED31078">
      <w:pPr>
        <w:pStyle w:val="37"/>
        <w:numPr>
          <w:ilvl w:val="0"/>
          <w:numId w:val="2"/>
        </w:numPr>
        <w:spacing w:line="600" w:lineRule="exact"/>
        <w:ind w:firstLineChars="0"/>
        <w:outlineLvl w:val="1"/>
        <w:rPr>
          <w:rStyle w:val="27"/>
          <w:rFonts w:ascii="黑体" w:hAnsi="黑体" w:eastAsia="黑体"/>
          <w:b w:val="0"/>
        </w:rPr>
      </w:pPr>
      <w:bookmarkStart w:id="25" w:name="_Toc15377206"/>
      <w:bookmarkStart w:id="26" w:name="_Toc79163611"/>
      <w:bookmarkStart w:id="27" w:name="_Toc79163861"/>
      <w:bookmarkStart w:id="28" w:name="_Toc15396604"/>
      <w:r>
        <w:rPr>
          <w:rFonts w:hint="eastAsia" w:ascii="黑体" w:hAnsi="黑体" w:eastAsia="黑体"/>
          <w:color w:val="000000"/>
          <w:sz w:val="32"/>
          <w:szCs w:val="32"/>
        </w:rPr>
        <w:t>收</w:t>
      </w:r>
      <w:r>
        <w:rPr>
          <w:rStyle w:val="27"/>
          <w:rFonts w:hint="eastAsia" w:ascii="黑体" w:hAnsi="黑体" w:eastAsia="黑体"/>
          <w:b w:val="0"/>
        </w:rPr>
        <w:t>入决算情况说明</w:t>
      </w:r>
      <w:bookmarkEnd w:id="25"/>
      <w:bookmarkEnd w:id="26"/>
      <w:bookmarkEnd w:id="27"/>
      <w:bookmarkEnd w:id="28"/>
    </w:p>
    <w:p w14:paraId="6A6C2D79">
      <w:pPr>
        <w:pStyle w:val="42"/>
        <w:keepNext w:val="0"/>
        <w:keepLines w:val="0"/>
        <w:widowControl/>
        <w:suppressLineNumbers w:val="0"/>
        <w:spacing w:before="0" w:beforeAutospacing="0"/>
        <w:ind w:left="0" w:firstLine="640" w:firstLineChars="200"/>
        <w:jc w:val="left"/>
        <w:rPr>
          <w:rFonts w:hint="eastAsia" w:ascii="宋体" w:hAnsi="宋体" w:eastAsia="宋体" w:cs="宋体"/>
          <w:kern w:val="0"/>
          <w:sz w:val="32"/>
          <w:szCs w:val="32"/>
        </w:rPr>
      </w:pPr>
      <w:r>
        <w:rPr>
          <w:rFonts w:hint="eastAsia" w:ascii="宋体" w:hAnsi="宋体" w:eastAsia="宋体" w:cs="宋体"/>
          <w:kern w:val="0"/>
          <w:sz w:val="32"/>
          <w:szCs w:val="32"/>
          <w:shd w:val="clear" w:fill="FFFFFF"/>
        </w:rPr>
        <w:t>2022年本年收入合计2,694.84万元，其中：一般公共预算财政拨款收入2,694.84万元，占100.00%；</w:t>
      </w:r>
    </w:p>
    <w:p w14:paraId="36083A24">
      <w:pPr>
        <w:spacing w:line="600" w:lineRule="exact"/>
        <w:ind w:firstLine="640" w:firstLineChars="200"/>
        <w:rPr>
          <w:rFonts w:ascii="仿宋_GB2312" w:eastAsia="仿宋_GB2312"/>
          <w:color w:val="FF0000"/>
          <w:sz w:val="32"/>
          <w:szCs w:val="32"/>
        </w:rPr>
      </w:pPr>
      <w:r>
        <w:rPr>
          <w:rFonts w:hint="eastAsia" w:ascii="仿宋" w:hAnsi="仿宋" w:eastAsia="仿宋"/>
          <w:color w:val="000000"/>
          <w:sz w:val="32"/>
          <w:szCs w:val="32"/>
          <w:lang w:eastAsia="zh-CN"/>
        </w:rPr>
        <w:drawing>
          <wp:anchor distT="0" distB="0" distL="114300" distR="114300" simplePos="0" relativeHeight="251660288" behindDoc="1" locked="0" layoutInCell="1" allowOverlap="1">
            <wp:simplePos x="0" y="0"/>
            <wp:positionH relativeFrom="column">
              <wp:posOffset>1252220</wp:posOffset>
            </wp:positionH>
            <wp:positionV relativeFrom="paragraph">
              <wp:posOffset>195580</wp:posOffset>
            </wp:positionV>
            <wp:extent cx="2528570" cy="1877060"/>
            <wp:effectExtent l="4445" t="4445" r="19685" b="23495"/>
            <wp:wrapTight wrapText="bothSides">
              <wp:wrapPolygon>
                <wp:start x="-38" y="-51"/>
                <wp:lineTo x="-38" y="21432"/>
                <wp:lineTo x="21443" y="21432"/>
                <wp:lineTo x="21443" y="-51"/>
                <wp:lineTo x="-38" y="-51"/>
              </wp:wrapPolygon>
            </wp:wrapTight>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anchor>
        </w:drawing>
      </w:r>
    </w:p>
    <w:p w14:paraId="6130EBEA">
      <w:pPr>
        <w:spacing w:line="600" w:lineRule="exact"/>
        <w:ind w:firstLine="640" w:firstLineChars="200"/>
        <w:rPr>
          <w:rFonts w:hint="eastAsia" w:ascii="仿宋" w:hAnsi="仿宋" w:eastAsia="仿宋"/>
          <w:color w:val="000000"/>
          <w:sz w:val="32"/>
          <w:szCs w:val="32"/>
        </w:rPr>
      </w:pPr>
    </w:p>
    <w:p w14:paraId="7FAD3CF0">
      <w:pPr>
        <w:spacing w:line="600" w:lineRule="exact"/>
        <w:ind w:firstLine="640" w:firstLineChars="200"/>
        <w:rPr>
          <w:rFonts w:hint="eastAsia" w:ascii="仿宋" w:hAnsi="仿宋" w:eastAsia="仿宋"/>
          <w:color w:val="000000"/>
          <w:sz w:val="32"/>
          <w:szCs w:val="32"/>
        </w:rPr>
      </w:pPr>
    </w:p>
    <w:p w14:paraId="7C574221">
      <w:pPr>
        <w:spacing w:line="600" w:lineRule="exact"/>
        <w:ind w:firstLine="640" w:firstLineChars="200"/>
        <w:rPr>
          <w:rFonts w:hint="eastAsia" w:ascii="仿宋" w:hAnsi="仿宋" w:eastAsia="仿宋"/>
          <w:color w:val="000000"/>
          <w:sz w:val="32"/>
          <w:szCs w:val="32"/>
        </w:rPr>
      </w:pPr>
    </w:p>
    <w:p w14:paraId="6DFA230E">
      <w:pPr>
        <w:spacing w:line="600" w:lineRule="exact"/>
        <w:ind w:firstLine="640" w:firstLineChars="200"/>
        <w:rPr>
          <w:rFonts w:hint="eastAsia" w:ascii="仿宋" w:hAnsi="仿宋" w:eastAsia="仿宋"/>
          <w:color w:val="000000"/>
          <w:sz w:val="32"/>
          <w:szCs w:val="32"/>
        </w:rPr>
      </w:pPr>
    </w:p>
    <w:p w14:paraId="39F68F11">
      <w:pPr>
        <w:spacing w:line="600" w:lineRule="exact"/>
        <w:ind w:firstLine="240" w:firstLineChars="100"/>
        <w:rPr>
          <w:rFonts w:hint="eastAsia" w:ascii="仿宋" w:hAnsi="仿宋" w:eastAsia="仿宋"/>
          <w:color w:val="000000"/>
          <w:sz w:val="24"/>
          <w:szCs w:val="24"/>
        </w:rPr>
      </w:pPr>
    </w:p>
    <w:p w14:paraId="71F89B83">
      <w:pPr>
        <w:spacing w:line="600" w:lineRule="exact"/>
        <w:ind w:firstLine="2160" w:firstLineChars="900"/>
        <w:rPr>
          <w:rFonts w:ascii="仿宋" w:hAnsi="仿宋" w:eastAsia="仿宋"/>
          <w:color w:val="000000"/>
          <w:sz w:val="24"/>
          <w:szCs w:val="24"/>
        </w:rPr>
      </w:pPr>
      <w:r>
        <w:rPr>
          <w:rFonts w:hint="eastAsia" w:ascii="仿宋" w:hAnsi="仿宋" w:eastAsia="仿宋"/>
          <w:color w:val="000000"/>
          <w:sz w:val="24"/>
          <w:szCs w:val="24"/>
        </w:rPr>
        <w:t>（图</w:t>
      </w:r>
      <w:r>
        <w:rPr>
          <w:rFonts w:ascii="仿宋" w:hAnsi="仿宋" w:eastAsia="仿宋"/>
          <w:color w:val="000000"/>
          <w:sz w:val="24"/>
          <w:szCs w:val="24"/>
        </w:rPr>
        <w:t>2</w:t>
      </w:r>
      <w:r>
        <w:rPr>
          <w:rFonts w:hint="eastAsia" w:ascii="仿宋" w:hAnsi="仿宋" w:eastAsia="仿宋"/>
          <w:color w:val="000000"/>
          <w:sz w:val="24"/>
          <w:szCs w:val="24"/>
        </w:rPr>
        <w:t>：收入决算结构图）（饼状图）</w:t>
      </w:r>
    </w:p>
    <w:p w14:paraId="1CC2E53C">
      <w:pPr>
        <w:spacing w:line="600" w:lineRule="exact"/>
        <w:ind w:firstLine="640" w:firstLineChars="200"/>
        <w:rPr>
          <w:rFonts w:ascii="仿宋_GB2312" w:eastAsia="仿宋_GB2312"/>
          <w:color w:val="FF0000"/>
          <w:sz w:val="32"/>
          <w:szCs w:val="32"/>
        </w:rPr>
      </w:pPr>
    </w:p>
    <w:p w14:paraId="54A68004">
      <w:pPr>
        <w:pStyle w:val="37"/>
        <w:numPr>
          <w:ilvl w:val="0"/>
          <w:numId w:val="2"/>
        </w:numPr>
        <w:spacing w:line="600" w:lineRule="exact"/>
        <w:ind w:firstLineChars="0"/>
        <w:outlineLvl w:val="1"/>
        <w:rPr>
          <w:rStyle w:val="27"/>
          <w:rFonts w:ascii="黑体" w:hAnsi="黑体" w:eastAsia="黑体"/>
          <w:b w:val="0"/>
        </w:rPr>
      </w:pPr>
      <w:bookmarkStart w:id="29" w:name="_Toc15377207"/>
      <w:bookmarkStart w:id="30" w:name="_Toc79163862"/>
      <w:bookmarkStart w:id="31" w:name="_Toc79163612"/>
      <w:bookmarkStart w:id="32" w:name="_Toc15396605"/>
      <w:r>
        <w:rPr>
          <w:rFonts w:hint="eastAsia" w:ascii="黑体" w:hAnsi="黑体" w:eastAsia="黑体"/>
          <w:color w:val="000000"/>
          <w:sz w:val="32"/>
          <w:szCs w:val="32"/>
        </w:rPr>
        <w:t>支</w:t>
      </w:r>
      <w:r>
        <w:rPr>
          <w:rStyle w:val="27"/>
          <w:rFonts w:hint="eastAsia" w:ascii="黑体" w:hAnsi="黑体" w:eastAsia="黑体"/>
          <w:b w:val="0"/>
        </w:rPr>
        <w:t>出决算情况说明</w:t>
      </w:r>
      <w:bookmarkEnd w:id="29"/>
      <w:bookmarkEnd w:id="30"/>
      <w:bookmarkEnd w:id="31"/>
      <w:bookmarkEnd w:id="32"/>
    </w:p>
    <w:p w14:paraId="0B7FCC59">
      <w:pPr>
        <w:pStyle w:val="42"/>
        <w:keepNext w:val="0"/>
        <w:keepLines w:val="0"/>
        <w:widowControl/>
        <w:suppressLineNumbers w:val="0"/>
        <w:spacing w:before="0" w:beforeAutospacing="0"/>
        <w:ind w:left="0" w:firstLine="640" w:firstLineChars="200"/>
        <w:jc w:val="left"/>
        <w:rPr>
          <w:rFonts w:hint="eastAsia" w:ascii="宋体" w:hAnsi="宋体" w:eastAsia="宋体" w:cs="宋体"/>
          <w:kern w:val="0"/>
          <w:sz w:val="32"/>
          <w:szCs w:val="32"/>
        </w:rPr>
      </w:pPr>
      <w:r>
        <w:rPr>
          <w:rFonts w:hint="eastAsia" w:ascii="宋体" w:hAnsi="宋体" w:eastAsia="宋体" w:cs="宋体"/>
          <w:kern w:val="0"/>
          <w:sz w:val="32"/>
          <w:szCs w:val="32"/>
          <w:shd w:val="clear" w:fill="FFFFFF"/>
        </w:rPr>
        <w:t>2022年本年支出合计2,694.84万元，其中：基本支出1,125.76万元，占41.77%；项目支出1,569.08万元，占58.23%；</w:t>
      </w:r>
    </w:p>
    <w:p w14:paraId="4182FA52">
      <w:pPr>
        <w:pStyle w:val="42"/>
        <w:keepNext w:val="0"/>
        <w:keepLines w:val="0"/>
        <w:widowControl/>
        <w:suppressLineNumbers w:val="0"/>
        <w:spacing w:before="0" w:beforeAutospacing="0"/>
        <w:ind w:left="0"/>
        <w:jc w:val="left"/>
        <w:rPr>
          <w:rFonts w:hint="eastAsia"/>
          <w:lang w:eastAsia="zh-CN"/>
        </w:rPr>
      </w:pPr>
      <w:r>
        <w:rPr>
          <w:rStyle w:val="43"/>
          <w:rFonts w:hint="eastAsia" w:ascii="宋体" w:hAnsi="宋体" w:eastAsia="宋体" w:cs="宋体"/>
          <w:b/>
          <w:bCs w:val="0"/>
          <w:sz w:val="32"/>
          <w:szCs w:val="32"/>
          <w:shd w:val="clear" w:fill="FFFFFF"/>
        </w:rPr>
        <w:t>（注：数据来源于财决04表，仅罗列本部门涉及的支出。）</w:t>
      </w:r>
    </w:p>
    <w:p w14:paraId="04215664">
      <w:pPr>
        <w:spacing w:line="600" w:lineRule="exact"/>
        <w:ind w:firstLine="640" w:firstLineChars="200"/>
        <w:rPr>
          <w:rFonts w:hint="eastAsia" w:ascii="仿宋_GB2312" w:eastAsia="仿宋_GB2312"/>
          <w:sz w:val="32"/>
          <w:szCs w:val="32"/>
          <w:lang w:eastAsia="zh-CN"/>
        </w:rPr>
      </w:pPr>
      <w:r>
        <w:rPr>
          <w:rFonts w:hint="eastAsia" w:ascii="仿宋" w:hAnsi="仿宋" w:eastAsia="仿宋"/>
          <w:color w:val="000000"/>
          <w:sz w:val="32"/>
          <w:szCs w:val="32"/>
          <w:lang w:eastAsia="zh-CN"/>
        </w:rPr>
        <w:drawing>
          <wp:anchor distT="0" distB="0" distL="114300" distR="114300" simplePos="0" relativeHeight="251661312" behindDoc="1" locked="0" layoutInCell="1" allowOverlap="1">
            <wp:simplePos x="0" y="0"/>
            <wp:positionH relativeFrom="column">
              <wp:posOffset>1129030</wp:posOffset>
            </wp:positionH>
            <wp:positionV relativeFrom="paragraph">
              <wp:posOffset>23495</wp:posOffset>
            </wp:positionV>
            <wp:extent cx="2528570" cy="1867535"/>
            <wp:effectExtent l="4445" t="4445" r="57785" b="71120"/>
            <wp:wrapTight wrapText="bothSides">
              <wp:wrapPolygon>
                <wp:start x="-38" y="-51"/>
                <wp:lineTo x="-38" y="21541"/>
                <wp:lineTo x="21443" y="21541"/>
                <wp:lineTo x="21443" y="-51"/>
                <wp:lineTo x="-38" y="-51"/>
              </wp:wrapPolygon>
            </wp:wrapTight>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p>
    <w:p w14:paraId="22EEC427">
      <w:pPr>
        <w:spacing w:line="600" w:lineRule="exact"/>
        <w:ind w:firstLine="640" w:firstLineChars="200"/>
        <w:rPr>
          <w:rFonts w:hint="eastAsia" w:ascii="仿宋_GB2312" w:eastAsia="仿宋_GB2312"/>
          <w:sz w:val="32"/>
          <w:szCs w:val="32"/>
          <w:lang w:eastAsia="zh-CN"/>
        </w:rPr>
      </w:pPr>
    </w:p>
    <w:p w14:paraId="4A99AB5E">
      <w:pPr>
        <w:spacing w:line="600" w:lineRule="exact"/>
        <w:ind w:firstLine="640" w:firstLineChars="200"/>
        <w:rPr>
          <w:rFonts w:hint="eastAsia" w:ascii="仿宋_GB2312" w:eastAsia="仿宋_GB2312"/>
          <w:sz w:val="32"/>
          <w:szCs w:val="32"/>
          <w:lang w:eastAsia="zh-CN"/>
        </w:rPr>
      </w:pPr>
    </w:p>
    <w:p w14:paraId="66490D38">
      <w:pPr>
        <w:spacing w:line="600" w:lineRule="exact"/>
        <w:ind w:firstLine="640" w:firstLineChars="200"/>
        <w:rPr>
          <w:rFonts w:hint="eastAsia" w:ascii="仿宋_GB2312" w:eastAsia="仿宋_GB2312"/>
          <w:sz w:val="32"/>
          <w:szCs w:val="32"/>
          <w:lang w:eastAsia="zh-CN"/>
        </w:rPr>
      </w:pPr>
    </w:p>
    <w:p w14:paraId="33D4B4A2">
      <w:pPr>
        <w:spacing w:line="600" w:lineRule="exact"/>
        <w:ind w:firstLine="640" w:firstLineChars="200"/>
        <w:rPr>
          <w:rFonts w:hint="eastAsia" w:ascii="仿宋_GB2312" w:eastAsia="仿宋_GB2312"/>
          <w:sz w:val="32"/>
          <w:szCs w:val="32"/>
          <w:lang w:eastAsia="zh-CN"/>
        </w:rPr>
      </w:pPr>
    </w:p>
    <w:p w14:paraId="2CBE0312">
      <w:pPr>
        <w:spacing w:line="600" w:lineRule="exact"/>
        <w:ind w:firstLine="1920" w:firstLineChars="800"/>
        <w:rPr>
          <w:rFonts w:ascii="仿宋" w:hAnsi="仿宋" w:eastAsia="仿宋"/>
          <w:color w:val="000000"/>
          <w:sz w:val="24"/>
          <w:szCs w:val="24"/>
        </w:rPr>
      </w:pPr>
      <w:r>
        <w:rPr>
          <w:rFonts w:hint="eastAsia" w:ascii="仿宋" w:hAnsi="仿宋" w:eastAsia="仿宋"/>
          <w:color w:val="000000"/>
          <w:sz w:val="24"/>
          <w:szCs w:val="24"/>
        </w:rPr>
        <w:t>（图</w:t>
      </w:r>
      <w:r>
        <w:rPr>
          <w:rFonts w:ascii="仿宋" w:hAnsi="仿宋" w:eastAsia="仿宋"/>
          <w:color w:val="000000"/>
          <w:sz w:val="24"/>
          <w:szCs w:val="24"/>
        </w:rPr>
        <w:t>3</w:t>
      </w:r>
      <w:r>
        <w:rPr>
          <w:rFonts w:hint="eastAsia" w:ascii="仿宋" w:hAnsi="仿宋" w:eastAsia="仿宋"/>
          <w:color w:val="000000"/>
          <w:sz w:val="24"/>
          <w:szCs w:val="24"/>
        </w:rPr>
        <w:t>：支出决算结构图）（饼状图）</w:t>
      </w:r>
    </w:p>
    <w:p w14:paraId="05E4B884">
      <w:pPr>
        <w:spacing w:line="600" w:lineRule="exact"/>
        <w:ind w:firstLine="640" w:firstLineChars="200"/>
        <w:rPr>
          <w:rFonts w:ascii="仿宋_GB2312" w:eastAsia="仿宋_GB2312"/>
          <w:color w:val="FF0000"/>
          <w:sz w:val="32"/>
          <w:szCs w:val="32"/>
        </w:rPr>
      </w:pPr>
    </w:p>
    <w:p w14:paraId="32D32D44">
      <w:pPr>
        <w:spacing w:line="600" w:lineRule="exact"/>
        <w:ind w:firstLine="640" w:firstLineChars="200"/>
        <w:outlineLvl w:val="1"/>
        <w:rPr>
          <w:rStyle w:val="27"/>
          <w:rFonts w:ascii="黑体" w:hAnsi="黑体" w:eastAsia="黑体"/>
          <w:b w:val="0"/>
        </w:rPr>
      </w:pPr>
      <w:bookmarkStart w:id="33" w:name="_Toc15377208"/>
      <w:bookmarkStart w:id="34" w:name="_Toc15396606"/>
      <w:bookmarkStart w:id="35" w:name="_Toc79163613"/>
      <w:bookmarkStart w:id="36" w:name="_Toc79163863"/>
      <w:r>
        <w:rPr>
          <w:rFonts w:hint="eastAsia" w:ascii="黑体" w:hAnsi="黑体" w:eastAsia="黑体"/>
          <w:color w:val="000000"/>
          <w:sz w:val="32"/>
          <w:szCs w:val="32"/>
        </w:rPr>
        <w:t>四、财</w:t>
      </w:r>
      <w:r>
        <w:rPr>
          <w:rStyle w:val="27"/>
          <w:rFonts w:hint="eastAsia" w:ascii="黑体" w:hAnsi="黑体" w:eastAsia="黑体"/>
          <w:b w:val="0"/>
        </w:rPr>
        <w:t>政拨款收入支出决算总体情况说明</w:t>
      </w:r>
      <w:bookmarkEnd w:id="33"/>
      <w:bookmarkEnd w:id="34"/>
      <w:bookmarkEnd w:id="35"/>
      <w:bookmarkEnd w:id="36"/>
    </w:p>
    <w:p w14:paraId="0D2D2198">
      <w:pPr>
        <w:pStyle w:val="42"/>
        <w:keepNext w:val="0"/>
        <w:keepLines w:val="0"/>
        <w:widowControl/>
        <w:suppressLineNumbers w:val="0"/>
        <w:spacing w:before="0" w:beforeAutospacing="0"/>
        <w:ind w:left="0" w:firstLine="640" w:firstLineChars="200"/>
        <w:jc w:val="left"/>
        <w:rPr>
          <w:rFonts w:hint="eastAsia" w:ascii="宋体" w:hAnsi="宋体" w:eastAsia="宋体" w:cs="宋体"/>
          <w:kern w:val="0"/>
          <w:sz w:val="32"/>
          <w:szCs w:val="32"/>
        </w:rPr>
      </w:pPr>
      <w:r>
        <w:rPr>
          <w:rFonts w:hint="eastAsia" w:ascii="宋体" w:hAnsi="宋体" w:eastAsia="宋体" w:cs="宋体"/>
          <w:kern w:val="0"/>
          <w:sz w:val="32"/>
          <w:szCs w:val="32"/>
          <w:shd w:val="clear" w:fill="FFFFFF"/>
        </w:rPr>
        <w:t>2022年财政拨款收、支总计5389.68万元。与2021年收、支总计8470.35相比，收、支总计各减少3080.67万元，减少36.37%。主要变动原因是为2022年川主寺镇农村农业服务中心单独做决算。</w:t>
      </w:r>
    </w:p>
    <w:p w14:paraId="3349B352">
      <w:pPr>
        <w:spacing w:line="600" w:lineRule="exact"/>
        <w:jc w:val="center"/>
        <w:rPr>
          <w:rFonts w:hint="eastAsia" w:ascii="仿宋" w:hAnsi="仿宋" w:eastAsia="仿宋"/>
          <w:color w:val="000000"/>
          <w:sz w:val="32"/>
          <w:szCs w:val="32"/>
          <w:lang w:eastAsia="zh-CN"/>
        </w:rPr>
      </w:pPr>
      <w:r>
        <w:rPr>
          <w:rStyle w:val="43"/>
          <w:rFonts w:hint="eastAsia" w:ascii="宋体" w:hAnsi="宋体" w:eastAsia="宋体" w:cs="宋体"/>
          <w:b/>
          <w:bCs w:val="0"/>
          <w:sz w:val="32"/>
          <w:szCs w:val="32"/>
          <w:shd w:val="clear" w:fill="FFFFFF"/>
        </w:rPr>
        <w:t>（注：数据来源于财决01-1表）</w:t>
      </w:r>
      <w:r>
        <w:rPr>
          <w:rFonts w:hint="eastAsia" w:ascii="仿宋" w:hAnsi="仿宋" w:eastAsia="仿宋"/>
          <w:color w:val="000000"/>
          <w:sz w:val="32"/>
          <w:szCs w:val="32"/>
          <w:lang w:eastAsia="zh-CN"/>
        </w:rPr>
        <w:drawing>
          <wp:anchor distT="0" distB="0" distL="114300" distR="114300" simplePos="0" relativeHeight="251662336" behindDoc="0" locked="0" layoutInCell="1" allowOverlap="1">
            <wp:simplePos x="0" y="0"/>
            <wp:positionH relativeFrom="column">
              <wp:posOffset>1528445</wp:posOffset>
            </wp:positionH>
            <wp:positionV relativeFrom="paragraph">
              <wp:posOffset>1109345</wp:posOffset>
            </wp:positionV>
            <wp:extent cx="2736850" cy="1517015"/>
            <wp:effectExtent l="4445" t="4445" r="20955" b="21590"/>
            <wp:wrapSquare wrapText="bothSides"/>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p>
    <w:p w14:paraId="22660247">
      <w:pPr>
        <w:rPr>
          <w:rFonts w:hint="eastAsia" w:ascii="仿宋" w:hAnsi="仿宋" w:eastAsia="仿宋"/>
          <w:color w:val="000000"/>
          <w:sz w:val="32"/>
          <w:szCs w:val="32"/>
          <w:lang w:eastAsia="zh-CN"/>
        </w:rPr>
      </w:pPr>
    </w:p>
    <w:p w14:paraId="6E3252C1">
      <w:pPr>
        <w:pStyle w:val="2"/>
        <w:rPr>
          <w:rFonts w:hint="eastAsia" w:ascii="仿宋" w:hAnsi="仿宋" w:eastAsia="仿宋"/>
          <w:color w:val="000000"/>
          <w:sz w:val="32"/>
          <w:szCs w:val="32"/>
          <w:lang w:eastAsia="zh-CN"/>
        </w:rPr>
      </w:pPr>
    </w:p>
    <w:p w14:paraId="3635BE92">
      <w:pPr>
        <w:rPr>
          <w:rFonts w:hint="eastAsia"/>
          <w:lang w:eastAsia="zh-CN"/>
        </w:rPr>
      </w:pPr>
    </w:p>
    <w:p w14:paraId="096BA5D5">
      <w:pPr>
        <w:spacing w:line="600" w:lineRule="exact"/>
        <w:ind w:firstLine="640" w:firstLineChars="200"/>
        <w:rPr>
          <w:rFonts w:hint="eastAsia" w:ascii="仿宋" w:hAnsi="仿宋" w:eastAsia="仿宋"/>
          <w:color w:val="000000"/>
          <w:sz w:val="32"/>
          <w:szCs w:val="32"/>
        </w:rPr>
      </w:pPr>
    </w:p>
    <w:p w14:paraId="6BD98DC0">
      <w:pPr>
        <w:spacing w:line="600" w:lineRule="exact"/>
        <w:ind w:firstLine="640" w:firstLineChars="200"/>
        <w:rPr>
          <w:rFonts w:hint="eastAsia" w:ascii="仿宋" w:hAnsi="仿宋" w:eastAsia="仿宋"/>
          <w:color w:val="000000"/>
          <w:sz w:val="32"/>
          <w:szCs w:val="32"/>
        </w:rPr>
      </w:pPr>
    </w:p>
    <w:p w14:paraId="03C834B9">
      <w:pPr>
        <w:spacing w:line="600" w:lineRule="exact"/>
        <w:ind w:firstLine="640" w:firstLineChars="200"/>
        <w:rPr>
          <w:rFonts w:hint="eastAsia" w:ascii="仿宋" w:hAnsi="仿宋" w:eastAsia="仿宋"/>
          <w:color w:val="000000"/>
          <w:sz w:val="32"/>
          <w:szCs w:val="32"/>
        </w:rPr>
      </w:pPr>
    </w:p>
    <w:p w14:paraId="12B3085D">
      <w:pPr>
        <w:spacing w:line="600" w:lineRule="exact"/>
        <w:ind w:firstLine="640" w:firstLineChars="200"/>
        <w:rPr>
          <w:rFonts w:hint="eastAsia" w:ascii="仿宋" w:hAnsi="仿宋" w:eastAsia="仿宋"/>
          <w:color w:val="000000"/>
          <w:sz w:val="32"/>
          <w:szCs w:val="32"/>
        </w:rPr>
      </w:pPr>
    </w:p>
    <w:p w14:paraId="78127B9D">
      <w:pPr>
        <w:spacing w:line="600" w:lineRule="exact"/>
        <w:ind w:firstLine="1200" w:firstLineChars="500"/>
        <w:rPr>
          <w:rFonts w:ascii="仿宋" w:hAnsi="仿宋" w:eastAsia="仿宋"/>
          <w:color w:val="000000"/>
          <w:sz w:val="24"/>
          <w:szCs w:val="24"/>
        </w:rPr>
      </w:pPr>
      <w:r>
        <w:rPr>
          <w:rFonts w:hint="eastAsia" w:ascii="仿宋" w:hAnsi="仿宋" w:eastAsia="仿宋"/>
          <w:color w:val="000000"/>
          <w:sz w:val="24"/>
          <w:szCs w:val="24"/>
        </w:rPr>
        <w:t>（图</w:t>
      </w:r>
      <w:r>
        <w:rPr>
          <w:rFonts w:ascii="仿宋" w:hAnsi="仿宋" w:eastAsia="仿宋"/>
          <w:color w:val="000000"/>
          <w:sz w:val="24"/>
          <w:szCs w:val="24"/>
        </w:rPr>
        <w:t>4</w:t>
      </w:r>
      <w:r>
        <w:rPr>
          <w:rFonts w:hint="eastAsia" w:ascii="仿宋" w:hAnsi="仿宋" w:eastAsia="仿宋"/>
          <w:color w:val="000000"/>
          <w:sz w:val="24"/>
          <w:szCs w:val="24"/>
        </w:rPr>
        <w:t>：财政拨款收、支决算总计变动情况）（柱状图）</w:t>
      </w:r>
    </w:p>
    <w:p w14:paraId="3E7C6D9B">
      <w:pPr>
        <w:spacing w:line="600" w:lineRule="exact"/>
        <w:ind w:firstLine="640"/>
        <w:rPr>
          <w:rFonts w:ascii="仿宋" w:hAnsi="仿宋" w:eastAsia="仿宋"/>
          <w:b/>
          <w:color w:val="00B050"/>
          <w:sz w:val="32"/>
          <w:szCs w:val="32"/>
        </w:rPr>
      </w:pPr>
    </w:p>
    <w:p w14:paraId="3FF1BB6C">
      <w:pPr>
        <w:spacing w:line="600" w:lineRule="exact"/>
        <w:ind w:firstLine="640" w:firstLineChars="200"/>
        <w:outlineLvl w:val="1"/>
        <w:rPr>
          <w:rStyle w:val="27"/>
          <w:rFonts w:ascii="黑体" w:hAnsi="黑体" w:eastAsia="黑体"/>
          <w:b w:val="0"/>
        </w:rPr>
      </w:pPr>
      <w:bookmarkStart w:id="37" w:name="_Toc15377209"/>
      <w:bookmarkStart w:id="38" w:name="_Toc15396607"/>
      <w:bookmarkStart w:id="39" w:name="_Toc79163614"/>
      <w:bookmarkStart w:id="40" w:name="_Toc79163864"/>
      <w:r>
        <w:rPr>
          <w:rFonts w:hint="eastAsia" w:ascii="黑体" w:hAnsi="黑体" w:eastAsia="黑体"/>
          <w:color w:val="000000"/>
          <w:sz w:val="32"/>
          <w:szCs w:val="32"/>
        </w:rPr>
        <w:t>五、</w:t>
      </w:r>
      <w:r>
        <w:rPr>
          <w:rFonts w:hint="eastAsia" w:ascii="黑体" w:hAnsi="黑体" w:eastAsia="黑体"/>
          <w:b/>
          <w:color w:val="000000"/>
          <w:sz w:val="32"/>
          <w:szCs w:val="32"/>
        </w:rPr>
        <w:t>一</w:t>
      </w:r>
      <w:r>
        <w:rPr>
          <w:rStyle w:val="27"/>
          <w:rFonts w:hint="eastAsia" w:ascii="黑体" w:hAnsi="黑体" w:eastAsia="黑体"/>
          <w:b w:val="0"/>
        </w:rPr>
        <w:t>般公共预算财政拨款支出决算情况说明</w:t>
      </w:r>
      <w:bookmarkEnd w:id="37"/>
      <w:bookmarkEnd w:id="38"/>
      <w:bookmarkEnd w:id="39"/>
      <w:bookmarkEnd w:id="40"/>
    </w:p>
    <w:p w14:paraId="7B4EC957">
      <w:pPr>
        <w:spacing w:line="600" w:lineRule="exact"/>
        <w:ind w:firstLine="643" w:firstLineChars="200"/>
        <w:outlineLvl w:val="2"/>
        <w:rPr>
          <w:rFonts w:ascii="仿宋" w:hAnsi="仿宋" w:eastAsia="仿宋"/>
          <w:b/>
          <w:color w:val="000000"/>
          <w:sz w:val="32"/>
          <w:szCs w:val="32"/>
        </w:rPr>
      </w:pPr>
      <w:bookmarkStart w:id="41" w:name="_Toc15377210"/>
      <w:bookmarkStart w:id="42" w:name="_Toc79163865"/>
      <w:bookmarkStart w:id="43" w:name="_Toc79163615"/>
      <w:r>
        <w:rPr>
          <w:rFonts w:hint="eastAsia" w:ascii="仿宋" w:hAnsi="仿宋" w:eastAsia="仿宋"/>
          <w:b/>
          <w:color w:val="000000"/>
          <w:sz w:val="32"/>
          <w:szCs w:val="32"/>
        </w:rPr>
        <w:t>（一）一般公共预算财政拨款支出决算总体情况</w:t>
      </w:r>
      <w:bookmarkEnd w:id="41"/>
      <w:bookmarkEnd w:id="42"/>
      <w:bookmarkEnd w:id="43"/>
    </w:p>
    <w:p w14:paraId="5BA76F99">
      <w:pPr>
        <w:pStyle w:val="42"/>
        <w:keepNext w:val="0"/>
        <w:keepLines w:val="0"/>
        <w:widowControl/>
        <w:suppressLineNumbers w:val="0"/>
        <w:spacing w:before="0" w:beforeAutospacing="0"/>
        <w:ind w:left="0" w:firstLine="640" w:firstLineChars="200"/>
        <w:jc w:val="left"/>
        <w:rPr>
          <w:rFonts w:hint="eastAsia" w:ascii="宋体" w:hAnsi="宋体" w:eastAsia="宋体" w:cs="宋体"/>
          <w:kern w:val="0"/>
          <w:sz w:val="32"/>
          <w:szCs w:val="32"/>
        </w:rPr>
      </w:pPr>
      <w:r>
        <w:rPr>
          <w:rFonts w:hint="eastAsia" w:ascii="宋体" w:hAnsi="宋体" w:eastAsia="宋体" w:cs="宋体"/>
          <w:kern w:val="0"/>
          <w:sz w:val="32"/>
          <w:szCs w:val="32"/>
          <w:shd w:val="clear" w:fill="FFFFFF"/>
        </w:rPr>
        <w:t>2022年一般公共预算财政拨款支出2,694.84万元，占本年支出合计的100.00%。与2021年相比，一般公共预算财政拨款支出增加-1,955.38万元，增长-42.05%。主要变动原因是为2022年川主寺镇农村农业服务中心单独做决算。</w:t>
      </w:r>
    </w:p>
    <w:p w14:paraId="66885CFC">
      <w:pPr>
        <w:pStyle w:val="42"/>
        <w:keepNext w:val="0"/>
        <w:keepLines w:val="0"/>
        <w:widowControl/>
        <w:suppressLineNumbers w:val="0"/>
        <w:spacing w:before="0" w:beforeAutospacing="0"/>
        <w:ind w:left="0"/>
        <w:jc w:val="left"/>
        <w:rPr>
          <w:rFonts w:hint="eastAsia" w:ascii="宋体" w:hAnsi="宋体" w:eastAsia="宋体" w:cs="宋体"/>
          <w:kern w:val="0"/>
          <w:sz w:val="32"/>
          <w:szCs w:val="32"/>
          <w:shd w:val="clear" w:fill="FFFFFF"/>
        </w:rPr>
      </w:pPr>
    </w:p>
    <w:p w14:paraId="7FAC9AD8">
      <w:pPr>
        <w:spacing w:line="600" w:lineRule="exact"/>
        <w:ind w:firstLine="640" w:firstLineChars="200"/>
        <w:rPr>
          <w:rFonts w:ascii="仿宋" w:hAnsi="仿宋" w:eastAsia="仿宋"/>
          <w:color w:val="000000"/>
          <w:sz w:val="32"/>
          <w:szCs w:val="32"/>
        </w:rPr>
      </w:pPr>
      <w:r>
        <w:rPr>
          <w:rFonts w:hint="eastAsia" w:ascii="仿宋" w:hAnsi="仿宋" w:eastAsia="仿宋"/>
          <w:color w:val="000000"/>
          <w:sz w:val="32"/>
          <w:szCs w:val="32"/>
          <w:lang w:eastAsia="zh-CN"/>
        </w:rPr>
        <w:drawing>
          <wp:anchor distT="0" distB="0" distL="114300" distR="114300" simplePos="0" relativeHeight="251663360" behindDoc="1" locked="0" layoutInCell="1" allowOverlap="1">
            <wp:simplePos x="0" y="0"/>
            <wp:positionH relativeFrom="column">
              <wp:posOffset>1157605</wp:posOffset>
            </wp:positionH>
            <wp:positionV relativeFrom="paragraph">
              <wp:posOffset>109220</wp:posOffset>
            </wp:positionV>
            <wp:extent cx="2926715" cy="1983105"/>
            <wp:effectExtent l="5080" t="4445" r="40005" b="50800"/>
            <wp:wrapTight wrapText="bothSides">
              <wp:wrapPolygon>
                <wp:start x="-37" y="-48"/>
                <wp:lineTo x="-37" y="21531"/>
                <wp:lineTo x="21473" y="21531"/>
                <wp:lineTo x="21473" y="-48"/>
                <wp:lineTo x="-37" y="-48"/>
              </wp:wrapPolygon>
            </wp:wrapTight>
            <wp:docPr id="6"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p>
    <w:p w14:paraId="09328A8C">
      <w:pPr>
        <w:pStyle w:val="18"/>
        <w:rPr>
          <w:rFonts w:ascii="仿宋" w:hAnsi="仿宋" w:eastAsia="仿宋"/>
          <w:color w:val="000000"/>
          <w:sz w:val="32"/>
          <w:szCs w:val="32"/>
        </w:rPr>
      </w:pPr>
    </w:p>
    <w:p w14:paraId="54715C1F">
      <w:pPr>
        <w:rPr>
          <w:rFonts w:ascii="仿宋" w:hAnsi="仿宋" w:eastAsia="仿宋"/>
          <w:color w:val="000000"/>
          <w:sz w:val="32"/>
          <w:szCs w:val="32"/>
        </w:rPr>
      </w:pPr>
    </w:p>
    <w:p w14:paraId="30BEFF43">
      <w:pPr>
        <w:pStyle w:val="18"/>
        <w:rPr>
          <w:rFonts w:ascii="仿宋" w:hAnsi="仿宋" w:eastAsia="仿宋"/>
          <w:color w:val="000000"/>
          <w:sz w:val="32"/>
          <w:szCs w:val="32"/>
        </w:rPr>
      </w:pPr>
    </w:p>
    <w:p w14:paraId="613DD3F3">
      <w:pPr>
        <w:rPr>
          <w:rFonts w:ascii="仿宋" w:hAnsi="仿宋" w:eastAsia="仿宋"/>
          <w:color w:val="000000"/>
          <w:sz w:val="32"/>
          <w:szCs w:val="32"/>
        </w:rPr>
      </w:pPr>
    </w:p>
    <w:p w14:paraId="66A9A648">
      <w:pPr>
        <w:pStyle w:val="18"/>
      </w:pPr>
    </w:p>
    <w:p w14:paraId="3EB9CD54">
      <w:pPr>
        <w:spacing w:line="600" w:lineRule="exact"/>
        <w:ind w:firstLine="480" w:firstLineChars="200"/>
        <w:rPr>
          <w:rFonts w:ascii="仿宋" w:hAnsi="仿宋" w:eastAsia="仿宋"/>
          <w:color w:val="000000"/>
          <w:sz w:val="32"/>
          <w:szCs w:val="32"/>
        </w:rPr>
      </w:pPr>
      <w:r>
        <w:rPr>
          <w:rFonts w:hint="eastAsia" w:ascii="仿宋" w:hAnsi="仿宋" w:eastAsia="仿宋"/>
          <w:color w:val="000000"/>
          <w:sz w:val="24"/>
          <w:szCs w:val="24"/>
        </w:rPr>
        <w:t>（图</w:t>
      </w:r>
      <w:r>
        <w:rPr>
          <w:rFonts w:ascii="仿宋" w:hAnsi="仿宋" w:eastAsia="仿宋"/>
          <w:color w:val="000000"/>
          <w:sz w:val="24"/>
          <w:szCs w:val="24"/>
        </w:rPr>
        <w:t>5</w:t>
      </w:r>
      <w:r>
        <w:rPr>
          <w:rFonts w:hint="eastAsia" w:ascii="仿宋" w:hAnsi="仿宋" w:eastAsia="仿宋"/>
          <w:color w:val="000000"/>
          <w:sz w:val="24"/>
          <w:szCs w:val="24"/>
        </w:rPr>
        <w:t>：一般公共预算财政拨款支出决算变动情况）（柱状图）</w:t>
      </w:r>
    </w:p>
    <w:p w14:paraId="329138F2">
      <w:pPr>
        <w:spacing w:line="600" w:lineRule="exact"/>
        <w:ind w:firstLine="643" w:firstLineChars="200"/>
        <w:outlineLvl w:val="2"/>
        <w:rPr>
          <w:rFonts w:ascii="仿宋" w:hAnsi="仿宋" w:eastAsia="仿宋"/>
          <w:b/>
          <w:color w:val="000000"/>
          <w:sz w:val="32"/>
          <w:szCs w:val="32"/>
        </w:rPr>
      </w:pPr>
      <w:bookmarkStart w:id="44" w:name="_Toc15377211"/>
      <w:bookmarkStart w:id="45" w:name="_Toc79163616"/>
      <w:bookmarkStart w:id="46" w:name="_Toc79163866"/>
      <w:r>
        <w:rPr>
          <w:rFonts w:hint="eastAsia" w:ascii="仿宋" w:hAnsi="仿宋" w:eastAsia="仿宋"/>
          <w:b/>
          <w:color w:val="000000"/>
          <w:sz w:val="32"/>
          <w:szCs w:val="32"/>
        </w:rPr>
        <w:t>（二）一般公共预算财政拨款支出决算结构情况</w:t>
      </w:r>
      <w:bookmarkEnd w:id="44"/>
      <w:bookmarkEnd w:id="45"/>
      <w:bookmarkEnd w:id="46"/>
    </w:p>
    <w:p w14:paraId="1C915295">
      <w:pPr>
        <w:pStyle w:val="42"/>
        <w:keepNext w:val="0"/>
        <w:keepLines w:val="0"/>
        <w:widowControl/>
        <w:suppressLineNumbers w:val="0"/>
        <w:spacing w:before="0" w:beforeAutospacing="0"/>
        <w:ind w:left="0" w:firstLine="640" w:firstLineChars="200"/>
        <w:jc w:val="left"/>
        <w:rPr>
          <w:rFonts w:hint="eastAsia" w:ascii="宋体" w:hAnsi="宋体" w:eastAsia="宋体" w:cs="宋体"/>
          <w:kern w:val="0"/>
          <w:sz w:val="32"/>
          <w:szCs w:val="32"/>
        </w:rPr>
      </w:pPr>
      <w:r>
        <w:rPr>
          <w:rFonts w:hint="eastAsia" w:ascii="宋体" w:hAnsi="宋体" w:eastAsia="宋体" w:cs="宋体"/>
          <w:kern w:val="0"/>
          <w:sz w:val="32"/>
          <w:szCs w:val="32"/>
          <w:shd w:val="clear" w:fill="FFFFFF"/>
        </w:rPr>
        <w:t>2022年一般公共预算财政拨款支出2,694.84万元，主要用于以下方面</w:t>
      </w:r>
      <w:r>
        <w:rPr>
          <w:rFonts w:hint="eastAsia" w:cs="宋体"/>
          <w:kern w:val="0"/>
          <w:sz w:val="32"/>
          <w:szCs w:val="32"/>
          <w:shd w:val="clear" w:fill="FFFFFF"/>
          <w:lang w:eastAsia="zh-CN"/>
        </w:rPr>
        <w:t>：</w:t>
      </w:r>
      <w:r>
        <w:rPr>
          <w:rStyle w:val="43"/>
          <w:rFonts w:hint="eastAsia" w:ascii="宋体" w:hAnsi="宋体" w:eastAsia="宋体" w:cs="宋体"/>
          <w:b/>
          <w:bCs w:val="0"/>
          <w:sz w:val="32"/>
          <w:szCs w:val="32"/>
          <w:shd w:val="clear" w:fill="FFFFFF"/>
        </w:rPr>
        <w:t>一般公共服务（类）</w:t>
      </w:r>
      <w:r>
        <w:rPr>
          <w:rFonts w:hint="eastAsia" w:ascii="宋体" w:hAnsi="宋体" w:eastAsia="宋体" w:cs="宋体"/>
          <w:kern w:val="0"/>
          <w:sz w:val="32"/>
          <w:szCs w:val="32"/>
          <w:shd w:val="clear" w:fill="FFFFFF"/>
        </w:rPr>
        <w:t>支出959.41万元，占35.60%；</w:t>
      </w:r>
      <w:r>
        <w:rPr>
          <w:rStyle w:val="43"/>
          <w:rFonts w:hint="eastAsia" w:ascii="宋体" w:hAnsi="宋体" w:eastAsia="宋体" w:cs="宋体"/>
          <w:b/>
          <w:bCs w:val="0"/>
          <w:sz w:val="32"/>
          <w:szCs w:val="32"/>
          <w:shd w:val="clear" w:fill="FFFFFF"/>
        </w:rPr>
        <w:t>社会保障和就业（类）</w:t>
      </w:r>
      <w:r>
        <w:rPr>
          <w:rFonts w:hint="eastAsia" w:ascii="宋体" w:hAnsi="宋体" w:eastAsia="宋体" w:cs="宋体"/>
          <w:kern w:val="0"/>
          <w:sz w:val="32"/>
          <w:szCs w:val="32"/>
          <w:shd w:val="clear" w:fill="FFFFFF"/>
        </w:rPr>
        <w:t>支出141.33万元，占5.24%；</w:t>
      </w:r>
      <w:r>
        <w:rPr>
          <w:rStyle w:val="43"/>
          <w:rFonts w:hint="eastAsia" w:ascii="宋体" w:hAnsi="宋体" w:eastAsia="宋体" w:cs="宋体"/>
          <w:b/>
          <w:bCs w:val="0"/>
          <w:sz w:val="32"/>
          <w:szCs w:val="32"/>
          <w:shd w:val="clear" w:fill="FFFFFF"/>
        </w:rPr>
        <w:t>卫生健康支出</w:t>
      </w:r>
      <w:r>
        <w:rPr>
          <w:rFonts w:hint="eastAsia" w:ascii="宋体" w:hAnsi="宋体" w:eastAsia="宋体" w:cs="宋体"/>
          <w:kern w:val="0"/>
          <w:sz w:val="32"/>
          <w:szCs w:val="32"/>
          <w:shd w:val="clear" w:fill="FFFFFF"/>
        </w:rPr>
        <w:t>53.22万元，占1.97%；</w:t>
      </w:r>
      <w:r>
        <w:rPr>
          <w:rStyle w:val="43"/>
          <w:rFonts w:hint="eastAsia" w:ascii="宋体" w:hAnsi="宋体" w:eastAsia="宋体" w:cs="宋体"/>
          <w:b/>
          <w:bCs w:val="0"/>
          <w:sz w:val="32"/>
          <w:szCs w:val="32"/>
          <w:shd w:val="clear" w:fill="FFFFFF"/>
          <w:lang w:eastAsia="zh-CN"/>
        </w:rPr>
        <w:t>农林水支出</w:t>
      </w:r>
      <w:r>
        <w:rPr>
          <w:rFonts w:hint="eastAsia" w:ascii="宋体" w:hAnsi="宋体" w:eastAsia="宋体" w:cs="宋体"/>
          <w:kern w:val="0"/>
          <w:sz w:val="32"/>
          <w:szCs w:val="32"/>
          <w:shd w:val="clear" w:fill="FFFFFF"/>
          <w:lang w:val="en-US" w:eastAsia="zh-CN"/>
        </w:rPr>
        <w:t>1465.95</w:t>
      </w:r>
      <w:r>
        <w:rPr>
          <w:rFonts w:hint="eastAsia" w:ascii="宋体" w:hAnsi="宋体" w:eastAsia="宋体" w:cs="宋体"/>
          <w:kern w:val="0"/>
          <w:sz w:val="32"/>
          <w:szCs w:val="32"/>
          <w:shd w:val="clear" w:fill="FFFFFF"/>
        </w:rPr>
        <w:t>万元，占</w:t>
      </w:r>
      <w:r>
        <w:rPr>
          <w:rFonts w:hint="eastAsia" w:ascii="宋体" w:hAnsi="宋体" w:eastAsia="宋体" w:cs="宋体"/>
          <w:kern w:val="0"/>
          <w:sz w:val="32"/>
          <w:szCs w:val="32"/>
          <w:shd w:val="clear" w:fill="FFFFFF"/>
          <w:lang w:val="en-US" w:eastAsia="zh-CN"/>
        </w:rPr>
        <w:t>54.39</w:t>
      </w:r>
      <w:r>
        <w:rPr>
          <w:rFonts w:hint="eastAsia" w:ascii="宋体" w:hAnsi="宋体" w:eastAsia="宋体" w:cs="宋体"/>
          <w:kern w:val="0"/>
          <w:sz w:val="32"/>
          <w:szCs w:val="32"/>
          <w:shd w:val="clear" w:fill="FFFFFF"/>
        </w:rPr>
        <w:t>%；</w:t>
      </w:r>
      <w:r>
        <w:rPr>
          <w:rFonts w:hint="eastAsia" w:ascii="宋体" w:hAnsi="宋体" w:eastAsia="宋体" w:cs="宋体"/>
          <w:b/>
          <w:bCs/>
          <w:kern w:val="0"/>
          <w:sz w:val="32"/>
          <w:szCs w:val="32"/>
          <w:shd w:val="clear" w:fill="FFFFFF"/>
        </w:rPr>
        <w:t>住房保障</w:t>
      </w:r>
      <w:r>
        <w:rPr>
          <w:rFonts w:hint="eastAsia" w:ascii="宋体" w:hAnsi="宋体" w:eastAsia="宋体" w:cs="宋体"/>
          <w:kern w:val="0"/>
          <w:sz w:val="32"/>
          <w:szCs w:val="32"/>
          <w:shd w:val="clear" w:fill="FFFFFF"/>
        </w:rPr>
        <w:t>支出74.92万元，占2.78%</w:t>
      </w:r>
    </w:p>
    <w:p w14:paraId="1D02BE71">
      <w:pPr>
        <w:pStyle w:val="42"/>
        <w:keepNext w:val="0"/>
        <w:keepLines w:val="0"/>
        <w:widowControl/>
        <w:suppressLineNumbers w:val="0"/>
        <w:spacing w:before="0" w:beforeAutospacing="0"/>
        <w:ind w:left="0"/>
        <w:jc w:val="left"/>
        <w:rPr>
          <w:rFonts w:hint="eastAsia" w:ascii="宋体" w:hAnsi="宋体" w:eastAsia="宋体" w:cs="宋体"/>
          <w:kern w:val="0"/>
          <w:sz w:val="32"/>
          <w:szCs w:val="32"/>
        </w:rPr>
      </w:pPr>
      <w:r>
        <w:rPr>
          <w:rStyle w:val="43"/>
          <w:rFonts w:hint="eastAsia" w:ascii="宋体" w:hAnsi="宋体" w:eastAsia="宋体" w:cs="宋体"/>
          <w:b/>
          <w:bCs w:val="0"/>
          <w:sz w:val="32"/>
          <w:szCs w:val="32"/>
          <w:shd w:val="clear" w:fill="FFFFFF"/>
        </w:rPr>
        <w:t>（注：数据来源于财决01-1表，仅罗列本部门涉及的全部功能分类科目，至类级。）</w:t>
      </w:r>
    </w:p>
    <w:p w14:paraId="7D8C3964">
      <w:pPr>
        <w:spacing w:line="600" w:lineRule="exact"/>
        <w:ind w:firstLine="1207" w:firstLineChars="503"/>
        <w:rPr>
          <w:rFonts w:ascii="仿宋" w:hAnsi="仿宋" w:eastAsia="仿宋"/>
          <w:color w:val="000000"/>
          <w:sz w:val="24"/>
          <w:szCs w:val="24"/>
        </w:rPr>
      </w:pPr>
      <w:r>
        <w:rPr>
          <w:rFonts w:hint="eastAsia" w:ascii="仿宋" w:hAnsi="仿宋" w:eastAsia="仿宋"/>
          <w:color w:val="000000" w:themeColor="text1"/>
          <w:sz w:val="24"/>
          <w:szCs w:val="24"/>
          <w:lang w:val="en-US" w:eastAsia="zh-CN"/>
          <w14:textFill>
            <w14:solidFill>
              <w14:schemeClr w14:val="tx1"/>
            </w14:solidFill>
          </w14:textFill>
        </w:rPr>
        <w:drawing>
          <wp:anchor distT="0" distB="0" distL="114300" distR="114300" simplePos="0" relativeHeight="251664384" behindDoc="0" locked="0" layoutInCell="1" allowOverlap="1">
            <wp:simplePos x="0" y="0"/>
            <wp:positionH relativeFrom="column">
              <wp:posOffset>71120</wp:posOffset>
            </wp:positionH>
            <wp:positionV relativeFrom="paragraph">
              <wp:posOffset>36195</wp:posOffset>
            </wp:positionV>
            <wp:extent cx="5212715" cy="2879090"/>
            <wp:effectExtent l="4445" t="4445" r="21590" b="12065"/>
            <wp:wrapSquare wrapText="bothSides"/>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r>
        <w:rPr>
          <w:rFonts w:hint="eastAsia" w:ascii="仿宋" w:hAnsi="仿宋" w:eastAsia="仿宋"/>
          <w:color w:val="000000"/>
          <w:sz w:val="24"/>
          <w:szCs w:val="24"/>
        </w:rPr>
        <w:t>（图</w:t>
      </w:r>
      <w:r>
        <w:rPr>
          <w:rFonts w:ascii="仿宋" w:hAnsi="仿宋" w:eastAsia="仿宋"/>
          <w:color w:val="000000"/>
          <w:sz w:val="24"/>
          <w:szCs w:val="24"/>
        </w:rPr>
        <w:t>6</w:t>
      </w:r>
      <w:r>
        <w:rPr>
          <w:rFonts w:hint="eastAsia" w:ascii="仿宋" w:hAnsi="仿宋" w:eastAsia="仿宋"/>
          <w:color w:val="000000"/>
          <w:sz w:val="24"/>
          <w:szCs w:val="24"/>
        </w:rPr>
        <w:t>：一般公共预算财政拨款支出决算结构）（饼状图）</w:t>
      </w:r>
    </w:p>
    <w:p w14:paraId="26B76906">
      <w:pPr>
        <w:spacing w:line="600" w:lineRule="exact"/>
        <w:ind w:firstLine="640" w:firstLineChars="200"/>
        <w:rPr>
          <w:rFonts w:ascii="仿宋" w:hAnsi="仿宋" w:eastAsia="仿宋"/>
          <w:color w:val="000000"/>
          <w:sz w:val="32"/>
          <w:szCs w:val="32"/>
        </w:rPr>
      </w:pPr>
    </w:p>
    <w:p w14:paraId="186F6820">
      <w:pPr>
        <w:spacing w:line="600" w:lineRule="exact"/>
        <w:ind w:firstLine="643" w:firstLineChars="200"/>
        <w:outlineLvl w:val="2"/>
        <w:rPr>
          <w:rFonts w:ascii="仿宋" w:hAnsi="仿宋" w:eastAsia="仿宋"/>
          <w:b/>
          <w:color w:val="000000"/>
          <w:sz w:val="32"/>
          <w:szCs w:val="32"/>
        </w:rPr>
      </w:pPr>
      <w:bookmarkStart w:id="47" w:name="_Toc15377212"/>
      <w:bookmarkStart w:id="48" w:name="_Toc79163617"/>
      <w:bookmarkStart w:id="49" w:name="_Toc79163867"/>
      <w:r>
        <w:rPr>
          <w:rFonts w:hint="eastAsia" w:ascii="仿宋" w:hAnsi="仿宋" w:eastAsia="仿宋"/>
          <w:b/>
          <w:color w:val="000000"/>
          <w:sz w:val="32"/>
          <w:szCs w:val="32"/>
        </w:rPr>
        <w:t>（三）一般公共预算财政拨款支出决算具体情况</w:t>
      </w:r>
      <w:bookmarkEnd w:id="47"/>
      <w:bookmarkEnd w:id="48"/>
      <w:bookmarkEnd w:id="49"/>
    </w:p>
    <w:p w14:paraId="0E210214">
      <w:pPr>
        <w:spacing w:line="600" w:lineRule="exact"/>
        <w:ind w:firstLine="643" w:firstLineChars="200"/>
        <w:rPr>
          <w:rFonts w:hint="eastAsia" w:ascii="仿宋_GB2312" w:eastAsia="仿宋_GB2312"/>
          <w:b/>
          <w:bCs/>
          <w:sz w:val="32"/>
          <w:szCs w:val="32"/>
        </w:rPr>
      </w:pPr>
      <w:bookmarkStart w:id="50" w:name="_Toc15377444"/>
      <w:bookmarkStart w:id="51" w:name="_Toc15378460"/>
      <w:bookmarkStart w:id="52" w:name="_Toc15377213"/>
      <w:r>
        <w:rPr>
          <w:rFonts w:ascii="仿宋_GB2312" w:eastAsia="仿宋_GB2312"/>
          <w:b/>
          <w:bCs/>
          <w:sz w:val="32"/>
          <w:szCs w:val="32"/>
        </w:rPr>
        <w:t>202</w:t>
      </w:r>
      <w:r>
        <w:rPr>
          <w:rFonts w:hint="eastAsia" w:ascii="仿宋_GB2312" w:eastAsia="仿宋_GB2312"/>
          <w:b/>
          <w:bCs/>
          <w:sz w:val="32"/>
          <w:szCs w:val="32"/>
          <w:lang w:val="en-US" w:eastAsia="zh-CN"/>
        </w:rPr>
        <w:t>2</w:t>
      </w:r>
      <w:r>
        <w:rPr>
          <w:rFonts w:hint="eastAsia" w:ascii="仿宋_GB2312" w:eastAsia="仿宋_GB2312"/>
          <w:b/>
          <w:bCs/>
          <w:sz w:val="32"/>
          <w:szCs w:val="32"/>
        </w:rPr>
        <w:t>年一般公共预算支出决算数为</w:t>
      </w:r>
      <w:r>
        <w:rPr>
          <w:rFonts w:hint="eastAsia" w:ascii="仿宋_GB2312" w:eastAsia="仿宋_GB2312"/>
          <w:b/>
          <w:bCs/>
          <w:sz w:val="32"/>
          <w:szCs w:val="32"/>
          <w:lang w:val="en-US" w:eastAsia="zh-CN"/>
        </w:rPr>
        <w:t>2694.84万元</w:t>
      </w:r>
      <w:r>
        <w:rPr>
          <w:rFonts w:hint="eastAsia" w:ascii="仿宋_GB2312" w:eastAsia="仿宋_GB2312"/>
          <w:b/>
          <w:bCs/>
          <w:sz w:val="32"/>
          <w:szCs w:val="32"/>
        </w:rPr>
        <w:t>，完成预算</w:t>
      </w:r>
      <w:r>
        <w:rPr>
          <w:rFonts w:hint="eastAsia" w:ascii="仿宋_GB2312" w:eastAsia="仿宋_GB2312"/>
          <w:b/>
          <w:bCs/>
          <w:sz w:val="32"/>
          <w:szCs w:val="32"/>
          <w:lang w:val="en-US" w:eastAsia="zh-CN"/>
        </w:rPr>
        <w:t>100</w:t>
      </w:r>
      <w:r>
        <w:rPr>
          <w:rFonts w:ascii="仿宋_GB2312" w:eastAsia="仿宋_GB2312"/>
          <w:b/>
          <w:bCs/>
          <w:sz w:val="32"/>
          <w:szCs w:val="32"/>
        </w:rPr>
        <w:t>%</w:t>
      </w:r>
      <w:r>
        <w:rPr>
          <w:rFonts w:hint="eastAsia" w:ascii="仿宋_GB2312" w:eastAsia="仿宋_GB2312"/>
          <w:b/>
          <w:bCs/>
          <w:sz w:val="32"/>
          <w:szCs w:val="32"/>
        </w:rPr>
        <w:t>。</w:t>
      </w:r>
      <w:bookmarkEnd w:id="50"/>
      <w:bookmarkEnd w:id="51"/>
      <w:bookmarkEnd w:id="52"/>
    </w:p>
    <w:p w14:paraId="2F06B79E">
      <w:pPr>
        <w:numPr>
          <w:ilvl w:val="0"/>
          <w:numId w:val="3"/>
        </w:numPr>
        <w:spacing w:line="600" w:lineRule="exact"/>
        <w:ind w:firstLine="643" w:firstLineChars="200"/>
        <w:rPr>
          <w:rFonts w:hint="eastAsia" w:ascii="宋体" w:hAnsi="宋体" w:eastAsia="宋体" w:cs="宋体"/>
          <w:kern w:val="0"/>
          <w:sz w:val="32"/>
          <w:szCs w:val="32"/>
          <w:shd w:val="clear" w:fill="FFFFFF"/>
          <w:lang w:val="en-US" w:eastAsia="zh-CN" w:bidi="ar"/>
        </w:rPr>
      </w:pPr>
      <w:r>
        <w:rPr>
          <w:rFonts w:hint="eastAsia" w:ascii="宋体" w:hAnsi="宋体" w:eastAsia="宋体" w:cs="宋体"/>
          <w:b/>
          <w:bCs/>
          <w:kern w:val="0"/>
          <w:sz w:val="32"/>
          <w:szCs w:val="32"/>
          <w:shd w:val="clear" w:fill="FFFFFF"/>
          <w:lang w:val="en-US" w:eastAsia="zh-CN" w:bidi="ar"/>
        </w:rPr>
        <w:t>一般公共服务（201）：</w:t>
      </w:r>
      <w:r>
        <w:rPr>
          <w:rFonts w:hint="eastAsia" w:ascii="宋体" w:hAnsi="宋体" w:eastAsia="宋体" w:cs="宋体"/>
          <w:kern w:val="0"/>
          <w:sz w:val="32"/>
          <w:szCs w:val="32"/>
          <w:shd w:val="clear" w:fill="FFFFFF"/>
          <w:lang w:val="en-US" w:eastAsia="zh-CN" w:bidi="ar"/>
        </w:rPr>
        <w:t xml:space="preserve"> 支出决算为</w:t>
      </w:r>
      <w:r>
        <w:rPr>
          <w:rFonts w:hint="eastAsia" w:ascii="宋体" w:hAnsi="宋体" w:cs="宋体"/>
          <w:kern w:val="0"/>
          <w:sz w:val="32"/>
          <w:szCs w:val="32"/>
          <w:shd w:val="clear" w:fill="FFFFFF"/>
          <w:lang w:val="en-US" w:eastAsia="zh-CN" w:bidi="ar"/>
        </w:rPr>
        <w:t>959.41</w:t>
      </w:r>
      <w:r>
        <w:rPr>
          <w:rFonts w:hint="eastAsia" w:ascii="宋体" w:hAnsi="宋体" w:eastAsia="宋体" w:cs="宋体"/>
          <w:kern w:val="0"/>
          <w:sz w:val="32"/>
          <w:szCs w:val="32"/>
          <w:shd w:val="clear" w:fill="FFFFFF"/>
          <w:lang w:val="en-US" w:eastAsia="zh-CN" w:bidi="ar"/>
        </w:rPr>
        <w:t>万元，完成预算100%。行政运行（2010</w:t>
      </w:r>
      <w:r>
        <w:rPr>
          <w:rFonts w:hint="eastAsia" w:ascii="宋体" w:hAnsi="宋体" w:cs="宋体"/>
          <w:kern w:val="0"/>
          <w:sz w:val="32"/>
          <w:szCs w:val="32"/>
          <w:shd w:val="clear" w:fill="FFFFFF"/>
          <w:lang w:val="en-US" w:eastAsia="zh-CN" w:bidi="ar"/>
        </w:rPr>
        <w:t>3</w:t>
      </w:r>
      <w:r>
        <w:rPr>
          <w:rFonts w:hint="eastAsia" w:ascii="宋体" w:hAnsi="宋体" w:eastAsia="宋体" w:cs="宋体"/>
          <w:kern w:val="0"/>
          <w:sz w:val="32"/>
          <w:szCs w:val="32"/>
          <w:shd w:val="clear" w:fill="FFFFFF"/>
          <w:lang w:val="en-US" w:eastAsia="zh-CN" w:bidi="ar"/>
        </w:rPr>
        <w:t>01）202</w:t>
      </w:r>
      <w:r>
        <w:rPr>
          <w:rFonts w:hint="eastAsia" w:ascii="宋体" w:hAnsi="宋体" w:cs="宋体"/>
          <w:kern w:val="0"/>
          <w:sz w:val="32"/>
          <w:szCs w:val="32"/>
          <w:shd w:val="clear" w:fill="FFFFFF"/>
          <w:lang w:val="en-US" w:eastAsia="zh-CN" w:bidi="ar"/>
        </w:rPr>
        <w:t>2</w:t>
      </w:r>
      <w:r>
        <w:rPr>
          <w:rFonts w:hint="eastAsia" w:ascii="宋体" w:hAnsi="宋体" w:eastAsia="宋体" w:cs="宋体"/>
          <w:kern w:val="0"/>
          <w:sz w:val="32"/>
          <w:szCs w:val="32"/>
          <w:shd w:val="clear" w:fill="FFFFFF"/>
          <w:lang w:val="en-US" w:eastAsia="zh-CN" w:bidi="ar"/>
        </w:rPr>
        <w:t>年决算数为</w:t>
      </w:r>
      <w:r>
        <w:rPr>
          <w:rFonts w:hint="eastAsia" w:ascii="宋体" w:hAnsi="宋体" w:cs="宋体"/>
          <w:kern w:val="0"/>
          <w:sz w:val="32"/>
          <w:szCs w:val="32"/>
          <w:shd w:val="clear" w:fill="FFFFFF"/>
          <w:lang w:val="en-US" w:eastAsia="zh-CN" w:bidi="ar"/>
        </w:rPr>
        <w:t>856.28</w:t>
      </w:r>
      <w:r>
        <w:rPr>
          <w:rFonts w:hint="eastAsia" w:ascii="宋体" w:hAnsi="宋体" w:eastAsia="宋体" w:cs="宋体"/>
          <w:kern w:val="0"/>
          <w:sz w:val="32"/>
          <w:szCs w:val="32"/>
          <w:shd w:val="clear" w:fill="FFFFFF"/>
          <w:lang w:val="en-US" w:eastAsia="zh-CN" w:bidi="ar"/>
        </w:rPr>
        <w:t>万元</w:t>
      </w:r>
      <w:r>
        <w:rPr>
          <w:rFonts w:hint="eastAsia" w:ascii="宋体" w:hAnsi="宋体" w:cs="宋体"/>
          <w:kern w:val="0"/>
          <w:sz w:val="32"/>
          <w:szCs w:val="32"/>
          <w:shd w:val="clear" w:fill="FFFFFF"/>
          <w:lang w:val="en-US" w:eastAsia="zh-CN" w:bidi="ar"/>
        </w:rPr>
        <w:t>，</w:t>
      </w:r>
      <w:r>
        <w:rPr>
          <w:rFonts w:hint="eastAsia" w:ascii="宋体" w:hAnsi="宋体" w:eastAsia="宋体" w:cs="宋体"/>
          <w:kern w:val="0"/>
          <w:sz w:val="32"/>
          <w:szCs w:val="32"/>
          <w:shd w:val="clear" w:fill="FFFFFF"/>
          <w:lang w:val="en-US" w:eastAsia="zh-CN" w:bidi="ar"/>
        </w:rPr>
        <w:t>完成预算100%</w:t>
      </w:r>
      <w:r>
        <w:rPr>
          <w:rFonts w:hint="eastAsia" w:ascii="宋体" w:hAnsi="宋体" w:cs="宋体"/>
          <w:kern w:val="0"/>
          <w:sz w:val="32"/>
          <w:szCs w:val="32"/>
          <w:shd w:val="clear" w:fill="FFFFFF"/>
          <w:lang w:val="en-US" w:eastAsia="zh-CN" w:bidi="ar"/>
        </w:rPr>
        <w:t>；</w:t>
      </w:r>
      <w:r>
        <w:rPr>
          <w:rFonts w:hint="eastAsia" w:ascii="宋体" w:hAnsi="宋体" w:eastAsia="宋体" w:cs="宋体"/>
          <w:kern w:val="0"/>
          <w:sz w:val="32"/>
          <w:szCs w:val="32"/>
          <w:shd w:val="clear" w:fill="FFFFFF"/>
          <w:lang w:val="en-US" w:eastAsia="zh-CN" w:bidi="ar"/>
        </w:rPr>
        <w:t>一般行政管理事务（2010302）202</w:t>
      </w:r>
      <w:r>
        <w:rPr>
          <w:rFonts w:hint="eastAsia" w:ascii="宋体" w:hAnsi="宋体" w:cs="宋体"/>
          <w:kern w:val="0"/>
          <w:sz w:val="32"/>
          <w:szCs w:val="32"/>
          <w:shd w:val="clear" w:fill="FFFFFF"/>
          <w:lang w:val="en-US" w:eastAsia="zh-CN" w:bidi="ar"/>
        </w:rPr>
        <w:t>2</w:t>
      </w:r>
      <w:r>
        <w:rPr>
          <w:rFonts w:hint="eastAsia" w:ascii="宋体" w:hAnsi="宋体" w:eastAsia="宋体" w:cs="宋体"/>
          <w:kern w:val="0"/>
          <w:sz w:val="32"/>
          <w:szCs w:val="32"/>
          <w:shd w:val="clear" w:fill="FFFFFF"/>
          <w:lang w:val="en-US" w:eastAsia="zh-CN" w:bidi="ar"/>
        </w:rPr>
        <w:t>年决算数为</w:t>
      </w:r>
      <w:r>
        <w:rPr>
          <w:rFonts w:hint="eastAsia" w:ascii="宋体" w:hAnsi="宋体" w:cs="宋体"/>
          <w:kern w:val="0"/>
          <w:sz w:val="32"/>
          <w:szCs w:val="32"/>
          <w:shd w:val="clear" w:fill="FFFFFF"/>
          <w:lang w:val="en-US" w:eastAsia="zh-CN" w:bidi="ar"/>
        </w:rPr>
        <w:t>103.12</w:t>
      </w:r>
      <w:r>
        <w:rPr>
          <w:rFonts w:hint="eastAsia" w:ascii="宋体" w:hAnsi="宋体" w:eastAsia="宋体" w:cs="宋体"/>
          <w:kern w:val="0"/>
          <w:sz w:val="32"/>
          <w:szCs w:val="32"/>
          <w:shd w:val="clear" w:fill="FFFFFF"/>
          <w:lang w:val="en-US" w:eastAsia="zh-CN" w:bidi="ar"/>
        </w:rPr>
        <w:t>万元</w:t>
      </w:r>
      <w:r>
        <w:rPr>
          <w:rFonts w:hint="eastAsia" w:ascii="宋体" w:hAnsi="宋体" w:cs="宋体"/>
          <w:kern w:val="0"/>
          <w:sz w:val="32"/>
          <w:szCs w:val="32"/>
          <w:shd w:val="clear" w:fill="FFFFFF"/>
          <w:lang w:val="en-US" w:eastAsia="zh-CN" w:bidi="ar"/>
        </w:rPr>
        <w:t>，</w:t>
      </w:r>
      <w:r>
        <w:rPr>
          <w:rFonts w:hint="eastAsia" w:ascii="宋体" w:hAnsi="宋体" w:eastAsia="宋体" w:cs="宋体"/>
          <w:kern w:val="0"/>
          <w:sz w:val="32"/>
          <w:szCs w:val="32"/>
          <w:shd w:val="clear" w:fill="FFFFFF"/>
          <w:lang w:val="en-US" w:eastAsia="zh-CN" w:bidi="ar"/>
        </w:rPr>
        <w:t>完成预算100%;</w:t>
      </w:r>
    </w:p>
    <w:p w14:paraId="2328E4B9">
      <w:pPr>
        <w:spacing w:line="600" w:lineRule="exact"/>
        <w:ind w:firstLine="643" w:firstLineChars="200"/>
        <w:rPr>
          <w:rFonts w:hint="eastAsia" w:ascii="宋体" w:hAnsi="宋体" w:eastAsia="宋体" w:cs="宋体"/>
          <w:kern w:val="0"/>
          <w:sz w:val="32"/>
          <w:szCs w:val="32"/>
          <w:shd w:val="clear" w:fill="FFFFFF"/>
          <w:lang w:val="en-US" w:eastAsia="zh-CN" w:bidi="ar"/>
        </w:rPr>
      </w:pPr>
      <w:r>
        <w:rPr>
          <w:rFonts w:hint="eastAsia" w:ascii="宋体" w:hAnsi="宋体" w:eastAsia="宋体" w:cs="宋体"/>
          <w:b/>
          <w:bCs/>
          <w:kern w:val="0"/>
          <w:sz w:val="32"/>
          <w:szCs w:val="32"/>
          <w:shd w:val="clear" w:fill="FFFFFF"/>
          <w:lang w:val="en-US" w:eastAsia="zh-CN" w:bidi="ar"/>
        </w:rPr>
        <w:t>2.社会保障和就业（208）</w:t>
      </w:r>
      <w:r>
        <w:rPr>
          <w:rFonts w:hint="eastAsia" w:ascii="宋体" w:hAnsi="宋体" w:cs="宋体"/>
          <w:b/>
          <w:bCs/>
          <w:kern w:val="0"/>
          <w:sz w:val="32"/>
          <w:szCs w:val="32"/>
          <w:shd w:val="clear" w:fill="FFFFFF"/>
          <w:lang w:val="en-US" w:eastAsia="zh-CN" w:bidi="ar"/>
        </w:rPr>
        <w:t>：</w:t>
      </w:r>
      <w:r>
        <w:rPr>
          <w:rFonts w:hint="eastAsia" w:ascii="宋体" w:hAnsi="宋体" w:eastAsia="宋体" w:cs="宋体"/>
          <w:kern w:val="0"/>
          <w:sz w:val="32"/>
          <w:szCs w:val="32"/>
          <w:shd w:val="clear" w:fill="FFFFFF"/>
          <w:lang w:val="en-US" w:eastAsia="zh-CN" w:bidi="ar"/>
        </w:rPr>
        <w:t xml:space="preserve"> 支出决算为</w:t>
      </w:r>
      <w:r>
        <w:rPr>
          <w:rFonts w:hint="eastAsia" w:ascii="宋体" w:hAnsi="宋体" w:cs="宋体"/>
          <w:kern w:val="0"/>
          <w:sz w:val="32"/>
          <w:szCs w:val="32"/>
          <w:shd w:val="clear" w:fill="FFFFFF"/>
          <w:lang w:val="en-US" w:eastAsia="zh-CN" w:bidi="ar"/>
        </w:rPr>
        <w:t>141.33</w:t>
      </w:r>
      <w:r>
        <w:rPr>
          <w:rFonts w:hint="eastAsia" w:ascii="宋体" w:hAnsi="宋体" w:eastAsia="宋体" w:cs="宋体"/>
          <w:kern w:val="0"/>
          <w:sz w:val="32"/>
          <w:szCs w:val="32"/>
          <w:shd w:val="clear" w:fill="FFFFFF"/>
          <w:lang w:val="en-US" w:eastAsia="zh-CN" w:bidi="ar"/>
        </w:rPr>
        <w:t>万元，完成预算100%。机关事业单位基本养老保险缴费支出202</w:t>
      </w:r>
      <w:r>
        <w:rPr>
          <w:rFonts w:hint="eastAsia" w:ascii="宋体" w:hAnsi="宋体" w:cs="宋体"/>
          <w:kern w:val="0"/>
          <w:sz w:val="32"/>
          <w:szCs w:val="32"/>
          <w:shd w:val="clear" w:fill="FFFFFF"/>
          <w:lang w:val="en-US" w:eastAsia="zh-CN" w:bidi="ar"/>
        </w:rPr>
        <w:t>2</w:t>
      </w:r>
      <w:r>
        <w:rPr>
          <w:rFonts w:hint="eastAsia" w:ascii="宋体" w:hAnsi="宋体" w:eastAsia="宋体" w:cs="宋体"/>
          <w:kern w:val="0"/>
          <w:sz w:val="32"/>
          <w:szCs w:val="32"/>
          <w:shd w:val="clear" w:fill="FFFFFF"/>
          <w:lang w:val="en-US" w:eastAsia="zh-CN" w:bidi="ar"/>
        </w:rPr>
        <w:t>年决算数为（2080505）</w:t>
      </w:r>
      <w:r>
        <w:rPr>
          <w:rFonts w:hint="eastAsia" w:ascii="宋体" w:hAnsi="宋体" w:cs="宋体"/>
          <w:kern w:val="0"/>
          <w:sz w:val="32"/>
          <w:szCs w:val="32"/>
          <w:shd w:val="clear" w:fill="FFFFFF"/>
          <w:lang w:val="en-US" w:eastAsia="zh-CN" w:bidi="ar"/>
        </w:rPr>
        <w:t>90.37</w:t>
      </w:r>
      <w:r>
        <w:rPr>
          <w:rFonts w:hint="eastAsia" w:ascii="宋体" w:hAnsi="宋体" w:eastAsia="宋体" w:cs="宋体"/>
          <w:kern w:val="0"/>
          <w:sz w:val="32"/>
          <w:szCs w:val="32"/>
          <w:shd w:val="clear" w:fill="FFFFFF"/>
          <w:lang w:val="en-US" w:eastAsia="zh-CN" w:bidi="ar"/>
        </w:rPr>
        <w:t>万元，完成预算100%；机关事业单位职业年金缴费支出202</w:t>
      </w:r>
      <w:r>
        <w:rPr>
          <w:rFonts w:hint="eastAsia" w:ascii="宋体" w:hAnsi="宋体" w:cs="宋体"/>
          <w:kern w:val="0"/>
          <w:sz w:val="32"/>
          <w:szCs w:val="32"/>
          <w:shd w:val="clear" w:fill="FFFFFF"/>
          <w:lang w:val="en-US" w:eastAsia="zh-CN" w:bidi="ar"/>
        </w:rPr>
        <w:t>2</w:t>
      </w:r>
      <w:r>
        <w:rPr>
          <w:rFonts w:hint="eastAsia" w:ascii="宋体" w:hAnsi="宋体" w:eastAsia="宋体" w:cs="宋体"/>
          <w:kern w:val="0"/>
          <w:sz w:val="32"/>
          <w:szCs w:val="32"/>
          <w:shd w:val="clear" w:fill="FFFFFF"/>
          <w:lang w:val="en-US" w:eastAsia="zh-CN" w:bidi="ar"/>
        </w:rPr>
        <w:t>年决算数为（2080506）</w:t>
      </w:r>
      <w:r>
        <w:rPr>
          <w:rFonts w:hint="eastAsia" w:ascii="宋体" w:hAnsi="宋体" w:cs="宋体"/>
          <w:kern w:val="0"/>
          <w:sz w:val="32"/>
          <w:szCs w:val="32"/>
          <w:shd w:val="clear" w:fill="FFFFFF"/>
          <w:lang w:val="en-US" w:eastAsia="zh-CN" w:bidi="ar"/>
        </w:rPr>
        <w:t>50.97</w:t>
      </w:r>
      <w:r>
        <w:rPr>
          <w:rFonts w:hint="eastAsia" w:ascii="宋体" w:hAnsi="宋体" w:eastAsia="宋体" w:cs="宋体"/>
          <w:kern w:val="0"/>
          <w:sz w:val="32"/>
          <w:szCs w:val="32"/>
          <w:shd w:val="clear" w:fill="FFFFFF"/>
          <w:lang w:val="en-US" w:eastAsia="zh-CN" w:bidi="ar"/>
        </w:rPr>
        <w:t>万元</w:t>
      </w:r>
      <w:r>
        <w:rPr>
          <w:rFonts w:hint="eastAsia" w:ascii="宋体" w:hAnsi="宋体" w:cs="宋体"/>
          <w:kern w:val="0"/>
          <w:sz w:val="32"/>
          <w:szCs w:val="32"/>
          <w:shd w:val="clear" w:fill="FFFFFF"/>
          <w:lang w:val="en-US" w:eastAsia="zh-CN" w:bidi="ar"/>
        </w:rPr>
        <w:t>，</w:t>
      </w:r>
      <w:r>
        <w:rPr>
          <w:rFonts w:hint="eastAsia" w:ascii="宋体" w:hAnsi="宋体" w:eastAsia="宋体" w:cs="宋体"/>
          <w:kern w:val="0"/>
          <w:sz w:val="32"/>
          <w:szCs w:val="32"/>
          <w:shd w:val="clear" w:fill="FFFFFF"/>
          <w:lang w:val="en-US" w:eastAsia="zh-CN" w:bidi="ar"/>
        </w:rPr>
        <w:t>完成预算100%。</w:t>
      </w:r>
    </w:p>
    <w:p w14:paraId="30694C4D">
      <w:pPr>
        <w:spacing w:line="600" w:lineRule="exact"/>
        <w:ind w:firstLine="643" w:firstLineChars="200"/>
        <w:rPr>
          <w:rFonts w:hint="eastAsia" w:ascii="宋体" w:hAnsi="宋体" w:eastAsia="宋体" w:cs="宋体"/>
          <w:kern w:val="0"/>
          <w:sz w:val="32"/>
          <w:szCs w:val="32"/>
          <w:shd w:val="clear" w:fill="FFFFFF"/>
          <w:lang w:val="en-US" w:eastAsia="zh-CN" w:bidi="ar"/>
        </w:rPr>
      </w:pPr>
      <w:r>
        <w:rPr>
          <w:rFonts w:hint="eastAsia" w:ascii="宋体" w:hAnsi="宋体" w:eastAsia="宋体" w:cs="宋体"/>
          <w:b/>
          <w:bCs/>
          <w:kern w:val="0"/>
          <w:sz w:val="32"/>
          <w:szCs w:val="32"/>
          <w:shd w:val="clear" w:fill="FFFFFF"/>
          <w:lang w:val="en-US" w:eastAsia="zh-CN" w:bidi="ar"/>
        </w:rPr>
        <w:t>3.卫生健康（210）</w:t>
      </w:r>
      <w:r>
        <w:rPr>
          <w:rFonts w:hint="eastAsia" w:ascii="宋体" w:hAnsi="宋体" w:cs="宋体"/>
          <w:b/>
          <w:bCs/>
          <w:kern w:val="0"/>
          <w:sz w:val="32"/>
          <w:szCs w:val="32"/>
          <w:shd w:val="clear" w:fill="FFFFFF"/>
          <w:lang w:val="en-US" w:eastAsia="zh-CN" w:bidi="ar"/>
        </w:rPr>
        <w:t>：</w:t>
      </w:r>
      <w:r>
        <w:rPr>
          <w:rFonts w:hint="eastAsia" w:ascii="宋体" w:hAnsi="宋体" w:eastAsia="宋体" w:cs="宋体"/>
          <w:kern w:val="0"/>
          <w:sz w:val="32"/>
          <w:szCs w:val="32"/>
          <w:shd w:val="clear" w:fill="FFFFFF"/>
          <w:lang w:val="en-US" w:eastAsia="zh-CN" w:bidi="ar"/>
        </w:rPr>
        <w:t>支出决算为</w:t>
      </w:r>
      <w:r>
        <w:rPr>
          <w:rFonts w:hint="eastAsia" w:ascii="宋体" w:hAnsi="宋体" w:cs="宋体"/>
          <w:kern w:val="0"/>
          <w:sz w:val="32"/>
          <w:szCs w:val="32"/>
          <w:shd w:val="clear" w:fill="FFFFFF"/>
          <w:lang w:val="en-US" w:eastAsia="zh-CN" w:bidi="ar"/>
        </w:rPr>
        <w:t>53.22</w:t>
      </w:r>
      <w:r>
        <w:rPr>
          <w:rFonts w:hint="eastAsia" w:ascii="宋体" w:hAnsi="宋体" w:eastAsia="宋体" w:cs="宋体"/>
          <w:kern w:val="0"/>
          <w:sz w:val="32"/>
          <w:szCs w:val="32"/>
          <w:shd w:val="clear" w:fill="FFFFFF"/>
          <w:lang w:val="en-US" w:eastAsia="zh-CN" w:bidi="ar"/>
        </w:rPr>
        <w:t>万元，完成预算100%。行政单位医疗（2101101）202</w:t>
      </w:r>
      <w:r>
        <w:rPr>
          <w:rFonts w:hint="eastAsia" w:ascii="宋体" w:hAnsi="宋体" w:cs="宋体"/>
          <w:kern w:val="0"/>
          <w:sz w:val="32"/>
          <w:szCs w:val="32"/>
          <w:shd w:val="clear" w:fill="FFFFFF"/>
          <w:lang w:val="en-US" w:eastAsia="zh-CN" w:bidi="ar"/>
        </w:rPr>
        <w:t>2</w:t>
      </w:r>
      <w:r>
        <w:rPr>
          <w:rFonts w:hint="eastAsia" w:ascii="宋体" w:hAnsi="宋体" w:eastAsia="宋体" w:cs="宋体"/>
          <w:kern w:val="0"/>
          <w:sz w:val="32"/>
          <w:szCs w:val="32"/>
          <w:shd w:val="clear" w:fill="FFFFFF"/>
          <w:lang w:val="en-US" w:eastAsia="zh-CN" w:bidi="ar"/>
        </w:rPr>
        <w:t>年决算数为</w:t>
      </w:r>
      <w:r>
        <w:rPr>
          <w:rFonts w:hint="eastAsia" w:ascii="宋体" w:hAnsi="宋体" w:cs="宋体"/>
          <w:kern w:val="0"/>
          <w:sz w:val="32"/>
          <w:szCs w:val="32"/>
          <w:shd w:val="clear" w:fill="FFFFFF"/>
          <w:lang w:val="en-US" w:eastAsia="zh-CN" w:bidi="ar"/>
        </w:rPr>
        <w:t>41.64</w:t>
      </w:r>
      <w:r>
        <w:rPr>
          <w:rFonts w:hint="eastAsia" w:ascii="宋体" w:hAnsi="宋体" w:eastAsia="宋体" w:cs="宋体"/>
          <w:kern w:val="0"/>
          <w:sz w:val="32"/>
          <w:szCs w:val="32"/>
          <w:shd w:val="clear" w:fill="FFFFFF"/>
          <w:lang w:val="en-US" w:eastAsia="zh-CN" w:bidi="ar"/>
        </w:rPr>
        <w:t>万元</w:t>
      </w:r>
      <w:r>
        <w:rPr>
          <w:rFonts w:hint="eastAsia" w:ascii="宋体" w:hAnsi="宋体" w:cs="宋体"/>
          <w:kern w:val="0"/>
          <w:sz w:val="32"/>
          <w:szCs w:val="32"/>
          <w:shd w:val="clear" w:fill="FFFFFF"/>
          <w:lang w:val="en-US" w:eastAsia="zh-CN" w:bidi="ar"/>
        </w:rPr>
        <w:t>，</w:t>
      </w:r>
      <w:r>
        <w:rPr>
          <w:rFonts w:hint="eastAsia" w:ascii="宋体" w:hAnsi="宋体" w:eastAsia="宋体" w:cs="宋体"/>
          <w:kern w:val="0"/>
          <w:sz w:val="32"/>
          <w:szCs w:val="32"/>
          <w:shd w:val="clear" w:fill="FFFFFF"/>
          <w:lang w:val="en-US" w:eastAsia="zh-CN" w:bidi="ar"/>
        </w:rPr>
        <w:t>完成预算100%；公务员医疗补助（2101103）202</w:t>
      </w:r>
      <w:r>
        <w:rPr>
          <w:rFonts w:hint="eastAsia" w:ascii="宋体" w:hAnsi="宋体" w:cs="宋体"/>
          <w:kern w:val="0"/>
          <w:sz w:val="32"/>
          <w:szCs w:val="32"/>
          <w:shd w:val="clear" w:fill="FFFFFF"/>
          <w:lang w:val="en-US" w:eastAsia="zh-CN" w:bidi="ar"/>
        </w:rPr>
        <w:t>2</w:t>
      </w:r>
      <w:r>
        <w:rPr>
          <w:rFonts w:hint="eastAsia" w:ascii="宋体" w:hAnsi="宋体" w:eastAsia="宋体" w:cs="宋体"/>
          <w:kern w:val="0"/>
          <w:sz w:val="32"/>
          <w:szCs w:val="32"/>
          <w:shd w:val="clear" w:fill="FFFFFF"/>
          <w:lang w:val="en-US" w:eastAsia="zh-CN" w:bidi="ar"/>
        </w:rPr>
        <w:t>年决算数为</w:t>
      </w:r>
      <w:r>
        <w:rPr>
          <w:rFonts w:hint="eastAsia" w:ascii="宋体" w:hAnsi="宋体" w:cs="宋体"/>
          <w:kern w:val="0"/>
          <w:sz w:val="32"/>
          <w:szCs w:val="32"/>
          <w:shd w:val="clear" w:fill="FFFFFF"/>
          <w:lang w:val="en-US" w:eastAsia="zh-CN" w:bidi="ar"/>
        </w:rPr>
        <w:t>11.58</w:t>
      </w:r>
      <w:r>
        <w:rPr>
          <w:rFonts w:hint="eastAsia" w:ascii="宋体" w:hAnsi="宋体" w:eastAsia="宋体" w:cs="宋体"/>
          <w:kern w:val="0"/>
          <w:sz w:val="32"/>
          <w:szCs w:val="32"/>
          <w:shd w:val="clear" w:fill="FFFFFF"/>
          <w:lang w:val="en-US" w:eastAsia="zh-CN" w:bidi="ar"/>
        </w:rPr>
        <w:t>万元</w:t>
      </w:r>
      <w:r>
        <w:rPr>
          <w:rFonts w:hint="eastAsia" w:ascii="宋体" w:hAnsi="宋体" w:cs="宋体"/>
          <w:kern w:val="0"/>
          <w:sz w:val="32"/>
          <w:szCs w:val="32"/>
          <w:shd w:val="clear" w:fill="FFFFFF"/>
          <w:lang w:val="en-US" w:eastAsia="zh-CN" w:bidi="ar"/>
        </w:rPr>
        <w:t>，</w:t>
      </w:r>
      <w:r>
        <w:rPr>
          <w:rFonts w:hint="eastAsia" w:ascii="宋体" w:hAnsi="宋体" w:eastAsia="宋体" w:cs="宋体"/>
          <w:kern w:val="0"/>
          <w:sz w:val="32"/>
          <w:szCs w:val="32"/>
          <w:shd w:val="clear" w:fill="FFFFFF"/>
          <w:lang w:val="en-US" w:eastAsia="zh-CN" w:bidi="ar"/>
        </w:rPr>
        <w:t>完成预算100%。</w:t>
      </w:r>
    </w:p>
    <w:p w14:paraId="25C24E7C">
      <w:pPr>
        <w:spacing w:line="600" w:lineRule="exact"/>
        <w:ind w:firstLine="643" w:firstLineChars="200"/>
        <w:rPr>
          <w:rFonts w:hint="eastAsia" w:ascii="宋体" w:hAnsi="宋体" w:eastAsia="宋体" w:cs="宋体"/>
          <w:kern w:val="0"/>
          <w:sz w:val="32"/>
          <w:szCs w:val="32"/>
          <w:shd w:val="clear" w:fill="FFFFFF"/>
          <w:lang w:val="en-US" w:eastAsia="zh-CN" w:bidi="ar"/>
        </w:rPr>
      </w:pPr>
      <w:r>
        <w:rPr>
          <w:rFonts w:hint="eastAsia" w:ascii="宋体" w:hAnsi="宋体" w:cs="宋体"/>
          <w:b/>
          <w:bCs/>
          <w:kern w:val="0"/>
          <w:sz w:val="32"/>
          <w:szCs w:val="32"/>
          <w:shd w:val="clear" w:fill="FFFFFF"/>
          <w:lang w:val="en-US" w:eastAsia="zh-CN" w:bidi="ar"/>
        </w:rPr>
        <w:t>4</w:t>
      </w:r>
      <w:r>
        <w:rPr>
          <w:rFonts w:hint="eastAsia" w:ascii="宋体" w:hAnsi="宋体" w:eastAsia="宋体" w:cs="宋体"/>
          <w:b/>
          <w:bCs/>
          <w:kern w:val="0"/>
          <w:sz w:val="32"/>
          <w:szCs w:val="32"/>
          <w:shd w:val="clear" w:fill="FFFFFF"/>
          <w:lang w:val="en-US" w:eastAsia="zh-CN" w:bidi="ar"/>
        </w:rPr>
        <w:t>.农林水（213）</w:t>
      </w:r>
      <w:r>
        <w:rPr>
          <w:rFonts w:hint="eastAsia" w:ascii="宋体" w:hAnsi="宋体" w:cs="宋体"/>
          <w:b/>
          <w:bCs/>
          <w:kern w:val="0"/>
          <w:sz w:val="32"/>
          <w:szCs w:val="32"/>
          <w:shd w:val="clear" w:fill="FFFFFF"/>
          <w:lang w:val="en-US" w:eastAsia="zh-CN" w:bidi="ar"/>
        </w:rPr>
        <w:t>：</w:t>
      </w:r>
      <w:r>
        <w:rPr>
          <w:rFonts w:hint="eastAsia" w:ascii="宋体" w:hAnsi="宋体" w:eastAsia="宋体" w:cs="宋体"/>
          <w:kern w:val="0"/>
          <w:sz w:val="32"/>
          <w:szCs w:val="32"/>
          <w:shd w:val="clear" w:fill="FFFFFF"/>
          <w:lang w:val="en-US" w:eastAsia="zh-CN" w:bidi="ar"/>
        </w:rPr>
        <w:t>支出</w:t>
      </w:r>
      <w:r>
        <w:rPr>
          <w:rFonts w:hint="eastAsia" w:ascii="宋体" w:hAnsi="宋体" w:cs="宋体"/>
          <w:kern w:val="0"/>
          <w:sz w:val="32"/>
          <w:szCs w:val="32"/>
          <w:shd w:val="clear" w:fill="FFFFFF"/>
          <w:lang w:val="en-US" w:eastAsia="zh-CN" w:bidi="ar"/>
        </w:rPr>
        <w:t>：165.95</w:t>
      </w:r>
      <w:r>
        <w:rPr>
          <w:rFonts w:hint="eastAsia" w:ascii="宋体" w:hAnsi="宋体" w:eastAsia="宋体" w:cs="宋体"/>
          <w:kern w:val="0"/>
          <w:sz w:val="32"/>
          <w:szCs w:val="32"/>
          <w:shd w:val="clear" w:fill="FFFFFF"/>
          <w:lang w:val="en-US" w:eastAsia="zh-CN" w:bidi="ar"/>
        </w:rPr>
        <w:t>万元，完成预算100%。农村基础设施建设（2130504）202</w:t>
      </w:r>
      <w:r>
        <w:rPr>
          <w:rFonts w:hint="eastAsia" w:ascii="宋体" w:hAnsi="宋体" w:cs="宋体"/>
          <w:kern w:val="0"/>
          <w:sz w:val="32"/>
          <w:szCs w:val="32"/>
          <w:shd w:val="clear" w:fill="FFFFFF"/>
          <w:lang w:val="en-US" w:eastAsia="zh-CN" w:bidi="ar"/>
        </w:rPr>
        <w:t>2</w:t>
      </w:r>
      <w:r>
        <w:rPr>
          <w:rFonts w:hint="eastAsia" w:ascii="宋体" w:hAnsi="宋体" w:eastAsia="宋体" w:cs="宋体"/>
          <w:kern w:val="0"/>
          <w:sz w:val="32"/>
          <w:szCs w:val="32"/>
          <w:shd w:val="clear" w:fill="FFFFFF"/>
          <w:lang w:val="en-US" w:eastAsia="zh-CN" w:bidi="ar"/>
        </w:rPr>
        <w:t>年决算数为</w:t>
      </w:r>
      <w:r>
        <w:rPr>
          <w:rFonts w:hint="eastAsia" w:ascii="宋体" w:hAnsi="宋体" w:cs="宋体"/>
          <w:kern w:val="0"/>
          <w:sz w:val="32"/>
          <w:szCs w:val="32"/>
          <w:shd w:val="clear" w:fill="FFFFFF"/>
          <w:lang w:val="en-US" w:eastAsia="zh-CN" w:bidi="ar"/>
        </w:rPr>
        <w:t>694.71</w:t>
      </w:r>
      <w:r>
        <w:rPr>
          <w:rFonts w:hint="eastAsia" w:ascii="宋体" w:hAnsi="宋体" w:eastAsia="宋体" w:cs="宋体"/>
          <w:kern w:val="0"/>
          <w:sz w:val="32"/>
          <w:szCs w:val="32"/>
          <w:shd w:val="clear" w:fill="FFFFFF"/>
          <w:lang w:val="en-US" w:eastAsia="zh-CN" w:bidi="ar"/>
        </w:rPr>
        <w:t>万元</w:t>
      </w:r>
      <w:r>
        <w:rPr>
          <w:rFonts w:hint="eastAsia" w:ascii="宋体" w:hAnsi="宋体" w:cs="宋体"/>
          <w:kern w:val="0"/>
          <w:sz w:val="32"/>
          <w:szCs w:val="32"/>
          <w:shd w:val="clear" w:fill="FFFFFF"/>
          <w:lang w:val="en-US" w:eastAsia="zh-CN" w:bidi="ar"/>
        </w:rPr>
        <w:t>，</w:t>
      </w:r>
      <w:r>
        <w:rPr>
          <w:rFonts w:hint="eastAsia" w:ascii="宋体" w:hAnsi="宋体" w:eastAsia="宋体" w:cs="宋体"/>
          <w:kern w:val="0"/>
          <w:sz w:val="32"/>
          <w:szCs w:val="32"/>
          <w:shd w:val="clear" w:fill="FFFFFF"/>
          <w:lang w:val="en-US" w:eastAsia="zh-CN" w:bidi="ar"/>
        </w:rPr>
        <w:t>完成预算100%；其他扶贫支出（2130599）202</w:t>
      </w:r>
      <w:r>
        <w:rPr>
          <w:rFonts w:hint="eastAsia" w:ascii="宋体" w:hAnsi="宋体" w:cs="宋体"/>
          <w:kern w:val="0"/>
          <w:sz w:val="32"/>
          <w:szCs w:val="32"/>
          <w:shd w:val="clear" w:fill="FFFFFF"/>
          <w:lang w:val="en-US" w:eastAsia="zh-CN" w:bidi="ar"/>
        </w:rPr>
        <w:t>2</w:t>
      </w:r>
      <w:r>
        <w:rPr>
          <w:rFonts w:hint="eastAsia" w:ascii="宋体" w:hAnsi="宋体" w:eastAsia="宋体" w:cs="宋体"/>
          <w:kern w:val="0"/>
          <w:sz w:val="32"/>
          <w:szCs w:val="32"/>
          <w:shd w:val="clear" w:fill="FFFFFF"/>
          <w:lang w:val="en-US" w:eastAsia="zh-CN" w:bidi="ar"/>
        </w:rPr>
        <w:t>年决算数为</w:t>
      </w:r>
      <w:r>
        <w:rPr>
          <w:rFonts w:hint="eastAsia" w:ascii="宋体" w:hAnsi="宋体" w:cs="宋体"/>
          <w:kern w:val="0"/>
          <w:sz w:val="32"/>
          <w:szCs w:val="32"/>
          <w:shd w:val="clear" w:fill="FFFFFF"/>
          <w:lang w:val="en-US" w:eastAsia="zh-CN" w:bidi="ar"/>
        </w:rPr>
        <w:t>31.12</w:t>
      </w:r>
      <w:r>
        <w:rPr>
          <w:rFonts w:hint="eastAsia" w:ascii="宋体" w:hAnsi="宋体" w:eastAsia="宋体" w:cs="宋体"/>
          <w:kern w:val="0"/>
          <w:sz w:val="32"/>
          <w:szCs w:val="32"/>
          <w:shd w:val="clear" w:fill="FFFFFF"/>
          <w:lang w:val="en-US" w:eastAsia="zh-CN" w:bidi="ar"/>
        </w:rPr>
        <w:t>万元</w:t>
      </w:r>
      <w:r>
        <w:rPr>
          <w:rFonts w:hint="eastAsia" w:ascii="宋体" w:hAnsi="宋体" w:cs="宋体"/>
          <w:kern w:val="0"/>
          <w:sz w:val="32"/>
          <w:szCs w:val="32"/>
          <w:shd w:val="clear" w:fill="FFFFFF"/>
          <w:lang w:val="en-US" w:eastAsia="zh-CN" w:bidi="ar"/>
        </w:rPr>
        <w:t>，</w:t>
      </w:r>
      <w:r>
        <w:rPr>
          <w:rFonts w:hint="eastAsia" w:ascii="宋体" w:hAnsi="宋体" w:eastAsia="宋体" w:cs="宋体"/>
          <w:kern w:val="0"/>
          <w:sz w:val="32"/>
          <w:szCs w:val="32"/>
          <w:shd w:val="clear" w:fill="FFFFFF"/>
          <w:lang w:val="en-US" w:eastAsia="zh-CN" w:bidi="ar"/>
        </w:rPr>
        <w:t>完成预算100%；对村民委员会和村党支部的支出（2130705）202</w:t>
      </w:r>
      <w:r>
        <w:rPr>
          <w:rFonts w:hint="eastAsia" w:ascii="宋体" w:hAnsi="宋体" w:cs="宋体"/>
          <w:kern w:val="0"/>
          <w:sz w:val="32"/>
          <w:szCs w:val="32"/>
          <w:shd w:val="clear" w:fill="FFFFFF"/>
          <w:lang w:val="en-US" w:eastAsia="zh-CN" w:bidi="ar"/>
        </w:rPr>
        <w:t>2</w:t>
      </w:r>
      <w:r>
        <w:rPr>
          <w:rFonts w:hint="eastAsia" w:ascii="宋体" w:hAnsi="宋体" w:eastAsia="宋体" w:cs="宋体"/>
          <w:kern w:val="0"/>
          <w:sz w:val="32"/>
          <w:szCs w:val="32"/>
          <w:shd w:val="clear" w:fill="FFFFFF"/>
          <w:lang w:val="en-US" w:eastAsia="zh-CN" w:bidi="ar"/>
        </w:rPr>
        <w:t>年决算数为</w:t>
      </w:r>
      <w:r>
        <w:rPr>
          <w:rFonts w:hint="eastAsia" w:ascii="宋体" w:hAnsi="宋体" w:cs="宋体"/>
          <w:kern w:val="0"/>
          <w:sz w:val="32"/>
          <w:szCs w:val="32"/>
          <w:shd w:val="clear" w:fill="FFFFFF"/>
          <w:lang w:val="en-US" w:eastAsia="zh-CN" w:bidi="ar"/>
        </w:rPr>
        <w:t>740.12</w:t>
      </w:r>
      <w:r>
        <w:rPr>
          <w:rFonts w:hint="eastAsia" w:ascii="宋体" w:hAnsi="宋体" w:eastAsia="宋体" w:cs="宋体"/>
          <w:kern w:val="0"/>
          <w:sz w:val="32"/>
          <w:szCs w:val="32"/>
          <w:shd w:val="clear" w:fill="FFFFFF"/>
          <w:lang w:val="en-US" w:eastAsia="zh-CN" w:bidi="ar"/>
        </w:rPr>
        <w:t>万元</w:t>
      </w:r>
      <w:r>
        <w:rPr>
          <w:rFonts w:hint="eastAsia" w:ascii="宋体" w:hAnsi="宋体" w:cs="宋体"/>
          <w:kern w:val="0"/>
          <w:sz w:val="32"/>
          <w:szCs w:val="32"/>
          <w:shd w:val="clear" w:fill="FFFFFF"/>
          <w:lang w:val="en-US" w:eastAsia="zh-CN" w:bidi="ar"/>
        </w:rPr>
        <w:t>，</w:t>
      </w:r>
      <w:r>
        <w:rPr>
          <w:rFonts w:hint="eastAsia" w:ascii="宋体" w:hAnsi="宋体" w:eastAsia="宋体" w:cs="宋体"/>
          <w:kern w:val="0"/>
          <w:sz w:val="32"/>
          <w:szCs w:val="32"/>
          <w:shd w:val="clear" w:fill="FFFFFF"/>
          <w:lang w:val="en-US" w:eastAsia="zh-CN" w:bidi="ar"/>
        </w:rPr>
        <w:t>完成预算100%。</w:t>
      </w:r>
    </w:p>
    <w:p w14:paraId="22D09495">
      <w:pPr>
        <w:spacing w:line="600" w:lineRule="exact"/>
        <w:ind w:firstLine="643" w:firstLineChars="200"/>
        <w:rPr>
          <w:rFonts w:hint="eastAsia" w:ascii="宋体" w:hAnsi="宋体" w:eastAsia="宋体" w:cs="宋体"/>
          <w:kern w:val="0"/>
          <w:sz w:val="32"/>
          <w:szCs w:val="32"/>
          <w:shd w:val="clear" w:fill="FFFFFF"/>
          <w:lang w:val="en-US" w:eastAsia="zh-CN" w:bidi="ar"/>
        </w:rPr>
      </w:pPr>
      <w:r>
        <w:rPr>
          <w:rFonts w:hint="eastAsia" w:ascii="宋体" w:hAnsi="宋体" w:cs="宋体"/>
          <w:b/>
          <w:bCs/>
          <w:kern w:val="0"/>
          <w:sz w:val="32"/>
          <w:szCs w:val="32"/>
          <w:shd w:val="clear" w:fill="FFFFFF"/>
          <w:lang w:val="en-US" w:eastAsia="zh-CN" w:bidi="ar"/>
        </w:rPr>
        <w:t>5</w:t>
      </w:r>
      <w:r>
        <w:rPr>
          <w:rFonts w:hint="eastAsia" w:ascii="宋体" w:hAnsi="宋体" w:eastAsia="宋体" w:cs="宋体"/>
          <w:b/>
          <w:bCs/>
          <w:kern w:val="0"/>
          <w:sz w:val="32"/>
          <w:szCs w:val="32"/>
          <w:shd w:val="clear" w:fill="FFFFFF"/>
          <w:lang w:val="en-US" w:eastAsia="zh-CN" w:bidi="ar"/>
        </w:rPr>
        <w:t>.住房保障（221）</w:t>
      </w:r>
      <w:r>
        <w:rPr>
          <w:rFonts w:hint="eastAsia" w:ascii="宋体" w:hAnsi="宋体" w:cs="宋体"/>
          <w:b/>
          <w:bCs/>
          <w:kern w:val="0"/>
          <w:sz w:val="32"/>
          <w:szCs w:val="32"/>
          <w:shd w:val="clear" w:fill="FFFFFF"/>
          <w:lang w:val="en-US" w:eastAsia="zh-CN" w:bidi="ar"/>
        </w:rPr>
        <w:t>：</w:t>
      </w:r>
      <w:r>
        <w:rPr>
          <w:rFonts w:hint="eastAsia" w:ascii="宋体" w:hAnsi="宋体" w:eastAsia="宋体" w:cs="宋体"/>
          <w:kern w:val="0"/>
          <w:sz w:val="32"/>
          <w:szCs w:val="32"/>
          <w:shd w:val="clear" w:fill="FFFFFF"/>
          <w:lang w:val="en-US" w:eastAsia="zh-CN" w:bidi="ar"/>
        </w:rPr>
        <w:t>支出</w:t>
      </w:r>
      <w:r>
        <w:rPr>
          <w:rFonts w:hint="eastAsia" w:ascii="宋体" w:hAnsi="宋体" w:cs="宋体"/>
          <w:kern w:val="0"/>
          <w:sz w:val="32"/>
          <w:szCs w:val="32"/>
          <w:shd w:val="clear" w:fill="FFFFFF"/>
          <w:lang w:val="en-US" w:eastAsia="zh-CN" w:bidi="ar"/>
        </w:rPr>
        <w:t>：74.92</w:t>
      </w:r>
      <w:r>
        <w:rPr>
          <w:rFonts w:hint="eastAsia" w:ascii="宋体" w:hAnsi="宋体" w:eastAsia="宋体" w:cs="宋体"/>
          <w:kern w:val="0"/>
          <w:sz w:val="32"/>
          <w:szCs w:val="32"/>
          <w:shd w:val="clear" w:fill="FFFFFF"/>
          <w:lang w:val="en-US" w:eastAsia="zh-CN" w:bidi="ar"/>
        </w:rPr>
        <w:t>万元，完成预算100%。住房公积金（2010201）202</w:t>
      </w:r>
      <w:r>
        <w:rPr>
          <w:rFonts w:hint="eastAsia" w:ascii="宋体" w:hAnsi="宋体" w:cs="宋体"/>
          <w:kern w:val="0"/>
          <w:sz w:val="32"/>
          <w:szCs w:val="32"/>
          <w:shd w:val="clear" w:fill="FFFFFF"/>
          <w:lang w:val="en-US" w:eastAsia="zh-CN" w:bidi="ar"/>
        </w:rPr>
        <w:t>2</w:t>
      </w:r>
      <w:r>
        <w:rPr>
          <w:rFonts w:hint="eastAsia" w:ascii="宋体" w:hAnsi="宋体" w:eastAsia="宋体" w:cs="宋体"/>
          <w:kern w:val="0"/>
          <w:sz w:val="32"/>
          <w:szCs w:val="32"/>
          <w:shd w:val="clear" w:fill="FFFFFF"/>
          <w:lang w:val="en-US" w:eastAsia="zh-CN" w:bidi="ar"/>
        </w:rPr>
        <w:t>年决算数为</w:t>
      </w:r>
      <w:r>
        <w:rPr>
          <w:rFonts w:hint="eastAsia" w:ascii="宋体" w:hAnsi="宋体" w:cs="宋体"/>
          <w:kern w:val="0"/>
          <w:sz w:val="32"/>
          <w:szCs w:val="32"/>
          <w:shd w:val="clear" w:fill="FFFFFF"/>
          <w:lang w:val="en-US" w:eastAsia="zh-CN" w:bidi="ar"/>
        </w:rPr>
        <w:t>74.92</w:t>
      </w:r>
      <w:r>
        <w:rPr>
          <w:rFonts w:hint="eastAsia" w:ascii="宋体" w:hAnsi="宋体" w:eastAsia="宋体" w:cs="宋体"/>
          <w:kern w:val="0"/>
          <w:sz w:val="32"/>
          <w:szCs w:val="32"/>
          <w:shd w:val="clear" w:fill="FFFFFF"/>
          <w:lang w:val="en-US" w:eastAsia="zh-CN" w:bidi="ar"/>
        </w:rPr>
        <w:t>万元</w:t>
      </w:r>
      <w:r>
        <w:rPr>
          <w:rFonts w:hint="eastAsia" w:ascii="宋体" w:hAnsi="宋体" w:cs="宋体"/>
          <w:kern w:val="0"/>
          <w:sz w:val="32"/>
          <w:szCs w:val="32"/>
          <w:shd w:val="clear" w:fill="FFFFFF"/>
          <w:lang w:val="en-US" w:eastAsia="zh-CN" w:bidi="ar"/>
        </w:rPr>
        <w:t>，</w:t>
      </w:r>
      <w:r>
        <w:rPr>
          <w:rFonts w:hint="eastAsia" w:ascii="宋体" w:hAnsi="宋体" w:eastAsia="宋体" w:cs="宋体"/>
          <w:kern w:val="0"/>
          <w:sz w:val="32"/>
          <w:szCs w:val="32"/>
          <w:shd w:val="clear" w:fill="FFFFFF"/>
          <w:lang w:val="en-US" w:eastAsia="zh-CN" w:bidi="ar"/>
        </w:rPr>
        <w:t>完成预算100%。</w:t>
      </w:r>
    </w:p>
    <w:p w14:paraId="1E2E8453">
      <w:pPr>
        <w:tabs>
          <w:tab w:val="right" w:pos="8306"/>
        </w:tabs>
        <w:spacing w:line="600" w:lineRule="exact"/>
        <w:ind w:firstLine="640"/>
        <w:outlineLvl w:val="1"/>
        <w:rPr>
          <w:rFonts w:hint="eastAsia" w:ascii="宋体" w:hAnsi="宋体" w:eastAsia="宋体" w:cs="宋体"/>
          <w:kern w:val="0"/>
          <w:sz w:val="32"/>
          <w:szCs w:val="32"/>
          <w:shd w:val="clear" w:fill="FFFFFF"/>
          <w:lang w:val="en-US" w:eastAsia="zh-CN" w:bidi="ar"/>
        </w:rPr>
      </w:pPr>
      <w:bookmarkStart w:id="53" w:name="_Toc79163868"/>
      <w:bookmarkStart w:id="54" w:name="_Toc79163618"/>
      <w:bookmarkStart w:id="55" w:name="_Toc15396608"/>
      <w:bookmarkStart w:id="56" w:name="_Toc15377214"/>
      <w:r>
        <w:rPr>
          <w:rFonts w:hint="eastAsia" w:ascii="宋体" w:hAnsi="宋体" w:eastAsia="宋体" w:cs="宋体"/>
          <w:b/>
          <w:bCs/>
          <w:kern w:val="0"/>
          <w:sz w:val="32"/>
          <w:szCs w:val="32"/>
          <w:shd w:val="clear" w:fill="FFFFFF"/>
          <w:lang w:val="en-US" w:eastAsia="zh-CN" w:bidi="ar"/>
        </w:rPr>
        <w:t>六、一般公共预算财政拨款基本支出决算情况说明</w:t>
      </w:r>
      <w:bookmarkEnd w:id="53"/>
      <w:bookmarkEnd w:id="54"/>
      <w:bookmarkEnd w:id="55"/>
      <w:bookmarkEnd w:id="56"/>
      <w:r>
        <w:rPr>
          <w:rFonts w:hint="eastAsia" w:ascii="宋体" w:hAnsi="宋体" w:eastAsia="宋体" w:cs="宋体"/>
          <w:kern w:val="0"/>
          <w:sz w:val="32"/>
          <w:szCs w:val="32"/>
          <w:shd w:val="clear" w:fill="FFFFFF"/>
          <w:lang w:val="en-US" w:eastAsia="zh-CN" w:bidi="ar"/>
        </w:rPr>
        <w:tab/>
      </w:r>
    </w:p>
    <w:p w14:paraId="1A958D5E">
      <w:pPr>
        <w:spacing w:line="600" w:lineRule="exact"/>
        <w:ind w:firstLine="645"/>
        <w:rPr>
          <w:rFonts w:hint="eastAsia" w:ascii="宋体" w:hAnsi="宋体" w:eastAsia="宋体" w:cs="宋体"/>
          <w:kern w:val="0"/>
          <w:sz w:val="32"/>
          <w:szCs w:val="32"/>
          <w:shd w:val="clear" w:fill="FFFFFF"/>
          <w:lang w:val="en-US" w:eastAsia="zh-CN" w:bidi="ar"/>
        </w:rPr>
      </w:pPr>
      <w:r>
        <w:rPr>
          <w:rFonts w:hint="eastAsia" w:ascii="宋体" w:hAnsi="宋体" w:eastAsia="宋体" w:cs="宋体"/>
          <w:b/>
          <w:bCs/>
          <w:kern w:val="0"/>
          <w:sz w:val="32"/>
          <w:szCs w:val="32"/>
          <w:shd w:val="clear" w:fill="FFFFFF"/>
          <w:lang w:val="en-US" w:eastAsia="zh-CN" w:bidi="ar"/>
        </w:rPr>
        <w:t>202</w:t>
      </w:r>
      <w:r>
        <w:rPr>
          <w:rFonts w:hint="eastAsia" w:ascii="宋体" w:hAnsi="宋体" w:cs="宋体"/>
          <w:b/>
          <w:bCs/>
          <w:kern w:val="0"/>
          <w:sz w:val="32"/>
          <w:szCs w:val="32"/>
          <w:shd w:val="clear" w:fill="FFFFFF"/>
          <w:lang w:val="en-US" w:eastAsia="zh-CN" w:bidi="ar"/>
        </w:rPr>
        <w:t>2</w:t>
      </w:r>
      <w:r>
        <w:rPr>
          <w:rFonts w:hint="eastAsia" w:ascii="宋体" w:hAnsi="宋体" w:eastAsia="宋体" w:cs="宋体"/>
          <w:b/>
          <w:bCs/>
          <w:kern w:val="0"/>
          <w:sz w:val="32"/>
          <w:szCs w:val="32"/>
          <w:shd w:val="clear" w:fill="FFFFFF"/>
          <w:lang w:val="en-US" w:eastAsia="zh-CN" w:bidi="ar"/>
        </w:rPr>
        <w:t>年一般公共预算财政拨款基本支出</w:t>
      </w:r>
      <w:r>
        <w:rPr>
          <w:rFonts w:hint="eastAsia" w:ascii="宋体" w:hAnsi="宋体" w:eastAsia="宋体" w:cs="宋体"/>
          <w:b/>
          <w:bCs/>
          <w:kern w:val="0"/>
          <w:sz w:val="32"/>
          <w:szCs w:val="32"/>
          <w:shd w:val="clear" w:fill="FFFFFF"/>
        </w:rPr>
        <w:t>1,125.76</w:t>
      </w:r>
      <w:r>
        <w:rPr>
          <w:rFonts w:hint="eastAsia" w:ascii="宋体" w:hAnsi="宋体" w:eastAsia="宋体" w:cs="宋体"/>
          <w:b/>
          <w:bCs/>
          <w:kern w:val="0"/>
          <w:sz w:val="32"/>
          <w:szCs w:val="32"/>
          <w:shd w:val="clear" w:fill="FFFFFF"/>
          <w:lang w:val="en-US" w:eastAsia="zh-CN" w:bidi="ar"/>
        </w:rPr>
        <w:t>万元，其中：</w:t>
      </w:r>
    </w:p>
    <w:p w14:paraId="24A8A5A7">
      <w:pPr>
        <w:pStyle w:val="42"/>
        <w:keepNext w:val="0"/>
        <w:keepLines w:val="0"/>
        <w:widowControl/>
        <w:suppressLineNumbers w:val="0"/>
        <w:spacing w:before="0" w:beforeAutospacing="0"/>
        <w:ind w:left="0" w:firstLine="640" w:firstLineChars="200"/>
        <w:jc w:val="left"/>
        <w:rPr>
          <w:rFonts w:hint="eastAsia" w:ascii="宋体" w:hAnsi="宋体" w:eastAsia="宋体" w:cs="宋体"/>
          <w:kern w:val="0"/>
          <w:sz w:val="32"/>
          <w:szCs w:val="32"/>
          <w:shd w:val="clear" w:fill="FFFFFF"/>
          <w:lang w:val="en-US" w:eastAsia="zh-CN" w:bidi="ar"/>
        </w:rPr>
      </w:pPr>
      <w:r>
        <w:rPr>
          <w:rFonts w:hint="eastAsia" w:ascii="宋体" w:hAnsi="宋体" w:eastAsia="宋体" w:cs="宋体"/>
          <w:kern w:val="0"/>
          <w:sz w:val="32"/>
          <w:szCs w:val="32"/>
          <w:shd w:val="clear" w:fill="FFFFFF"/>
          <w:lang w:val="en-US" w:eastAsia="zh-CN" w:bidi="ar"/>
        </w:rPr>
        <w:t>人员经费1,081.43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p>
    <w:p w14:paraId="7899002A">
      <w:pPr>
        <w:pStyle w:val="42"/>
        <w:keepNext w:val="0"/>
        <w:keepLines w:val="0"/>
        <w:widowControl/>
        <w:suppressLineNumbers w:val="0"/>
        <w:spacing w:before="0" w:beforeAutospacing="0"/>
        <w:ind w:left="0"/>
        <w:jc w:val="left"/>
        <w:rPr>
          <w:rFonts w:hint="eastAsia" w:ascii="宋体" w:hAnsi="宋体" w:eastAsia="宋体" w:cs="宋体"/>
          <w:kern w:val="0"/>
          <w:sz w:val="32"/>
          <w:szCs w:val="32"/>
          <w:shd w:val="clear" w:fill="FFFFFF"/>
          <w:lang w:val="en-US" w:eastAsia="zh-CN" w:bidi="ar"/>
        </w:rPr>
      </w:pPr>
      <w:r>
        <w:rPr>
          <w:rFonts w:hint="eastAsia" w:ascii="宋体" w:hAnsi="宋体" w:eastAsia="宋体" w:cs="宋体"/>
          <w:kern w:val="0"/>
          <w:sz w:val="32"/>
          <w:szCs w:val="32"/>
          <w:shd w:val="clear" w:fill="FFFFFF"/>
          <w:lang w:val="en-US" w:eastAsia="zh-CN" w:bidi="ar"/>
        </w:rPr>
        <w:t xml:space="preserve">  公用经费44.33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4F692D03">
      <w:pPr>
        <w:spacing w:line="600" w:lineRule="exact"/>
        <w:ind w:firstLine="640"/>
        <w:outlineLvl w:val="1"/>
        <w:rPr>
          <w:rFonts w:hint="eastAsia" w:ascii="宋体" w:hAnsi="宋体" w:eastAsia="宋体" w:cs="宋体"/>
          <w:kern w:val="0"/>
          <w:sz w:val="32"/>
          <w:szCs w:val="32"/>
          <w:shd w:val="clear" w:fill="FFFFFF"/>
          <w:lang w:val="en-US" w:eastAsia="zh-CN" w:bidi="ar"/>
        </w:rPr>
      </w:pPr>
      <w:bookmarkStart w:id="57" w:name="_Toc15396609"/>
      <w:bookmarkStart w:id="58" w:name="_Toc15377215"/>
      <w:bookmarkStart w:id="59" w:name="_Toc79163619"/>
      <w:bookmarkStart w:id="60" w:name="_Toc79163869"/>
      <w:r>
        <w:rPr>
          <w:rFonts w:hint="eastAsia" w:ascii="宋体" w:hAnsi="宋体" w:eastAsia="宋体" w:cs="宋体"/>
          <w:b/>
          <w:bCs/>
          <w:kern w:val="0"/>
          <w:sz w:val="32"/>
          <w:szCs w:val="32"/>
          <w:shd w:val="clear" w:fill="FFFFFF"/>
          <w:lang w:val="en-US" w:eastAsia="zh-CN" w:bidi="ar"/>
        </w:rPr>
        <w:t>七、“三公”经费财政拨款支出决算情况说明</w:t>
      </w:r>
      <w:bookmarkEnd w:id="57"/>
      <w:bookmarkEnd w:id="58"/>
      <w:bookmarkEnd w:id="59"/>
      <w:bookmarkEnd w:id="60"/>
    </w:p>
    <w:p w14:paraId="2D11C672">
      <w:pPr>
        <w:spacing w:line="600" w:lineRule="exact"/>
        <w:ind w:firstLine="640"/>
        <w:outlineLvl w:val="2"/>
        <w:rPr>
          <w:rFonts w:hint="eastAsia" w:ascii="宋体" w:hAnsi="宋体" w:eastAsia="宋体" w:cs="宋体"/>
          <w:b/>
          <w:bCs/>
          <w:kern w:val="0"/>
          <w:sz w:val="32"/>
          <w:szCs w:val="32"/>
          <w:shd w:val="clear" w:fill="FFFFFF"/>
          <w:lang w:val="en-US" w:eastAsia="zh-CN" w:bidi="ar"/>
        </w:rPr>
      </w:pPr>
      <w:bookmarkStart w:id="61" w:name="_Toc15377216"/>
      <w:bookmarkStart w:id="62" w:name="_Toc79163870"/>
      <w:bookmarkStart w:id="63" w:name="_Toc79163620"/>
      <w:r>
        <w:rPr>
          <w:rFonts w:hint="eastAsia" w:ascii="宋体" w:hAnsi="宋体" w:eastAsia="宋体" w:cs="宋体"/>
          <w:b/>
          <w:bCs/>
          <w:kern w:val="0"/>
          <w:sz w:val="32"/>
          <w:szCs w:val="32"/>
          <w:shd w:val="clear" w:fill="FFFFFF"/>
          <w:lang w:val="en-US" w:eastAsia="zh-CN" w:bidi="ar"/>
        </w:rPr>
        <w:t>（一）“三公”经费财政拨款支出决算总体情况说明</w:t>
      </w:r>
      <w:bookmarkEnd w:id="61"/>
      <w:bookmarkEnd w:id="62"/>
      <w:bookmarkEnd w:id="63"/>
    </w:p>
    <w:p w14:paraId="79ECEB85">
      <w:pPr>
        <w:pStyle w:val="42"/>
        <w:keepNext w:val="0"/>
        <w:keepLines w:val="0"/>
        <w:widowControl/>
        <w:suppressLineNumbers w:val="0"/>
        <w:spacing w:before="0" w:beforeAutospacing="0"/>
        <w:ind w:left="0" w:firstLine="640" w:firstLineChars="200"/>
        <w:jc w:val="left"/>
        <w:rPr>
          <w:rFonts w:hint="eastAsia" w:ascii="宋体" w:hAnsi="宋体" w:eastAsia="宋体" w:cs="宋体"/>
          <w:kern w:val="0"/>
          <w:sz w:val="32"/>
          <w:szCs w:val="32"/>
        </w:rPr>
      </w:pPr>
      <w:r>
        <w:rPr>
          <w:rFonts w:hint="eastAsia" w:ascii="宋体" w:hAnsi="宋体" w:eastAsia="宋体" w:cs="宋体"/>
          <w:kern w:val="0"/>
          <w:sz w:val="32"/>
          <w:szCs w:val="32"/>
          <w:shd w:val="clear" w:fill="FFFFFF"/>
          <w:lang w:val="en-US" w:eastAsia="zh-CN" w:bidi="ar"/>
        </w:rPr>
        <w:t>2022年“三公”经费财政拨款支出决算为11.95万元，完成预算100.00%。</w:t>
      </w:r>
    </w:p>
    <w:p w14:paraId="496D9A15">
      <w:pPr>
        <w:pStyle w:val="42"/>
        <w:keepNext w:val="0"/>
        <w:keepLines w:val="0"/>
        <w:widowControl/>
        <w:suppressLineNumbers w:val="0"/>
        <w:spacing w:before="0" w:beforeAutospacing="0"/>
        <w:ind w:left="0"/>
        <w:jc w:val="left"/>
        <w:rPr>
          <w:rFonts w:hint="eastAsia" w:ascii="宋体" w:hAnsi="宋体" w:eastAsia="宋体" w:cs="宋体"/>
          <w:kern w:val="0"/>
          <w:sz w:val="32"/>
          <w:szCs w:val="32"/>
          <w:shd w:val="clear" w:fill="FFFFFF"/>
          <w:lang w:val="en-US" w:eastAsia="zh-CN" w:bidi="ar"/>
        </w:rPr>
      </w:pPr>
      <w:r>
        <w:rPr>
          <w:rStyle w:val="43"/>
          <w:rFonts w:hint="eastAsia" w:ascii="宋体" w:hAnsi="宋体" w:eastAsia="宋体" w:cs="宋体"/>
          <w:b/>
          <w:bCs w:val="0"/>
          <w:sz w:val="32"/>
          <w:szCs w:val="32"/>
          <w:shd w:val="clear" w:fill="FFFFFF"/>
        </w:rPr>
        <w:t>（注：上述“预算”口径为全年预算数，包括一般公共预算和政府性基金预算财政拨款支出决算情况。）</w:t>
      </w:r>
    </w:p>
    <w:p w14:paraId="2337F301">
      <w:pPr>
        <w:spacing w:line="600" w:lineRule="exact"/>
        <w:ind w:firstLine="640"/>
        <w:outlineLvl w:val="2"/>
        <w:rPr>
          <w:rFonts w:hint="eastAsia" w:ascii="宋体" w:hAnsi="宋体" w:eastAsia="宋体" w:cs="宋体"/>
          <w:kern w:val="0"/>
          <w:sz w:val="32"/>
          <w:szCs w:val="32"/>
          <w:shd w:val="clear" w:fill="FFFFFF"/>
          <w:lang w:val="en-US" w:eastAsia="zh-CN" w:bidi="ar"/>
        </w:rPr>
      </w:pPr>
      <w:bookmarkStart w:id="64" w:name="_Toc79163871"/>
      <w:bookmarkStart w:id="65" w:name="_Toc79163621"/>
      <w:bookmarkStart w:id="66" w:name="_Toc15377217"/>
      <w:r>
        <w:rPr>
          <w:rFonts w:hint="eastAsia" w:ascii="宋体" w:hAnsi="宋体" w:eastAsia="宋体" w:cs="宋体"/>
          <w:kern w:val="0"/>
          <w:sz w:val="32"/>
          <w:szCs w:val="32"/>
          <w:shd w:val="clear" w:fill="FFFFFF"/>
          <w:lang w:val="en-US" w:eastAsia="zh-CN" w:bidi="ar"/>
        </w:rPr>
        <w:t>（二）“三公”经费财政拨款支出决算具体情况说明</w:t>
      </w:r>
      <w:bookmarkEnd w:id="64"/>
      <w:bookmarkEnd w:id="65"/>
      <w:bookmarkEnd w:id="66"/>
    </w:p>
    <w:p w14:paraId="7D4F9C44">
      <w:pPr>
        <w:spacing w:line="600" w:lineRule="exact"/>
        <w:ind w:firstLine="640"/>
        <w:rPr>
          <w:rFonts w:hint="eastAsia" w:ascii="宋体" w:hAnsi="宋体" w:eastAsia="宋体" w:cs="宋体"/>
          <w:kern w:val="0"/>
          <w:sz w:val="32"/>
          <w:szCs w:val="32"/>
          <w:shd w:val="clear" w:fill="FFFFFF"/>
          <w:lang w:val="en-US" w:eastAsia="zh-CN" w:bidi="ar"/>
        </w:rPr>
      </w:pPr>
      <w:r>
        <w:rPr>
          <w:rFonts w:hint="eastAsia" w:ascii="宋体" w:hAnsi="宋体" w:eastAsia="宋体" w:cs="宋体"/>
          <w:kern w:val="0"/>
          <w:sz w:val="32"/>
          <w:szCs w:val="32"/>
          <w:shd w:val="clear" w:fill="FFFFFF"/>
        </w:rPr>
        <w:t>2022年“三公”经费财政拨款支出决算中，因公出国（境）费支出决算0.00万元，占0.00%；公务用车购置及运行维护费支出决算11.95万元，占100.00%；公务接待费支出决算0.00万元，占0.00%。具体情况如下：</w:t>
      </w:r>
    </w:p>
    <w:p w14:paraId="10E72C22">
      <w:pPr>
        <w:pStyle w:val="18"/>
        <w:ind w:left="0" w:leftChars="0" w:firstLine="0" w:firstLineChars="0"/>
        <w:rPr>
          <w:rFonts w:hint="eastAsia" w:ascii="宋体" w:hAnsi="宋体" w:eastAsia="宋体" w:cs="宋体"/>
          <w:kern w:val="0"/>
          <w:sz w:val="32"/>
          <w:szCs w:val="32"/>
          <w:shd w:val="clear" w:fill="FFFFFF"/>
          <w:lang w:val="en-US" w:eastAsia="zh-CN" w:bidi="ar"/>
        </w:rPr>
      </w:pPr>
      <w:r>
        <w:rPr>
          <w:rFonts w:hint="eastAsia" w:ascii="宋体" w:hAnsi="宋体" w:eastAsia="宋体" w:cs="宋体"/>
          <w:kern w:val="0"/>
          <w:sz w:val="32"/>
          <w:szCs w:val="32"/>
          <w:shd w:val="clear" w:fill="FFFFFF"/>
          <w:lang w:val="en-US" w:eastAsia="zh-CN" w:bidi="ar"/>
        </w:rPr>
        <w:drawing>
          <wp:anchor distT="0" distB="0" distL="114300" distR="114300" simplePos="0" relativeHeight="251665408" behindDoc="1" locked="0" layoutInCell="1" allowOverlap="1">
            <wp:simplePos x="0" y="0"/>
            <wp:positionH relativeFrom="column">
              <wp:posOffset>1090295</wp:posOffset>
            </wp:positionH>
            <wp:positionV relativeFrom="paragraph">
              <wp:posOffset>85725</wp:posOffset>
            </wp:positionV>
            <wp:extent cx="3366135" cy="2038985"/>
            <wp:effectExtent l="4445" t="4445" r="20320" b="71120"/>
            <wp:wrapTight wrapText="bothSides">
              <wp:wrapPolygon>
                <wp:start x="-29" y="-47"/>
                <wp:lineTo x="-29" y="21546"/>
                <wp:lineTo x="21486" y="21546"/>
                <wp:lineTo x="21486" y="-47"/>
                <wp:lineTo x="-29" y="-47"/>
              </wp:wrapPolygon>
            </wp:wrapTight>
            <wp:docPr id="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14:paraId="4F135412">
      <w:pPr>
        <w:rPr>
          <w:rFonts w:hint="eastAsia" w:ascii="宋体" w:hAnsi="宋体" w:eastAsia="宋体" w:cs="宋体"/>
          <w:kern w:val="0"/>
          <w:sz w:val="32"/>
          <w:szCs w:val="32"/>
          <w:shd w:val="clear" w:fill="FFFFFF"/>
          <w:lang w:val="en-US" w:eastAsia="zh-CN" w:bidi="ar"/>
        </w:rPr>
      </w:pPr>
    </w:p>
    <w:p w14:paraId="407F6959">
      <w:pPr>
        <w:pStyle w:val="18"/>
        <w:rPr>
          <w:rFonts w:hint="eastAsia" w:ascii="宋体" w:hAnsi="宋体" w:eastAsia="宋体" w:cs="宋体"/>
          <w:kern w:val="0"/>
          <w:sz w:val="32"/>
          <w:szCs w:val="32"/>
          <w:shd w:val="clear" w:fill="FFFFFF"/>
          <w:lang w:val="en-US" w:eastAsia="zh-CN" w:bidi="ar"/>
        </w:rPr>
      </w:pPr>
    </w:p>
    <w:p w14:paraId="6E0AC5EB">
      <w:pPr>
        <w:rPr>
          <w:rFonts w:hint="eastAsia" w:ascii="宋体" w:hAnsi="宋体" w:eastAsia="宋体" w:cs="宋体"/>
          <w:kern w:val="0"/>
          <w:sz w:val="32"/>
          <w:szCs w:val="32"/>
          <w:shd w:val="clear" w:fill="FFFFFF"/>
          <w:lang w:val="en-US" w:eastAsia="zh-CN" w:bidi="ar"/>
        </w:rPr>
      </w:pPr>
    </w:p>
    <w:p w14:paraId="030E8ABB">
      <w:pPr>
        <w:pStyle w:val="18"/>
        <w:rPr>
          <w:rFonts w:hint="eastAsia" w:ascii="宋体" w:hAnsi="宋体" w:eastAsia="宋体" w:cs="宋体"/>
          <w:kern w:val="0"/>
          <w:sz w:val="32"/>
          <w:szCs w:val="32"/>
          <w:shd w:val="clear" w:fill="FFFFFF"/>
          <w:lang w:val="en-US" w:eastAsia="zh-CN" w:bidi="ar"/>
        </w:rPr>
      </w:pPr>
    </w:p>
    <w:p w14:paraId="26D5CBF8">
      <w:pPr>
        <w:spacing w:line="600" w:lineRule="exact"/>
        <w:rPr>
          <w:rFonts w:hint="eastAsia" w:ascii="宋体" w:hAnsi="宋体" w:eastAsia="宋体" w:cs="宋体"/>
          <w:kern w:val="0"/>
          <w:sz w:val="32"/>
          <w:szCs w:val="32"/>
          <w:shd w:val="clear" w:fill="FFFFFF"/>
          <w:lang w:val="en-US" w:eastAsia="zh-CN" w:bidi="ar"/>
        </w:rPr>
      </w:pPr>
    </w:p>
    <w:p w14:paraId="2D8E47EE">
      <w:pPr>
        <w:spacing w:line="600" w:lineRule="exact"/>
        <w:ind w:firstLine="320" w:firstLineChars="100"/>
        <w:rPr>
          <w:rFonts w:hint="eastAsia" w:ascii="宋体" w:hAnsi="宋体" w:eastAsia="宋体" w:cs="宋体"/>
          <w:kern w:val="0"/>
          <w:sz w:val="32"/>
          <w:szCs w:val="32"/>
          <w:shd w:val="clear" w:fill="FFFFFF"/>
          <w:lang w:val="en-US" w:eastAsia="zh-CN" w:bidi="ar"/>
        </w:rPr>
      </w:pPr>
      <w:r>
        <w:rPr>
          <w:rFonts w:hint="eastAsia" w:ascii="宋体" w:hAnsi="宋体" w:eastAsia="宋体" w:cs="宋体"/>
          <w:kern w:val="0"/>
          <w:sz w:val="32"/>
          <w:szCs w:val="32"/>
          <w:shd w:val="clear" w:fill="FFFFFF"/>
          <w:lang w:val="en-US" w:eastAsia="zh-CN" w:bidi="ar"/>
        </w:rPr>
        <w:t>（图7：“三公”经费财政拨款支出结构）（饼状图）</w:t>
      </w:r>
    </w:p>
    <w:p w14:paraId="6D0BDDA9">
      <w:pPr>
        <w:spacing w:line="600" w:lineRule="exact"/>
        <w:ind w:firstLine="640"/>
        <w:rPr>
          <w:rFonts w:hint="eastAsia" w:ascii="宋体" w:hAnsi="宋体" w:eastAsia="宋体" w:cs="宋体"/>
          <w:kern w:val="0"/>
          <w:sz w:val="32"/>
          <w:szCs w:val="32"/>
          <w:shd w:val="clear" w:fill="FFFFFF"/>
          <w:lang w:val="en-US" w:eastAsia="zh-CN" w:bidi="ar"/>
        </w:rPr>
      </w:pPr>
      <w:r>
        <w:rPr>
          <w:rFonts w:hint="eastAsia" w:ascii="宋体" w:hAnsi="宋体" w:eastAsia="宋体" w:cs="宋体"/>
          <w:kern w:val="0"/>
          <w:sz w:val="32"/>
          <w:szCs w:val="32"/>
          <w:shd w:val="clear" w:fill="FFFFFF"/>
          <w:lang w:val="en-US" w:eastAsia="zh-CN" w:bidi="ar"/>
        </w:rPr>
        <w:t>1.因公出国（境）经费支出0万元。</w:t>
      </w:r>
    </w:p>
    <w:p w14:paraId="61C37D1A">
      <w:pPr>
        <w:spacing w:line="600" w:lineRule="exact"/>
        <w:ind w:firstLine="640"/>
        <w:rPr>
          <w:rFonts w:hint="eastAsia" w:ascii="宋体" w:hAnsi="宋体" w:eastAsia="宋体" w:cs="宋体"/>
          <w:kern w:val="0"/>
          <w:sz w:val="32"/>
          <w:szCs w:val="32"/>
          <w:shd w:val="clear" w:fill="FFFFFF"/>
          <w:lang w:val="en-US" w:eastAsia="zh-CN" w:bidi="ar"/>
        </w:rPr>
      </w:pPr>
      <w:r>
        <w:rPr>
          <w:rFonts w:hint="eastAsia" w:ascii="宋体" w:hAnsi="宋体" w:eastAsia="宋体" w:cs="宋体"/>
          <w:kern w:val="0"/>
          <w:sz w:val="32"/>
          <w:szCs w:val="32"/>
          <w:shd w:val="clear" w:fill="FFFFFF"/>
          <w:lang w:val="en-US" w:eastAsia="zh-CN" w:bidi="ar"/>
        </w:rPr>
        <w:t>2.公务用车购置及运行维护费支出</w:t>
      </w:r>
      <w:r>
        <w:rPr>
          <w:rFonts w:hint="eastAsia" w:ascii="宋体" w:hAnsi="宋体" w:cs="宋体"/>
          <w:kern w:val="0"/>
          <w:sz w:val="32"/>
          <w:szCs w:val="32"/>
          <w:shd w:val="clear" w:fill="FFFFFF"/>
          <w:lang w:val="en-US" w:eastAsia="zh-CN" w:bidi="ar"/>
        </w:rPr>
        <w:t>11.95</w:t>
      </w:r>
      <w:r>
        <w:rPr>
          <w:rFonts w:hint="eastAsia" w:ascii="宋体" w:hAnsi="宋体" w:eastAsia="宋体" w:cs="宋体"/>
          <w:kern w:val="0"/>
          <w:sz w:val="32"/>
          <w:szCs w:val="32"/>
          <w:shd w:val="clear" w:fill="FFFFFF"/>
          <w:lang w:val="en-US" w:eastAsia="zh-CN" w:bidi="ar"/>
        </w:rPr>
        <w:t>万元</w:t>
      </w:r>
      <w:r>
        <w:rPr>
          <w:rFonts w:hint="eastAsia" w:ascii="宋体" w:hAnsi="宋体" w:cs="宋体"/>
          <w:kern w:val="0"/>
          <w:sz w:val="32"/>
          <w:szCs w:val="32"/>
          <w:shd w:val="clear" w:fill="FFFFFF"/>
          <w:lang w:val="en-US" w:eastAsia="zh-CN" w:bidi="ar"/>
        </w:rPr>
        <w:t>，</w:t>
      </w:r>
      <w:r>
        <w:rPr>
          <w:rFonts w:hint="eastAsia" w:ascii="宋体" w:hAnsi="宋体" w:eastAsia="宋体" w:cs="宋体"/>
          <w:kern w:val="0"/>
          <w:sz w:val="32"/>
          <w:szCs w:val="32"/>
          <w:shd w:val="clear" w:fill="FFFFFF"/>
          <w:lang w:val="en-US" w:eastAsia="zh-CN" w:bidi="ar"/>
        </w:rPr>
        <w:t>完成预算100%。公务用车购置及运行维护费支出决算比202</w:t>
      </w:r>
      <w:r>
        <w:rPr>
          <w:rFonts w:hint="eastAsia" w:ascii="宋体" w:hAnsi="宋体" w:cs="宋体"/>
          <w:kern w:val="0"/>
          <w:sz w:val="32"/>
          <w:szCs w:val="32"/>
          <w:shd w:val="clear" w:fill="FFFFFF"/>
          <w:lang w:val="en-US" w:eastAsia="zh-CN" w:bidi="ar"/>
        </w:rPr>
        <w:t>1</w:t>
      </w:r>
      <w:r>
        <w:rPr>
          <w:rFonts w:hint="eastAsia" w:ascii="宋体" w:hAnsi="宋体" w:eastAsia="宋体" w:cs="宋体"/>
          <w:kern w:val="0"/>
          <w:sz w:val="32"/>
          <w:szCs w:val="32"/>
          <w:shd w:val="clear" w:fill="FFFFFF"/>
          <w:lang w:val="en-US" w:eastAsia="zh-CN" w:bidi="ar"/>
        </w:rPr>
        <w:t>年减少</w:t>
      </w:r>
      <w:r>
        <w:rPr>
          <w:rFonts w:hint="eastAsia" w:ascii="宋体" w:hAnsi="宋体" w:cs="宋体"/>
          <w:kern w:val="0"/>
          <w:sz w:val="32"/>
          <w:szCs w:val="32"/>
          <w:shd w:val="clear" w:fill="FFFFFF"/>
          <w:lang w:val="en-US" w:eastAsia="zh-CN" w:bidi="ar"/>
        </w:rPr>
        <w:t>23.69</w:t>
      </w:r>
      <w:r>
        <w:rPr>
          <w:rFonts w:hint="eastAsia" w:ascii="宋体" w:hAnsi="宋体" w:eastAsia="宋体" w:cs="宋体"/>
          <w:kern w:val="0"/>
          <w:sz w:val="32"/>
          <w:szCs w:val="32"/>
          <w:shd w:val="clear" w:fill="FFFFFF"/>
          <w:lang w:val="en-US" w:eastAsia="zh-CN" w:bidi="ar"/>
        </w:rPr>
        <w:t>万元，下降</w:t>
      </w:r>
      <w:r>
        <w:rPr>
          <w:rFonts w:hint="eastAsia" w:ascii="宋体" w:hAnsi="宋体" w:cs="宋体"/>
          <w:kern w:val="0"/>
          <w:sz w:val="32"/>
          <w:szCs w:val="32"/>
          <w:shd w:val="clear" w:fill="FFFFFF"/>
          <w:lang w:val="en-US" w:eastAsia="zh-CN" w:bidi="ar"/>
        </w:rPr>
        <w:t>66.47</w:t>
      </w:r>
      <w:r>
        <w:rPr>
          <w:rFonts w:hint="eastAsia" w:ascii="宋体" w:hAnsi="宋体" w:eastAsia="宋体" w:cs="宋体"/>
          <w:kern w:val="0"/>
          <w:sz w:val="32"/>
          <w:szCs w:val="32"/>
          <w:shd w:val="clear" w:fill="FFFFFF"/>
          <w:lang w:val="en-US" w:eastAsia="zh-CN" w:bidi="ar"/>
        </w:rPr>
        <w:t>%。主要原因</w:t>
      </w:r>
      <w:r>
        <w:rPr>
          <w:rFonts w:hint="eastAsia" w:ascii="宋体" w:hAnsi="宋体" w:cs="宋体"/>
          <w:kern w:val="0"/>
          <w:sz w:val="32"/>
          <w:szCs w:val="32"/>
          <w:shd w:val="clear" w:fill="FFFFFF"/>
          <w:lang w:val="en-US" w:eastAsia="zh-CN" w:bidi="ar"/>
        </w:rPr>
        <w:t>是</w:t>
      </w:r>
      <w:r>
        <w:rPr>
          <w:rFonts w:hint="eastAsia" w:ascii="宋体" w:hAnsi="宋体" w:eastAsia="宋体" w:cs="宋体"/>
          <w:kern w:val="0"/>
          <w:sz w:val="32"/>
          <w:szCs w:val="32"/>
          <w:shd w:val="clear" w:fill="FFFFFF"/>
          <w:lang w:val="en-US" w:eastAsia="zh-CN" w:bidi="ar"/>
        </w:rPr>
        <w:t>本着严格执行厉行节约的要求，认真贯彻落实中央八项规定及省委省政府十项规定要求，严格控制支出。</w:t>
      </w:r>
    </w:p>
    <w:p w14:paraId="27A84964">
      <w:pPr>
        <w:spacing w:line="600" w:lineRule="exact"/>
        <w:ind w:firstLine="640" w:firstLineChars="200"/>
        <w:rPr>
          <w:rFonts w:hint="eastAsia" w:ascii="宋体" w:hAnsi="宋体" w:eastAsia="宋体" w:cs="宋体"/>
          <w:kern w:val="0"/>
          <w:sz w:val="32"/>
          <w:szCs w:val="32"/>
          <w:shd w:val="clear" w:fill="FFFFFF"/>
          <w:lang w:val="en-US" w:eastAsia="zh-CN" w:bidi="ar"/>
        </w:rPr>
      </w:pPr>
      <w:r>
        <w:rPr>
          <w:rFonts w:hint="eastAsia" w:ascii="宋体" w:hAnsi="宋体" w:eastAsia="宋体" w:cs="宋体"/>
          <w:kern w:val="0"/>
          <w:sz w:val="32"/>
          <w:szCs w:val="32"/>
          <w:shd w:val="clear" w:fill="FFFFFF"/>
          <w:lang w:val="en-US" w:eastAsia="zh-CN" w:bidi="ar"/>
        </w:rPr>
        <w:t>其中：公务用车购置支出0万元。</w:t>
      </w:r>
    </w:p>
    <w:p w14:paraId="7D3BF5C0">
      <w:pPr>
        <w:spacing w:line="600" w:lineRule="exact"/>
        <w:ind w:firstLine="640"/>
        <w:rPr>
          <w:rFonts w:hint="eastAsia" w:ascii="宋体" w:hAnsi="宋体" w:eastAsia="宋体" w:cs="宋体"/>
          <w:kern w:val="0"/>
          <w:sz w:val="32"/>
          <w:szCs w:val="32"/>
          <w:shd w:val="clear" w:fill="FFFFFF"/>
          <w:lang w:val="en-US" w:eastAsia="zh-CN" w:bidi="ar"/>
        </w:rPr>
      </w:pPr>
      <w:r>
        <w:rPr>
          <w:rFonts w:hint="eastAsia" w:ascii="宋体" w:hAnsi="宋体" w:eastAsia="宋体" w:cs="宋体"/>
          <w:kern w:val="0"/>
          <w:sz w:val="32"/>
          <w:szCs w:val="32"/>
          <w:shd w:val="clear" w:fill="FFFFFF"/>
          <w:lang w:val="en-US" w:eastAsia="zh-CN" w:bidi="ar"/>
        </w:rPr>
        <w:t>公务用车运行维护费支出</w:t>
      </w:r>
      <w:r>
        <w:rPr>
          <w:rFonts w:hint="eastAsia" w:ascii="宋体" w:hAnsi="宋体" w:cs="宋体"/>
          <w:kern w:val="0"/>
          <w:sz w:val="32"/>
          <w:szCs w:val="32"/>
          <w:shd w:val="clear" w:fill="FFFFFF"/>
          <w:lang w:val="en-US" w:eastAsia="zh-CN" w:bidi="ar"/>
        </w:rPr>
        <w:t>11.95</w:t>
      </w:r>
      <w:r>
        <w:rPr>
          <w:rFonts w:hint="eastAsia" w:ascii="宋体" w:hAnsi="宋体" w:eastAsia="宋体" w:cs="宋体"/>
          <w:kern w:val="0"/>
          <w:sz w:val="32"/>
          <w:szCs w:val="32"/>
          <w:shd w:val="clear" w:fill="FFFFFF"/>
          <w:lang w:val="en-US" w:eastAsia="zh-CN" w:bidi="ar"/>
        </w:rPr>
        <w:t>万元。主要用于下村、上县、出差等所需的公务用车燃料费、维修费、过路过桥费、保险费等支出。</w:t>
      </w:r>
    </w:p>
    <w:p w14:paraId="65FB7FB9">
      <w:pPr>
        <w:spacing w:line="600" w:lineRule="exact"/>
        <w:ind w:firstLine="640" w:firstLineChars="200"/>
        <w:rPr>
          <w:rFonts w:hint="eastAsia" w:ascii="宋体" w:hAnsi="宋体" w:eastAsia="宋体" w:cs="宋体"/>
          <w:kern w:val="0"/>
          <w:sz w:val="32"/>
          <w:szCs w:val="32"/>
          <w:shd w:val="clear" w:fill="FFFFFF"/>
          <w:lang w:val="en-US" w:eastAsia="zh-CN" w:bidi="ar"/>
        </w:rPr>
      </w:pPr>
      <w:r>
        <w:rPr>
          <w:rFonts w:hint="eastAsia" w:ascii="宋体" w:hAnsi="宋体" w:eastAsia="宋体" w:cs="宋体"/>
          <w:kern w:val="0"/>
          <w:sz w:val="32"/>
          <w:szCs w:val="32"/>
          <w:shd w:val="clear" w:fill="FFFFFF"/>
          <w:lang w:val="en-US" w:eastAsia="zh-CN" w:bidi="ar"/>
        </w:rPr>
        <w:t>3.公务接待费支出</w:t>
      </w:r>
      <w:r>
        <w:rPr>
          <w:rFonts w:hint="eastAsia" w:ascii="宋体" w:hAnsi="宋体" w:cs="宋体"/>
          <w:kern w:val="0"/>
          <w:sz w:val="32"/>
          <w:szCs w:val="32"/>
          <w:shd w:val="clear" w:fill="FFFFFF"/>
          <w:lang w:val="en-US" w:eastAsia="zh-CN" w:bidi="ar"/>
        </w:rPr>
        <w:t>0</w:t>
      </w:r>
      <w:r>
        <w:rPr>
          <w:rFonts w:hint="eastAsia" w:ascii="宋体" w:hAnsi="宋体" w:eastAsia="宋体" w:cs="宋体"/>
          <w:kern w:val="0"/>
          <w:sz w:val="32"/>
          <w:szCs w:val="32"/>
          <w:shd w:val="clear" w:fill="FFFFFF"/>
          <w:lang w:val="en-US" w:eastAsia="zh-CN" w:bidi="ar"/>
        </w:rPr>
        <w:t>万元</w:t>
      </w:r>
      <w:r>
        <w:rPr>
          <w:rFonts w:hint="eastAsia" w:ascii="宋体" w:hAnsi="宋体" w:cs="宋体"/>
          <w:kern w:val="0"/>
          <w:sz w:val="32"/>
          <w:szCs w:val="32"/>
          <w:shd w:val="clear" w:fill="FFFFFF"/>
          <w:lang w:val="en-US" w:eastAsia="zh-CN" w:bidi="ar"/>
        </w:rPr>
        <w:t>。</w:t>
      </w:r>
    </w:p>
    <w:p w14:paraId="610385E0">
      <w:pPr>
        <w:spacing w:line="600" w:lineRule="exact"/>
        <w:ind w:firstLine="640"/>
        <w:outlineLvl w:val="1"/>
        <w:rPr>
          <w:rFonts w:hint="eastAsia" w:ascii="宋体" w:hAnsi="宋体" w:eastAsia="宋体" w:cs="宋体"/>
          <w:b/>
          <w:bCs/>
          <w:kern w:val="0"/>
          <w:sz w:val="32"/>
          <w:szCs w:val="32"/>
          <w:shd w:val="clear" w:fill="FFFFFF"/>
          <w:lang w:val="en-US" w:eastAsia="zh-CN" w:bidi="ar"/>
        </w:rPr>
      </w:pPr>
      <w:bookmarkStart w:id="67" w:name="_Toc15396610"/>
      <w:bookmarkStart w:id="68" w:name="_Toc79163622"/>
      <w:bookmarkStart w:id="69" w:name="_Toc15377218"/>
      <w:bookmarkStart w:id="70" w:name="_Toc79163872"/>
      <w:r>
        <w:rPr>
          <w:rFonts w:hint="eastAsia" w:ascii="宋体" w:hAnsi="宋体" w:eastAsia="宋体" w:cs="宋体"/>
          <w:b/>
          <w:bCs/>
          <w:kern w:val="0"/>
          <w:sz w:val="32"/>
          <w:szCs w:val="32"/>
          <w:shd w:val="clear" w:fill="FFFFFF"/>
          <w:lang w:val="en-US" w:eastAsia="zh-CN" w:bidi="ar"/>
        </w:rPr>
        <w:t>八、政府性基金预算支出决算情况说明</w:t>
      </w:r>
      <w:bookmarkEnd w:id="67"/>
      <w:bookmarkEnd w:id="68"/>
      <w:bookmarkEnd w:id="69"/>
      <w:bookmarkEnd w:id="70"/>
    </w:p>
    <w:p w14:paraId="7A84975B">
      <w:pPr>
        <w:spacing w:line="600" w:lineRule="exact"/>
        <w:ind w:firstLine="640"/>
        <w:rPr>
          <w:rFonts w:hint="eastAsia" w:ascii="宋体" w:hAnsi="宋体" w:eastAsia="宋体" w:cs="宋体"/>
          <w:kern w:val="0"/>
          <w:sz w:val="32"/>
          <w:szCs w:val="32"/>
          <w:shd w:val="clear" w:fill="FFFFFF"/>
          <w:lang w:val="en-US" w:eastAsia="zh-CN" w:bidi="ar"/>
        </w:rPr>
      </w:pPr>
      <w:r>
        <w:rPr>
          <w:rFonts w:hint="eastAsia" w:ascii="宋体" w:hAnsi="宋体" w:eastAsia="宋体" w:cs="宋体"/>
          <w:kern w:val="0"/>
          <w:sz w:val="32"/>
          <w:szCs w:val="32"/>
          <w:shd w:val="clear" w:fill="FFFFFF"/>
          <w:lang w:val="en-US" w:eastAsia="zh-CN" w:bidi="ar"/>
        </w:rPr>
        <w:t>202</w:t>
      </w:r>
      <w:r>
        <w:rPr>
          <w:rFonts w:hint="eastAsia" w:ascii="宋体" w:hAnsi="宋体" w:cs="宋体"/>
          <w:kern w:val="0"/>
          <w:sz w:val="32"/>
          <w:szCs w:val="32"/>
          <w:shd w:val="clear" w:fill="FFFFFF"/>
          <w:lang w:val="en-US" w:eastAsia="zh-CN" w:bidi="ar"/>
        </w:rPr>
        <w:t>2</w:t>
      </w:r>
      <w:r>
        <w:rPr>
          <w:rFonts w:hint="eastAsia" w:ascii="宋体" w:hAnsi="宋体" w:eastAsia="宋体" w:cs="宋体"/>
          <w:kern w:val="0"/>
          <w:sz w:val="32"/>
          <w:szCs w:val="32"/>
          <w:shd w:val="clear" w:fill="FFFFFF"/>
          <w:lang w:val="en-US" w:eastAsia="zh-CN" w:bidi="ar"/>
        </w:rPr>
        <w:t>年川主寺镇政府性基金预算拨款支出</w:t>
      </w:r>
      <w:r>
        <w:rPr>
          <w:rFonts w:hint="eastAsia" w:ascii="宋体" w:hAnsi="宋体" w:cs="宋体"/>
          <w:kern w:val="0"/>
          <w:sz w:val="32"/>
          <w:szCs w:val="32"/>
          <w:shd w:val="clear" w:fill="FFFFFF"/>
          <w:lang w:val="en-US" w:eastAsia="zh-CN" w:bidi="ar"/>
        </w:rPr>
        <w:t>0</w:t>
      </w:r>
      <w:r>
        <w:rPr>
          <w:rFonts w:hint="eastAsia" w:ascii="宋体" w:hAnsi="宋体" w:eastAsia="宋体" w:cs="宋体"/>
          <w:kern w:val="0"/>
          <w:sz w:val="32"/>
          <w:szCs w:val="32"/>
          <w:shd w:val="clear" w:fill="FFFFFF"/>
          <w:lang w:val="en-US" w:eastAsia="zh-CN" w:bidi="ar"/>
        </w:rPr>
        <w:t>万元。</w:t>
      </w:r>
    </w:p>
    <w:p w14:paraId="6B8E3FB4">
      <w:pPr>
        <w:numPr>
          <w:ilvl w:val="0"/>
          <w:numId w:val="4"/>
        </w:numPr>
        <w:spacing w:line="600" w:lineRule="exact"/>
        <w:ind w:firstLine="640"/>
        <w:outlineLvl w:val="1"/>
        <w:rPr>
          <w:rFonts w:hint="eastAsia" w:ascii="宋体" w:hAnsi="宋体" w:eastAsia="宋体" w:cs="宋体"/>
          <w:b/>
          <w:bCs/>
          <w:kern w:val="0"/>
          <w:sz w:val="32"/>
          <w:szCs w:val="32"/>
          <w:shd w:val="clear" w:fill="FFFFFF"/>
          <w:lang w:val="en-US" w:eastAsia="zh-CN" w:bidi="ar"/>
        </w:rPr>
      </w:pPr>
      <w:bookmarkStart w:id="71" w:name="_Toc15396611"/>
      <w:bookmarkStart w:id="72" w:name="_Toc15377219"/>
      <w:bookmarkStart w:id="73" w:name="_Toc79163623"/>
      <w:bookmarkStart w:id="74" w:name="_Toc79163873"/>
      <w:r>
        <w:rPr>
          <w:rFonts w:hint="eastAsia" w:ascii="宋体" w:hAnsi="宋体" w:eastAsia="宋体" w:cs="宋体"/>
          <w:b/>
          <w:bCs/>
          <w:kern w:val="0"/>
          <w:sz w:val="32"/>
          <w:szCs w:val="32"/>
          <w:shd w:val="clear" w:fill="FFFFFF"/>
          <w:lang w:val="en-US" w:eastAsia="zh-CN" w:bidi="ar"/>
        </w:rPr>
        <w:t>国有资本经营预算支出决算情况说明</w:t>
      </w:r>
      <w:bookmarkEnd w:id="71"/>
      <w:bookmarkEnd w:id="72"/>
      <w:bookmarkEnd w:id="73"/>
      <w:bookmarkEnd w:id="74"/>
    </w:p>
    <w:p w14:paraId="27410BC1">
      <w:pPr>
        <w:spacing w:line="600" w:lineRule="exact"/>
        <w:ind w:firstLine="640"/>
        <w:rPr>
          <w:rFonts w:hint="eastAsia" w:ascii="宋体" w:hAnsi="宋体" w:eastAsia="宋体" w:cs="宋体"/>
          <w:kern w:val="0"/>
          <w:sz w:val="32"/>
          <w:szCs w:val="32"/>
          <w:shd w:val="clear" w:fill="FFFFFF"/>
          <w:lang w:val="en-US" w:eastAsia="zh-CN" w:bidi="ar"/>
        </w:rPr>
      </w:pPr>
      <w:r>
        <w:rPr>
          <w:rFonts w:hint="eastAsia" w:ascii="宋体" w:hAnsi="宋体" w:eastAsia="宋体" w:cs="宋体"/>
          <w:kern w:val="0"/>
          <w:sz w:val="32"/>
          <w:szCs w:val="32"/>
          <w:shd w:val="clear" w:fill="FFFFFF"/>
          <w:lang w:val="en-US" w:eastAsia="zh-CN" w:bidi="ar"/>
        </w:rPr>
        <w:t>202</w:t>
      </w:r>
      <w:r>
        <w:rPr>
          <w:rFonts w:hint="eastAsia" w:ascii="宋体" w:hAnsi="宋体" w:cs="宋体"/>
          <w:kern w:val="0"/>
          <w:sz w:val="32"/>
          <w:szCs w:val="32"/>
          <w:shd w:val="clear" w:fill="FFFFFF"/>
          <w:lang w:val="en-US" w:eastAsia="zh-CN" w:bidi="ar"/>
        </w:rPr>
        <w:t>2</w:t>
      </w:r>
      <w:r>
        <w:rPr>
          <w:rFonts w:hint="eastAsia" w:ascii="宋体" w:hAnsi="宋体" w:eastAsia="宋体" w:cs="宋体"/>
          <w:kern w:val="0"/>
          <w:sz w:val="32"/>
          <w:szCs w:val="32"/>
          <w:shd w:val="clear" w:fill="FFFFFF"/>
          <w:lang w:val="en-US" w:eastAsia="zh-CN" w:bidi="ar"/>
        </w:rPr>
        <w:t>年川主寺镇政府国有资本经营预算拨款支出</w:t>
      </w:r>
      <w:r>
        <w:rPr>
          <w:rFonts w:hint="eastAsia" w:ascii="宋体" w:hAnsi="宋体" w:cs="宋体"/>
          <w:kern w:val="0"/>
          <w:sz w:val="32"/>
          <w:szCs w:val="32"/>
          <w:shd w:val="clear" w:fill="FFFFFF"/>
          <w:lang w:val="en-US" w:eastAsia="zh-CN" w:bidi="ar"/>
        </w:rPr>
        <w:t>0万元</w:t>
      </w:r>
      <w:r>
        <w:rPr>
          <w:rFonts w:hint="eastAsia" w:ascii="宋体" w:hAnsi="宋体" w:eastAsia="宋体" w:cs="宋体"/>
          <w:kern w:val="0"/>
          <w:sz w:val="32"/>
          <w:szCs w:val="32"/>
          <w:shd w:val="clear" w:fill="FFFFFF"/>
          <w:lang w:val="en-US" w:eastAsia="zh-CN" w:bidi="ar"/>
        </w:rPr>
        <w:t>。</w:t>
      </w:r>
    </w:p>
    <w:p w14:paraId="71728EC3">
      <w:pPr>
        <w:spacing w:line="600" w:lineRule="exact"/>
        <w:ind w:firstLine="643" w:firstLineChars="200"/>
        <w:outlineLvl w:val="1"/>
        <w:rPr>
          <w:rFonts w:hint="eastAsia" w:ascii="宋体" w:hAnsi="宋体" w:eastAsia="宋体" w:cs="宋体"/>
          <w:b/>
          <w:bCs/>
          <w:kern w:val="0"/>
          <w:sz w:val="32"/>
          <w:szCs w:val="32"/>
          <w:shd w:val="clear" w:fill="FFFFFF"/>
          <w:lang w:val="en-US" w:eastAsia="zh-CN" w:bidi="ar"/>
        </w:rPr>
      </w:pPr>
      <w:bookmarkStart w:id="75" w:name="_Toc15377221"/>
      <w:bookmarkStart w:id="76" w:name="_Toc79163874"/>
      <w:bookmarkStart w:id="77" w:name="_Toc79163624"/>
      <w:bookmarkStart w:id="78" w:name="_Toc15396612"/>
      <w:r>
        <w:rPr>
          <w:rFonts w:hint="eastAsia" w:ascii="宋体" w:hAnsi="宋体" w:eastAsia="宋体" w:cs="宋体"/>
          <w:b/>
          <w:bCs/>
          <w:kern w:val="0"/>
          <w:sz w:val="32"/>
          <w:szCs w:val="32"/>
          <w:shd w:val="clear" w:fill="FFFFFF"/>
          <w:lang w:val="en-US" w:eastAsia="zh-CN" w:bidi="ar"/>
        </w:rPr>
        <w:t>十、其他重要事项的情况说明</w:t>
      </w:r>
      <w:bookmarkEnd w:id="75"/>
      <w:bookmarkEnd w:id="76"/>
      <w:bookmarkEnd w:id="77"/>
      <w:bookmarkEnd w:id="78"/>
    </w:p>
    <w:p w14:paraId="09C0BA95">
      <w:pPr>
        <w:spacing w:line="600" w:lineRule="exact"/>
        <w:ind w:firstLine="643" w:firstLineChars="200"/>
        <w:outlineLvl w:val="2"/>
        <w:rPr>
          <w:rFonts w:hint="eastAsia" w:ascii="宋体" w:hAnsi="宋体" w:eastAsia="宋体" w:cs="宋体"/>
          <w:b/>
          <w:bCs/>
          <w:kern w:val="0"/>
          <w:sz w:val="32"/>
          <w:szCs w:val="32"/>
          <w:shd w:val="clear" w:fill="FFFFFF"/>
          <w:lang w:val="en-US" w:eastAsia="zh-CN" w:bidi="ar"/>
        </w:rPr>
      </w:pPr>
      <w:bookmarkStart w:id="79" w:name="_Toc15377222"/>
      <w:bookmarkStart w:id="80" w:name="_Toc79163875"/>
      <w:bookmarkStart w:id="81" w:name="_Toc79163625"/>
      <w:r>
        <w:rPr>
          <w:rFonts w:hint="eastAsia" w:ascii="宋体" w:hAnsi="宋体" w:eastAsia="宋体" w:cs="宋体"/>
          <w:b/>
          <w:bCs/>
          <w:kern w:val="0"/>
          <w:sz w:val="32"/>
          <w:szCs w:val="32"/>
          <w:shd w:val="clear" w:fill="FFFFFF"/>
          <w:lang w:val="en-US" w:eastAsia="zh-CN" w:bidi="ar"/>
        </w:rPr>
        <w:t>（一）机关运行经费支出情况</w:t>
      </w:r>
      <w:bookmarkEnd w:id="79"/>
      <w:bookmarkEnd w:id="80"/>
      <w:bookmarkEnd w:id="81"/>
    </w:p>
    <w:p w14:paraId="7605E6F5">
      <w:pPr>
        <w:autoSpaceDE w:val="0"/>
        <w:autoSpaceDN w:val="0"/>
        <w:adjustRightInd w:val="0"/>
        <w:spacing w:line="600" w:lineRule="exact"/>
        <w:ind w:firstLine="640" w:firstLineChars="200"/>
        <w:jc w:val="left"/>
        <w:outlineLvl w:val="2"/>
        <w:rPr>
          <w:rFonts w:hint="eastAsia" w:ascii="宋体" w:hAnsi="宋体" w:eastAsia="宋体" w:cs="宋体"/>
          <w:kern w:val="0"/>
          <w:sz w:val="32"/>
          <w:szCs w:val="32"/>
          <w:shd w:val="clear" w:fill="FFFFFF"/>
        </w:rPr>
      </w:pPr>
      <w:bookmarkStart w:id="82" w:name="_Toc15377223"/>
      <w:bookmarkStart w:id="83" w:name="_Toc79163626"/>
      <w:bookmarkStart w:id="84" w:name="_Toc79163876"/>
      <w:r>
        <w:rPr>
          <w:rFonts w:hint="eastAsia" w:ascii="宋体" w:hAnsi="宋体" w:eastAsia="宋体" w:cs="宋体"/>
          <w:kern w:val="0"/>
          <w:sz w:val="32"/>
          <w:szCs w:val="32"/>
          <w:shd w:val="clear" w:fill="FFFFFF"/>
        </w:rPr>
        <w:t>2022年，阿坝州松潘县川主寺镇人民政府机关运行经费支出44.33万元，比2021年增加-122.77万元，增长-73.47%</w:t>
      </w:r>
    </w:p>
    <w:p w14:paraId="1BD98744">
      <w:pPr>
        <w:pStyle w:val="42"/>
        <w:keepNext w:val="0"/>
        <w:keepLines w:val="0"/>
        <w:widowControl/>
        <w:suppressLineNumbers w:val="0"/>
        <w:spacing w:before="0" w:beforeAutospacing="0"/>
        <w:jc w:val="left"/>
        <w:rPr>
          <w:rFonts w:hint="eastAsia" w:ascii="宋体" w:hAnsi="宋体" w:eastAsia="宋体" w:cs="宋体"/>
          <w:kern w:val="0"/>
          <w:sz w:val="32"/>
          <w:szCs w:val="32"/>
        </w:rPr>
      </w:pPr>
      <w:r>
        <w:rPr>
          <w:rFonts w:hint="eastAsia" w:ascii="宋体" w:hAnsi="宋体" w:eastAsia="宋体" w:cs="宋体"/>
          <w:kern w:val="0"/>
          <w:sz w:val="32"/>
          <w:szCs w:val="32"/>
          <w:shd w:val="clear" w:fill="FFFFFF"/>
        </w:rPr>
        <w:t>主要变动原因是为2022年川主寺镇农村农业服务中心单独做决算。</w:t>
      </w:r>
    </w:p>
    <w:p w14:paraId="50B00319">
      <w:pPr>
        <w:autoSpaceDE w:val="0"/>
        <w:autoSpaceDN w:val="0"/>
        <w:adjustRightInd w:val="0"/>
        <w:spacing w:line="600" w:lineRule="exact"/>
        <w:jc w:val="left"/>
        <w:outlineLvl w:val="2"/>
        <w:rPr>
          <w:rFonts w:hint="eastAsia" w:ascii="宋体" w:hAnsi="宋体" w:eastAsia="宋体" w:cs="宋体"/>
          <w:kern w:val="0"/>
          <w:sz w:val="32"/>
          <w:szCs w:val="32"/>
          <w:shd w:val="clear" w:fill="FFFFFF"/>
        </w:rPr>
      </w:pPr>
    </w:p>
    <w:p w14:paraId="555147EC">
      <w:pPr>
        <w:autoSpaceDE w:val="0"/>
        <w:autoSpaceDN w:val="0"/>
        <w:adjustRightInd w:val="0"/>
        <w:spacing w:line="600" w:lineRule="exact"/>
        <w:ind w:firstLine="643" w:firstLineChars="200"/>
        <w:jc w:val="left"/>
        <w:outlineLvl w:val="2"/>
        <w:rPr>
          <w:rFonts w:hint="eastAsia" w:ascii="宋体" w:hAnsi="宋体" w:eastAsia="宋体" w:cs="宋体"/>
          <w:b/>
          <w:bCs/>
          <w:kern w:val="0"/>
          <w:sz w:val="32"/>
          <w:szCs w:val="32"/>
          <w:shd w:val="clear" w:fill="FFFFFF"/>
          <w:lang w:val="en-US" w:eastAsia="zh-CN" w:bidi="ar"/>
        </w:rPr>
      </w:pPr>
      <w:r>
        <w:rPr>
          <w:rFonts w:hint="eastAsia" w:ascii="宋体" w:hAnsi="宋体" w:eastAsia="宋体" w:cs="宋体"/>
          <w:b/>
          <w:bCs/>
          <w:kern w:val="0"/>
          <w:sz w:val="32"/>
          <w:szCs w:val="32"/>
          <w:shd w:val="clear" w:fill="FFFFFF"/>
          <w:lang w:val="en-US" w:eastAsia="zh-CN" w:bidi="ar"/>
        </w:rPr>
        <w:t>（二）政府采购支出情况</w:t>
      </w:r>
      <w:bookmarkEnd w:id="82"/>
      <w:bookmarkEnd w:id="83"/>
      <w:bookmarkEnd w:id="84"/>
    </w:p>
    <w:p w14:paraId="2F8D30DE">
      <w:pPr>
        <w:spacing w:line="600" w:lineRule="exact"/>
        <w:ind w:firstLine="640" w:firstLineChars="200"/>
        <w:rPr>
          <w:rFonts w:hint="eastAsia" w:ascii="宋体" w:hAnsi="宋体" w:eastAsia="宋体" w:cs="宋体"/>
          <w:kern w:val="0"/>
          <w:sz w:val="32"/>
          <w:szCs w:val="32"/>
          <w:shd w:val="clear" w:fill="FFFFFF"/>
          <w:lang w:val="en-US" w:eastAsia="zh-CN" w:bidi="ar"/>
        </w:rPr>
      </w:pPr>
      <w:r>
        <w:rPr>
          <w:rFonts w:hint="eastAsia" w:ascii="宋体" w:hAnsi="宋体" w:eastAsia="宋体" w:cs="宋体"/>
          <w:kern w:val="0"/>
          <w:sz w:val="32"/>
          <w:szCs w:val="32"/>
          <w:shd w:val="clear" w:fill="FFFFFF"/>
          <w:lang w:val="en-US" w:eastAsia="zh-CN" w:bidi="ar"/>
        </w:rPr>
        <w:t>202</w:t>
      </w:r>
      <w:r>
        <w:rPr>
          <w:rFonts w:hint="eastAsia" w:ascii="宋体" w:hAnsi="宋体" w:cs="宋体"/>
          <w:kern w:val="0"/>
          <w:sz w:val="32"/>
          <w:szCs w:val="32"/>
          <w:shd w:val="clear" w:fill="FFFFFF"/>
          <w:lang w:val="en-US" w:eastAsia="zh-CN" w:bidi="ar"/>
        </w:rPr>
        <w:t>2</w:t>
      </w:r>
      <w:r>
        <w:rPr>
          <w:rFonts w:hint="eastAsia" w:ascii="宋体" w:hAnsi="宋体" w:eastAsia="宋体" w:cs="宋体"/>
          <w:kern w:val="0"/>
          <w:sz w:val="32"/>
          <w:szCs w:val="32"/>
          <w:shd w:val="clear" w:fill="FFFFFF"/>
          <w:lang w:val="en-US" w:eastAsia="zh-CN" w:bidi="ar"/>
        </w:rPr>
        <w:t>年，川主寺镇政府无政府采购支出。</w:t>
      </w:r>
    </w:p>
    <w:p w14:paraId="5DF93417">
      <w:pPr>
        <w:autoSpaceDE w:val="0"/>
        <w:autoSpaceDN w:val="0"/>
        <w:adjustRightInd w:val="0"/>
        <w:spacing w:line="600" w:lineRule="exact"/>
        <w:ind w:firstLine="643" w:firstLineChars="200"/>
        <w:jc w:val="left"/>
        <w:outlineLvl w:val="2"/>
        <w:rPr>
          <w:rFonts w:hint="eastAsia" w:ascii="宋体" w:hAnsi="宋体" w:eastAsia="宋体" w:cs="宋体"/>
          <w:b/>
          <w:bCs/>
          <w:kern w:val="0"/>
          <w:sz w:val="32"/>
          <w:szCs w:val="32"/>
          <w:shd w:val="clear" w:fill="FFFFFF"/>
          <w:lang w:val="en-US" w:eastAsia="zh-CN" w:bidi="ar"/>
        </w:rPr>
      </w:pPr>
      <w:bookmarkStart w:id="85" w:name="_Toc79163627"/>
      <w:bookmarkStart w:id="86" w:name="_Toc15377224"/>
      <w:bookmarkStart w:id="87" w:name="_Toc79163877"/>
      <w:r>
        <w:rPr>
          <w:rFonts w:hint="eastAsia" w:ascii="宋体" w:hAnsi="宋体" w:eastAsia="宋体" w:cs="宋体"/>
          <w:b/>
          <w:bCs/>
          <w:kern w:val="0"/>
          <w:sz w:val="32"/>
          <w:szCs w:val="32"/>
          <w:shd w:val="clear" w:fill="FFFFFF"/>
          <w:lang w:val="en-US" w:eastAsia="zh-CN" w:bidi="ar"/>
        </w:rPr>
        <w:t>（三）国有资产占有使用情况</w:t>
      </w:r>
      <w:bookmarkEnd w:id="85"/>
      <w:bookmarkEnd w:id="86"/>
      <w:bookmarkEnd w:id="87"/>
    </w:p>
    <w:p w14:paraId="0E2D123B">
      <w:pPr>
        <w:autoSpaceDE w:val="0"/>
        <w:autoSpaceDN w:val="0"/>
        <w:adjustRightInd w:val="0"/>
        <w:spacing w:line="600" w:lineRule="exact"/>
        <w:ind w:firstLine="640" w:firstLineChars="200"/>
        <w:jc w:val="left"/>
        <w:rPr>
          <w:rFonts w:hint="eastAsia" w:ascii="宋体" w:hAnsi="宋体" w:eastAsia="宋体" w:cs="宋体"/>
          <w:kern w:val="0"/>
          <w:sz w:val="32"/>
          <w:szCs w:val="32"/>
          <w:shd w:val="clear" w:fill="FFFFFF"/>
          <w:lang w:val="en-US" w:eastAsia="zh-CN" w:bidi="ar"/>
        </w:rPr>
      </w:pPr>
      <w:r>
        <w:rPr>
          <w:rFonts w:hint="eastAsia" w:ascii="宋体" w:hAnsi="宋体" w:eastAsia="宋体" w:cs="宋体"/>
          <w:kern w:val="0"/>
          <w:sz w:val="32"/>
          <w:szCs w:val="32"/>
          <w:shd w:val="clear" w:fill="FFFFFF"/>
          <w:lang w:val="en-US" w:eastAsia="zh-CN" w:bidi="ar"/>
        </w:rPr>
        <w:t>截至202</w:t>
      </w:r>
      <w:r>
        <w:rPr>
          <w:rFonts w:hint="eastAsia" w:ascii="宋体" w:hAnsi="宋体" w:cs="宋体"/>
          <w:kern w:val="0"/>
          <w:sz w:val="32"/>
          <w:szCs w:val="32"/>
          <w:shd w:val="clear" w:fill="FFFFFF"/>
          <w:lang w:val="en-US" w:eastAsia="zh-CN" w:bidi="ar"/>
        </w:rPr>
        <w:t>2</w:t>
      </w:r>
      <w:r>
        <w:rPr>
          <w:rFonts w:hint="eastAsia" w:ascii="宋体" w:hAnsi="宋体" w:eastAsia="宋体" w:cs="宋体"/>
          <w:kern w:val="0"/>
          <w:sz w:val="32"/>
          <w:szCs w:val="32"/>
          <w:shd w:val="clear" w:fill="FFFFFF"/>
          <w:lang w:val="en-US" w:eastAsia="zh-CN" w:bidi="ar"/>
        </w:rPr>
        <w:t>年12月31日，川主寺镇政府共有车辆1</w:t>
      </w:r>
      <w:r>
        <w:rPr>
          <w:rFonts w:hint="eastAsia" w:ascii="宋体" w:hAnsi="宋体" w:cs="宋体"/>
          <w:kern w:val="0"/>
          <w:sz w:val="32"/>
          <w:szCs w:val="32"/>
          <w:shd w:val="clear" w:fill="FFFFFF"/>
          <w:lang w:val="en-US" w:eastAsia="zh-CN" w:bidi="ar"/>
        </w:rPr>
        <w:t>1</w:t>
      </w:r>
      <w:r>
        <w:rPr>
          <w:rFonts w:hint="eastAsia" w:ascii="宋体" w:hAnsi="宋体" w:eastAsia="宋体" w:cs="宋体"/>
          <w:kern w:val="0"/>
          <w:sz w:val="32"/>
          <w:szCs w:val="32"/>
          <w:shd w:val="clear" w:fill="FFFFFF"/>
          <w:lang w:val="en-US" w:eastAsia="zh-CN" w:bidi="ar"/>
        </w:rPr>
        <w:t>辆，其中：主要领导干部用车2辆、其他用车</w:t>
      </w:r>
      <w:r>
        <w:rPr>
          <w:rFonts w:hint="eastAsia" w:ascii="宋体" w:hAnsi="宋体" w:cs="宋体"/>
          <w:kern w:val="0"/>
          <w:sz w:val="32"/>
          <w:szCs w:val="32"/>
          <w:shd w:val="clear" w:fill="FFFFFF"/>
          <w:lang w:val="en-US" w:eastAsia="zh-CN" w:bidi="ar"/>
        </w:rPr>
        <w:t>9</w:t>
      </w:r>
      <w:r>
        <w:rPr>
          <w:rFonts w:hint="eastAsia" w:ascii="宋体" w:hAnsi="宋体" w:eastAsia="宋体" w:cs="宋体"/>
          <w:kern w:val="0"/>
          <w:sz w:val="32"/>
          <w:szCs w:val="32"/>
          <w:shd w:val="clear" w:fill="FFFFFF"/>
          <w:lang w:val="en-US" w:eastAsia="zh-CN" w:bidi="ar"/>
        </w:rPr>
        <w:t>辆。其他用车主要是用于干部职工下乡、上县、出差、市政维护。无单价50万元以上通用设备。</w:t>
      </w:r>
    </w:p>
    <w:p w14:paraId="65D1CAA3">
      <w:pPr>
        <w:autoSpaceDE w:val="0"/>
        <w:autoSpaceDN w:val="0"/>
        <w:adjustRightInd w:val="0"/>
        <w:spacing w:line="600" w:lineRule="exact"/>
        <w:ind w:firstLine="643" w:firstLineChars="200"/>
        <w:jc w:val="left"/>
        <w:outlineLvl w:val="2"/>
        <w:rPr>
          <w:rFonts w:hint="eastAsia" w:ascii="宋体" w:hAnsi="宋体" w:eastAsia="宋体" w:cs="宋体"/>
          <w:b/>
          <w:bCs/>
          <w:kern w:val="0"/>
          <w:sz w:val="32"/>
          <w:szCs w:val="32"/>
          <w:shd w:val="clear" w:fill="FFFFFF"/>
          <w:lang w:val="en-US" w:eastAsia="zh-CN" w:bidi="ar"/>
        </w:rPr>
      </w:pPr>
      <w:bookmarkStart w:id="88" w:name="_Toc79163878"/>
      <w:bookmarkStart w:id="89" w:name="_Toc79163628"/>
      <w:r>
        <w:rPr>
          <w:rFonts w:hint="eastAsia" w:ascii="宋体" w:hAnsi="宋体" w:eastAsia="宋体" w:cs="宋体"/>
          <w:b/>
          <w:bCs/>
          <w:kern w:val="0"/>
          <w:sz w:val="32"/>
          <w:szCs w:val="32"/>
          <w:shd w:val="clear" w:fill="FFFFFF"/>
          <w:lang w:val="en-US" w:eastAsia="zh-CN" w:bidi="ar"/>
        </w:rPr>
        <w:t>（四）预算绩效管理情况。</w:t>
      </w:r>
      <w:bookmarkEnd w:id="88"/>
      <w:bookmarkEnd w:id="89"/>
    </w:p>
    <w:p w14:paraId="3126B6E4">
      <w:pPr>
        <w:autoSpaceDE w:val="0"/>
        <w:autoSpaceDN w:val="0"/>
        <w:adjustRightInd w:val="0"/>
        <w:spacing w:line="600" w:lineRule="exact"/>
        <w:ind w:firstLine="640" w:firstLineChars="200"/>
        <w:jc w:val="left"/>
        <w:rPr>
          <w:rFonts w:hint="eastAsia" w:ascii="宋体" w:hAnsi="宋体" w:eastAsia="宋体" w:cs="宋体"/>
          <w:kern w:val="0"/>
          <w:sz w:val="32"/>
          <w:szCs w:val="32"/>
          <w:shd w:val="clear" w:fill="FFFFFF"/>
          <w:lang w:val="en-US" w:eastAsia="zh-CN" w:bidi="ar"/>
        </w:rPr>
      </w:pPr>
      <w:r>
        <w:rPr>
          <w:rFonts w:hint="eastAsia" w:ascii="宋体" w:hAnsi="宋体" w:eastAsia="宋体" w:cs="宋体"/>
          <w:kern w:val="0"/>
          <w:sz w:val="32"/>
          <w:szCs w:val="32"/>
          <w:shd w:val="clear" w:fill="FFFFFF"/>
          <w:lang w:val="en-US" w:eastAsia="zh-CN" w:bidi="ar"/>
        </w:rPr>
        <w:t>根据预算绩效管理要求，我镇对</w:t>
      </w:r>
      <w:r>
        <w:rPr>
          <w:rFonts w:hint="eastAsia" w:ascii="宋体" w:hAnsi="宋体" w:cs="宋体"/>
          <w:kern w:val="0"/>
          <w:sz w:val="32"/>
          <w:szCs w:val="32"/>
          <w:shd w:val="clear" w:fill="FFFFFF"/>
          <w:lang w:val="en-US" w:eastAsia="zh-CN" w:bidi="ar"/>
        </w:rPr>
        <w:t>镇区道路、公共场地环卫市场化运行作业经费</w:t>
      </w:r>
      <w:r>
        <w:rPr>
          <w:rFonts w:hint="eastAsia" w:ascii="宋体" w:hAnsi="宋体" w:eastAsia="宋体" w:cs="宋体"/>
          <w:kern w:val="0"/>
          <w:sz w:val="32"/>
          <w:szCs w:val="32"/>
          <w:shd w:val="clear" w:fill="FFFFFF"/>
          <w:lang w:val="en-US" w:eastAsia="zh-CN" w:bidi="ar"/>
        </w:rPr>
        <w:t>项目开展了预算事前绩效评估，对该项目编制了绩效目标，预算执行过程中，选取该项目开展绩效监控，年终执行完毕后，对该项目开展了绩效目标完成情况梳理填报。</w:t>
      </w:r>
    </w:p>
    <w:p w14:paraId="4F00026A">
      <w:pPr>
        <w:widowControl/>
        <w:jc w:val="left"/>
        <w:rPr>
          <w:rFonts w:ascii="仿宋_GB2312" w:eastAsia="仿宋_GB2312"/>
          <w:b/>
          <w:color w:val="000000"/>
          <w:sz w:val="32"/>
          <w:szCs w:val="32"/>
        </w:rPr>
      </w:pPr>
      <w:r>
        <w:rPr>
          <w:rFonts w:ascii="仿宋_GB2312" w:eastAsia="仿宋_GB2312"/>
          <w:b/>
          <w:color w:val="000000"/>
          <w:sz w:val="32"/>
          <w:szCs w:val="32"/>
        </w:rPr>
        <w:br w:type="page"/>
      </w:r>
    </w:p>
    <w:p w14:paraId="4614A1A2">
      <w:pPr>
        <w:numPr>
          <w:ilvl w:val="0"/>
          <w:numId w:val="5"/>
        </w:numPr>
        <w:spacing w:line="600" w:lineRule="exact"/>
        <w:ind w:firstLine="660" w:firstLineChars="150"/>
        <w:jc w:val="center"/>
        <w:outlineLvl w:val="0"/>
        <w:rPr>
          <w:rStyle w:val="26"/>
          <w:rFonts w:ascii="黑体" w:hAnsi="黑体" w:eastAsia="黑体"/>
          <w:b w:val="0"/>
        </w:rPr>
      </w:pPr>
      <w:bookmarkStart w:id="90" w:name="_Toc15377225"/>
      <w:bookmarkStart w:id="91" w:name="_Toc79163629"/>
      <w:bookmarkStart w:id="92" w:name="_Toc79163879"/>
      <w:bookmarkStart w:id="93" w:name="_Toc15396613"/>
      <w:r>
        <w:rPr>
          <w:rFonts w:hint="eastAsia" w:ascii="黑体" w:hAnsi="黑体" w:eastAsia="黑体"/>
          <w:color w:val="000000"/>
          <w:sz w:val="44"/>
          <w:szCs w:val="44"/>
        </w:rPr>
        <w:t>名</w:t>
      </w:r>
      <w:r>
        <w:rPr>
          <w:rStyle w:val="26"/>
          <w:rFonts w:hint="eastAsia" w:ascii="黑体" w:hAnsi="黑体" w:eastAsia="黑体"/>
          <w:b w:val="0"/>
        </w:rPr>
        <w:t>词解释</w:t>
      </w:r>
      <w:bookmarkEnd w:id="90"/>
      <w:bookmarkEnd w:id="91"/>
      <w:bookmarkEnd w:id="92"/>
      <w:bookmarkEnd w:id="93"/>
    </w:p>
    <w:p w14:paraId="4B41BE96">
      <w:pPr>
        <w:spacing w:line="600" w:lineRule="exact"/>
        <w:jc w:val="left"/>
        <w:rPr>
          <w:rFonts w:ascii="宋体"/>
          <w:b/>
          <w:color w:val="000000"/>
          <w:sz w:val="44"/>
          <w:szCs w:val="44"/>
        </w:rPr>
      </w:pPr>
    </w:p>
    <w:p w14:paraId="1605BD20">
      <w:pPr>
        <w:pStyle w:val="36"/>
        <w:spacing w:line="560" w:lineRule="exact"/>
        <w:ind w:firstLine="640" w:firstLineChars="200"/>
        <w:rPr>
          <w:rFonts w:ascii="仿宋_GB2312" w:eastAsia="仿宋_GB2312"/>
          <w:sz w:val="32"/>
          <w:szCs w:val="32"/>
        </w:rPr>
      </w:pPr>
      <w:r>
        <w:rPr>
          <w:rFonts w:ascii="仿宋_GB2312" w:eastAsia="仿宋_GB2312"/>
          <w:sz w:val="32"/>
          <w:szCs w:val="32"/>
        </w:rPr>
        <w:t>1.</w:t>
      </w:r>
      <w:r>
        <w:rPr>
          <w:rFonts w:hint="eastAsia" w:ascii="仿宋_GB2312" w:eastAsia="仿宋_GB2312"/>
          <w:sz w:val="32"/>
          <w:szCs w:val="32"/>
        </w:rPr>
        <w:t>财政拨款收入：指单位从同级财政部门取得的财政预算资金。</w:t>
      </w:r>
    </w:p>
    <w:p w14:paraId="49472485">
      <w:pPr>
        <w:pStyle w:val="36"/>
        <w:spacing w:line="560" w:lineRule="exact"/>
        <w:ind w:firstLine="640" w:firstLineChars="200"/>
        <w:rPr>
          <w:rFonts w:ascii="仿宋_GB2312" w:eastAsia="仿宋_GB2312"/>
          <w:sz w:val="32"/>
          <w:szCs w:val="32"/>
        </w:rPr>
      </w:pPr>
      <w:r>
        <w:rPr>
          <w:rFonts w:ascii="仿宋_GB2312" w:eastAsia="仿宋_GB2312"/>
          <w:sz w:val="32"/>
          <w:szCs w:val="32"/>
        </w:rPr>
        <w:t>2.</w:t>
      </w:r>
      <w:r>
        <w:rPr>
          <w:rFonts w:hint="eastAsia" w:ascii="仿宋_GB2312" w:eastAsia="仿宋_GB2312"/>
          <w:sz w:val="32"/>
          <w:szCs w:val="32"/>
        </w:rPr>
        <w:t>事业收入：指事业单位开展专业业务活动及辅助活动取得的收入。如…（二级预算单位事业收入情况）等。</w:t>
      </w:r>
    </w:p>
    <w:p w14:paraId="77D8AF80">
      <w:pPr>
        <w:pStyle w:val="36"/>
        <w:spacing w:line="560" w:lineRule="exact"/>
        <w:ind w:firstLine="640" w:firstLineChars="200"/>
        <w:rPr>
          <w:rFonts w:ascii="仿宋_GB2312" w:eastAsia="仿宋_GB2312"/>
          <w:sz w:val="32"/>
          <w:szCs w:val="32"/>
        </w:rPr>
      </w:pPr>
      <w:r>
        <w:rPr>
          <w:rFonts w:ascii="仿宋_GB2312" w:eastAsia="仿宋_GB2312"/>
          <w:sz w:val="32"/>
          <w:szCs w:val="32"/>
        </w:rPr>
        <w:t>3.</w:t>
      </w:r>
      <w:r>
        <w:rPr>
          <w:rFonts w:hint="eastAsia" w:ascii="仿宋_GB2312" w:eastAsia="仿宋_GB2312"/>
          <w:sz w:val="32"/>
          <w:szCs w:val="32"/>
        </w:rPr>
        <w:t>经营收入：指事业单位在专业业务活动及其辅助活动之外开展非独立核算经营活动取得的收入。如…（二级预算单位经营收入情况）等。</w:t>
      </w:r>
    </w:p>
    <w:p w14:paraId="5DBFACBA">
      <w:pPr>
        <w:pStyle w:val="36"/>
        <w:spacing w:line="560" w:lineRule="exact"/>
        <w:ind w:firstLine="640" w:firstLineChars="200"/>
        <w:rPr>
          <w:rFonts w:ascii="仿宋_GB2312" w:eastAsia="仿宋_GB2312"/>
          <w:sz w:val="32"/>
          <w:szCs w:val="32"/>
        </w:rPr>
      </w:pPr>
      <w:r>
        <w:rPr>
          <w:rFonts w:ascii="仿宋_GB2312" w:eastAsia="仿宋_GB2312"/>
          <w:sz w:val="32"/>
          <w:szCs w:val="32"/>
        </w:rPr>
        <w:t>4.</w:t>
      </w:r>
      <w:r>
        <w:rPr>
          <w:rFonts w:hint="eastAsia" w:ascii="仿宋_GB2312" w:eastAsia="仿宋_GB2312"/>
          <w:sz w:val="32"/>
          <w:szCs w:val="32"/>
        </w:rPr>
        <w:t>其他收入：指单位取得的除上述收入以外的各项收入。主要是…（收入类型）等。</w:t>
      </w:r>
      <w:r>
        <w:rPr>
          <w:rFonts w:ascii="仿宋_GB2312" w:eastAsia="仿宋_GB2312"/>
          <w:sz w:val="32"/>
          <w:szCs w:val="32"/>
        </w:rPr>
        <w:t xml:space="preserve"> </w:t>
      </w:r>
    </w:p>
    <w:p w14:paraId="2DF36DDC">
      <w:pPr>
        <w:pStyle w:val="36"/>
        <w:spacing w:line="560" w:lineRule="exact"/>
        <w:ind w:firstLine="640" w:firstLineChars="200"/>
        <w:rPr>
          <w:rFonts w:ascii="仿宋_GB2312" w:eastAsia="仿宋_GB2312"/>
          <w:sz w:val="32"/>
          <w:szCs w:val="32"/>
        </w:rPr>
      </w:pPr>
      <w:r>
        <w:rPr>
          <w:rFonts w:ascii="仿宋_GB2312" w:eastAsia="仿宋_GB2312"/>
          <w:sz w:val="32"/>
          <w:szCs w:val="32"/>
        </w:rPr>
        <w:t>5.</w:t>
      </w:r>
      <w:r>
        <w:rPr>
          <w:rFonts w:hint="eastAsia" w:ascii="仿宋_GB2312" w:eastAsia="仿宋_GB2312"/>
          <w:sz w:val="32"/>
          <w:szCs w:val="32"/>
        </w:rPr>
        <w:t>使用非财政拨款结余：指事业单位使用以前年度积累的非财政拨款结余弥补当年收支差额的金额。</w:t>
      </w:r>
      <w:r>
        <w:rPr>
          <w:rFonts w:ascii="仿宋_GB2312" w:eastAsia="仿宋_GB2312"/>
          <w:sz w:val="32"/>
          <w:szCs w:val="32"/>
        </w:rPr>
        <w:t xml:space="preserve"> </w:t>
      </w:r>
    </w:p>
    <w:p w14:paraId="5F11D366">
      <w:pPr>
        <w:pStyle w:val="36"/>
        <w:spacing w:line="560" w:lineRule="exact"/>
        <w:ind w:firstLine="640" w:firstLineChars="200"/>
        <w:rPr>
          <w:rFonts w:ascii="仿宋_GB2312" w:eastAsia="仿宋_GB2312"/>
          <w:sz w:val="32"/>
          <w:szCs w:val="32"/>
        </w:rPr>
      </w:pPr>
      <w:r>
        <w:rPr>
          <w:rFonts w:ascii="仿宋_GB2312" w:eastAsia="仿宋_GB2312"/>
          <w:sz w:val="32"/>
          <w:szCs w:val="32"/>
        </w:rPr>
        <w:t>6.</w:t>
      </w:r>
      <w:r>
        <w:rPr>
          <w:rFonts w:hint="eastAsia" w:ascii="仿宋_GB2312" w:eastAsia="仿宋_GB2312"/>
          <w:sz w:val="32"/>
          <w:szCs w:val="32"/>
        </w:rPr>
        <w:t>年初结转和结余：指以前年度尚未完成、结转到本年按有关规定继续使用的资金。</w:t>
      </w:r>
      <w:r>
        <w:rPr>
          <w:rFonts w:ascii="仿宋_GB2312" w:eastAsia="仿宋_GB2312"/>
          <w:sz w:val="32"/>
          <w:szCs w:val="32"/>
        </w:rPr>
        <w:t xml:space="preserve"> </w:t>
      </w:r>
    </w:p>
    <w:p w14:paraId="4B0A8151">
      <w:pPr>
        <w:pStyle w:val="36"/>
        <w:spacing w:line="560" w:lineRule="exact"/>
        <w:ind w:firstLine="640" w:firstLineChars="200"/>
        <w:rPr>
          <w:rFonts w:ascii="仿宋_GB2312" w:eastAsia="仿宋_GB2312"/>
          <w:sz w:val="32"/>
          <w:szCs w:val="32"/>
        </w:rPr>
      </w:pPr>
      <w:r>
        <w:rPr>
          <w:rFonts w:ascii="仿宋_GB2312" w:eastAsia="仿宋_GB2312"/>
          <w:sz w:val="32"/>
          <w:szCs w:val="32"/>
        </w:rPr>
        <w:t>7.</w:t>
      </w:r>
      <w:r>
        <w:rPr>
          <w:rFonts w:hint="eastAsia" w:ascii="仿宋_GB2312" w:eastAsia="仿宋_GB2312"/>
          <w:sz w:val="32"/>
          <w:szCs w:val="32"/>
        </w:rPr>
        <w:t>结余分配：指事业单位按照会计制度规定缴纳的所得税、提取的专用结余以及转入非财政拨款结余的金额等。</w:t>
      </w:r>
    </w:p>
    <w:p w14:paraId="3C9F03BD">
      <w:pPr>
        <w:pStyle w:val="36"/>
        <w:spacing w:line="560" w:lineRule="exact"/>
        <w:ind w:firstLine="640" w:firstLineChars="200"/>
        <w:rPr>
          <w:rFonts w:ascii="仿宋_GB2312" w:eastAsia="仿宋_GB2312"/>
          <w:sz w:val="32"/>
          <w:szCs w:val="32"/>
        </w:rPr>
      </w:pPr>
      <w:r>
        <w:rPr>
          <w:rFonts w:ascii="仿宋_GB2312" w:eastAsia="仿宋_GB2312"/>
          <w:sz w:val="32"/>
          <w:szCs w:val="32"/>
        </w:rPr>
        <w:t>8</w:t>
      </w:r>
      <w:r>
        <w:rPr>
          <w:rFonts w:hint="eastAsia" w:ascii="仿宋_GB2312" w:eastAsia="仿宋_GB2312"/>
          <w:sz w:val="32"/>
          <w:szCs w:val="32"/>
        </w:rPr>
        <w:t>、年末结转和结余：指单位按有关规定结转到下年或以后年度继续使用的资金。</w:t>
      </w:r>
    </w:p>
    <w:p w14:paraId="2DD72F65">
      <w:pPr>
        <w:ind w:firstLine="640" w:firstLineChars="200"/>
        <w:rPr>
          <w:rFonts w:ascii="仿宋_GB2312" w:eastAsia="仿宋_GB2312"/>
          <w:color w:val="000000"/>
          <w:sz w:val="32"/>
          <w:szCs w:val="32"/>
        </w:rPr>
      </w:pPr>
      <w:r>
        <w:rPr>
          <w:rFonts w:ascii="仿宋_GB2312" w:eastAsia="仿宋_GB2312"/>
          <w:color w:val="000000"/>
          <w:sz w:val="32"/>
          <w:szCs w:val="32"/>
        </w:rPr>
        <w:t>9.</w:t>
      </w:r>
      <w:r>
        <w:rPr>
          <w:rFonts w:hint="eastAsia" w:ascii="仿宋_GB2312" w:eastAsia="仿宋_GB2312"/>
          <w:color w:val="000000"/>
          <w:sz w:val="32"/>
          <w:szCs w:val="32"/>
        </w:rPr>
        <w:t>一般公共服务（类）…（款）…（项）：指……。</w:t>
      </w:r>
    </w:p>
    <w:p w14:paraId="4C93EA17">
      <w:pPr>
        <w:ind w:firstLine="640" w:firstLineChars="200"/>
        <w:rPr>
          <w:rFonts w:ascii="仿宋_GB2312" w:eastAsia="仿宋_GB2312"/>
          <w:color w:val="000000"/>
          <w:sz w:val="32"/>
          <w:szCs w:val="32"/>
        </w:rPr>
      </w:pPr>
      <w:r>
        <w:rPr>
          <w:rFonts w:ascii="仿宋_GB2312" w:eastAsia="仿宋_GB2312"/>
          <w:color w:val="000000"/>
          <w:sz w:val="32"/>
          <w:szCs w:val="32"/>
        </w:rPr>
        <w:t>10.</w:t>
      </w:r>
      <w:r>
        <w:rPr>
          <w:rFonts w:hint="eastAsia" w:ascii="仿宋_GB2312" w:eastAsia="仿宋_GB2312"/>
          <w:color w:val="000000"/>
          <w:sz w:val="32"/>
          <w:szCs w:val="32"/>
        </w:rPr>
        <w:t>外交（类）…（款）…（项）：指……。</w:t>
      </w:r>
    </w:p>
    <w:p w14:paraId="65DF6ABE">
      <w:pPr>
        <w:ind w:firstLine="640" w:firstLineChars="200"/>
        <w:rPr>
          <w:rFonts w:ascii="仿宋_GB2312" w:eastAsia="仿宋_GB2312"/>
          <w:color w:val="000000"/>
          <w:sz w:val="32"/>
          <w:szCs w:val="32"/>
        </w:rPr>
      </w:pPr>
      <w:r>
        <w:rPr>
          <w:rFonts w:ascii="仿宋_GB2312" w:eastAsia="仿宋_GB2312"/>
          <w:color w:val="000000"/>
          <w:sz w:val="32"/>
          <w:szCs w:val="32"/>
        </w:rPr>
        <w:t>11.</w:t>
      </w:r>
      <w:r>
        <w:rPr>
          <w:rFonts w:hint="eastAsia" w:ascii="仿宋_GB2312" w:eastAsia="仿宋_GB2312"/>
          <w:color w:val="000000"/>
          <w:sz w:val="32"/>
          <w:szCs w:val="32"/>
        </w:rPr>
        <w:t>公共安全（类）…（款）…（项）：指……。</w:t>
      </w:r>
    </w:p>
    <w:p w14:paraId="015A48CF">
      <w:pPr>
        <w:ind w:firstLine="640" w:firstLineChars="200"/>
        <w:rPr>
          <w:rFonts w:ascii="仿宋_GB2312" w:eastAsia="仿宋_GB2312"/>
          <w:color w:val="000000"/>
          <w:sz w:val="32"/>
          <w:szCs w:val="32"/>
        </w:rPr>
      </w:pPr>
      <w:r>
        <w:rPr>
          <w:rFonts w:ascii="仿宋_GB2312" w:eastAsia="仿宋_GB2312"/>
          <w:color w:val="000000"/>
          <w:sz w:val="32"/>
          <w:szCs w:val="32"/>
        </w:rPr>
        <w:t>12.</w:t>
      </w:r>
      <w:r>
        <w:rPr>
          <w:rFonts w:hint="eastAsia" w:ascii="仿宋_GB2312" w:eastAsia="仿宋_GB2312"/>
          <w:color w:val="000000"/>
          <w:sz w:val="32"/>
          <w:szCs w:val="32"/>
        </w:rPr>
        <w:t>教育（类）…（款）…（项）：指……。</w:t>
      </w:r>
    </w:p>
    <w:p w14:paraId="5DAF2F3C">
      <w:pPr>
        <w:ind w:firstLine="640" w:firstLineChars="200"/>
        <w:rPr>
          <w:rFonts w:ascii="仿宋_GB2312" w:eastAsia="仿宋_GB2312"/>
          <w:color w:val="000000"/>
          <w:sz w:val="32"/>
          <w:szCs w:val="32"/>
        </w:rPr>
      </w:pPr>
      <w:r>
        <w:rPr>
          <w:rFonts w:ascii="仿宋_GB2312" w:eastAsia="仿宋_GB2312"/>
          <w:color w:val="000000"/>
          <w:sz w:val="32"/>
          <w:szCs w:val="32"/>
        </w:rPr>
        <w:t>13.</w:t>
      </w:r>
      <w:r>
        <w:rPr>
          <w:rFonts w:hint="eastAsia" w:ascii="仿宋_GB2312" w:eastAsia="仿宋_GB2312"/>
          <w:color w:val="000000"/>
          <w:sz w:val="32"/>
          <w:szCs w:val="32"/>
        </w:rPr>
        <w:t>科学技术（类）…（款）…（项）：指……。</w:t>
      </w:r>
    </w:p>
    <w:p w14:paraId="624E514A">
      <w:pPr>
        <w:ind w:firstLine="640" w:firstLineChars="200"/>
        <w:rPr>
          <w:rFonts w:ascii="仿宋_GB2312" w:eastAsia="仿宋_GB2312"/>
          <w:color w:val="000000"/>
          <w:sz w:val="32"/>
          <w:szCs w:val="32"/>
        </w:rPr>
      </w:pPr>
      <w:r>
        <w:rPr>
          <w:rFonts w:ascii="仿宋_GB2312" w:eastAsia="仿宋_GB2312"/>
          <w:color w:val="000000"/>
          <w:sz w:val="32"/>
          <w:szCs w:val="32"/>
        </w:rPr>
        <w:t>14.</w:t>
      </w:r>
      <w:r>
        <w:rPr>
          <w:rFonts w:hint="eastAsia" w:ascii="仿宋_GB2312" w:eastAsia="仿宋_GB2312"/>
          <w:color w:val="000000"/>
          <w:sz w:val="32"/>
          <w:szCs w:val="32"/>
        </w:rPr>
        <w:t>文化体育与传媒（类）…（款）…（项）：指……。</w:t>
      </w:r>
    </w:p>
    <w:p w14:paraId="3E05D190">
      <w:pPr>
        <w:ind w:firstLine="640" w:firstLineChars="200"/>
        <w:rPr>
          <w:rFonts w:ascii="仿宋_GB2312" w:eastAsia="仿宋_GB2312"/>
          <w:color w:val="000000"/>
          <w:sz w:val="32"/>
          <w:szCs w:val="32"/>
        </w:rPr>
      </w:pPr>
      <w:r>
        <w:rPr>
          <w:rFonts w:ascii="仿宋_GB2312" w:eastAsia="仿宋_GB2312"/>
          <w:color w:val="000000"/>
          <w:sz w:val="32"/>
          <w:szCs w:val="32"/>
        </w:rPr>
        <w:t>15.</w:t>
      </w:r>
      <w:r>
        <w:rPr>
          <w:rFonts w:hint="eastAsia" w:ascii="仿宋_GB2312" w:eastAsia="仿宋_GB2312"/>
          <w:color w:val="000000"/>
          <w:sz w:val="32"/>
          <w:szCs w:val="32"/>
        </w:rPr>
        <w:t>社会保障和就业（类）…（款）…（项）：指……。</w:t>
      </w:r>
    </w:p>
    <w:p w14:paraId="45BC5C57">
      <w:pPr>
        <w:ind w:firstLine="640" w:firstLineChars="200"/>
        <w:rPr>
          <w:rFonts w:ascii="仿宋_GB2312" w:eastAsia="仿宋_GB2312"/>
          <w:color w:val="000000"/>
          <w:sz w:val="32"/>
          <w:szCs w:val="32"/>
        </w:rPr>
      </w:pPr>
      <w:r>
        <w:rPr>
          <w:rFonts w:ascii="仿宋_GB2312" w:eastAsia="仿宋_GB2312"/>
          <w:color w:val="000000"/>
          <w:sz w:val="32"/>
          <w:szCs w:val="32"/>
        </w:rPr>
        <w:t>16.</w:t>
      </w:r>
      <w:r>
        <w:rPr>
          <w:rFonts w:hint="eastAsia" w:ascii="仿宋_GB2312" w:eastAsia="仿宋_GB2312"/>
          <w:color w:val="000000"/>
          <w:sz w:val="32"/>
          <w:szCs w:val="32"/>
        </w:rPr>
        <w:t>医疗卫生与计划生育（类）…（款）…（项）：指……。</w:t>
      </w:r>
    </w:p>
    <w:p w14:paraId="4F95BF58">
      <w:pPr>
        <w:ind w:firstLine="640" w:firstLineChars="200"/>
        <w:rPr>
          <w:rFonts w:ascii="仿宋_GB2312" w:eastAsia="仿宋_GB2312"/>
          <w:color w:val="000000"/>
          <w:sz w:val="32"/>
          <w:szCs w:val="32"/>
        </w:rPr>
      </w:pPr>
      <w:r>
        <w:rPr>
          <w:rFonts w:ascii="仿宋_GB2312" w:eastAsia="仿宋_GB2312"/>
          <w:color w:val="000000"/>
          <w:sz w:val="32"/>
          <w:szCs w:val="32"/>
        </w:rPr>
        <w:t>17.</w:t>
      </w:r>
      <w:r>
        <w:rPr>
          <w:rFonts w:hint="eastAsia" w:ascii="仿宋_GB2312" w:eastAsia="仿宋_GB2312"/>
          <w:color w:val="000000"/>
          <w:sz w:val="32"/>
          <w:szCs w:val="32"/>
        </w:rPr>
        <w:t>节能环保（类）…（款）…（项）：指……。</w:t>
      </w:r>
    </w:p>
    <w:p w14:paraId="268E93BE">
      <w:pPr>
        <w:ind w:firstLine="640" w:firstLineChars="200"/>
        <w:rPr>
          <w:rFonts w:ascii="仿宋_GB2312" w:eastAsia="仿宋_GB2312"/>
          <w:color w:val="000000"/>
          <w:sz w:val="32"/>
          <w:szCs w:val="32"/>
        </w:rPr>
      </w:pPr>
      <w:r>
        <w:rPr>
          <w:rFonts w:ascii="仿宋_GB2312" w:eastAsia="仿宋_GB2312"/>
          <w:color w:val="000000"/>
          <w:sz w:val="32"/>
          <w:szCs w:val="32"/>
        </w:rPr>
        <w:t>18.</w:t>
      </w:r>
      <w:r>
        <w:rPr>
          <w:rFonts w:hint="eastAsia" w:ascii="仿宋_GB2312" w:eastAsia="仿宋_GB2312"/>
          <w:color w:val="000000"/>
          <w:sz w:val="32"/>
          <w:szCs w:val="32"/>
        </w:rPr>
        <w:t>城乡社区（类）…（款）…（项）：指……。</w:t>
      </w:r>
    </w:p>
    <w:p w14:paraId="43A16DE9">
      <w:pPr>
        <w:ind w:firstLine="640" w:firstLineChars="200"/>
        <w:rPr>
          <w:rFonts w:ascii="仿宋_GB2312" w:eastAsia="仿宋_GB2312"/>
          <w:color w:val="000000"/>
          <w:sz w:val="32"/>
          <w:szCs w:val="32"/>
        </w:rPr>
      </w:pPr>
      <w:r>
        <w:rPr>
          <w:rFonts w:ascii="仿宋_GB2312" w:eastAsia="仿宋_GB2312"/>
          <w:color w:val="000000"/>
          <w:sz w:val="32"/>
          <w:szCs w:val="32"/>
        </w:rPr>
        <w:t>19.</w:t>
      </w:r>
      <w:r>
        <w:rPr>
          <w:rFonts w:hint="eastAsia" w:ascii="仿宋_GB2312" w:eastAsia="仿宋_GB2312"/>
          <w:color w:val="000000"/>
          <w:sz w:val="32"/>
          <w:szCs w:val="32"/>
        </w:rPr>
        <w:t>农林水（类）…（款）…（项）：指……。</w:t>
      </w:r>
    </w:p>
    <w:p w14:paraId="3CF55203">
      <w:pPr>
        <w:ind w:firstLine="640" w:firstLineChars="200"/>
        <w:rPr>
          <w:rFonts w:ascii="仿宋_GB2312" w:eastAsia="仿宋_GB2312"/>
          <w:color w:val="000000"/>
          <w:sz w:val="32"/>
          <w:szCs w:val="32"/>
        </w:rPr>
      </w:pPr>
      <w:r>
        <w:rPr>
          <w:rFonts w:ascii="仿宋_GB2312" w:eastAsia="仿宋_GB2312"/>
          <w:color w:val="000000"/>
          <w:sz w:val="32"/>
          <w:szCs w:val="32"/>
        </w:rPr>
        <w:t>20.</w:t>
      </w:r>
      <w:r>
        <w:rPr>
          <w:rFonts w:hint="eastAsia" w:ascii="仿宋_GB2312" w:eastAsia="仿宋_GB2312"/>
          <w:color w:val="000000"/>
          <w:sz w:val="32"/>
          <w:szCs w:val="32"/>
        </w:rPr>
        <w:t>交通运输（类）…（款）…（项）：指……。</w:t>
      </w:r>
    </w:p>
    <w:p w14:paraId="172F6624">
      <w:pPr>
        <w:ind w:firstLine="640" w:firstLineChars="200"/>
        <w:rPr>
          <w:rFonts w:ascii="仿宋_GB2312" w:eastAsia="仿宋_GB2312"/>
          <w:color w:val="000000"/>
          <w:sz w:val="32"/>
          <w:szCs w:val="32"/>
        </w:rPr>
      </w:pPr>
      <w:r>
        <w:rPr>
          <w:rFonts w:ascii="仿宋_GB2312" w:eastAsia="仿宋_GB2312"/>
          <w:color w:val="000000"/>
          <w:sz w:val="32"/>
          <w:szCs w:val="32"/>
        </w:rPr>
        <w:t>21.</w:t>
      </w:r>
      <w:r>
        <w:rPr>
          <w:rFonts w:hint="eastAsia" w:ascii="仿宋_GB2312" w:eastAsia="仿宋_GB2312"/>
          <w:color w:val="000000"/>
          <w:sz w:val="32"/>
          <w:szCs w:val="32"/>
        </w:rPr>
        <w:t>资源勘探信息等（类）…（款）…（项）：指……。</w:t>
      </w:r>
    </w:p>
    <w:p w14:paraId="51235557">
      <w:pPr>
        <w:ind w:firstLine="640" w:firstLineChars="200"/>
        <w:rPr>
          <w:rFonts w:ascii="仿宋_GB2312" w:eastAsia="仿宋_GB2312"/>
          <w:color w:val="000000"/>
          <w:sz w:val="32"/>
          <w:szCs w:val="32"/>
        </w:rPr>
      </w:pPr>
      <w:r>
        <w:rPr>
          <w:rFonts w:ascii="仿宋_GB2312" w:eastAsia="仿宋_GB2312"/>
          <w:color w:val="000000"/>
          <w:sz w:val="32"/>
          <w:szCs w:val="32"/>
        </w:rPr>
        <w:t>22.</w:t>
      </w:r>
      <w:r>
        <w:rPr>
          <w:rFonts w:hint="eastAsia" w:ascii="仿宋_GB2312" w:eastAsia="仿宋_GB2312"/>
          <w:color w:val="000000"/>
          <w:sz w:val="32"/>
          <w:szCs w:val="32"/>
        </w:rPr>
        <w:t>商业服务业（类）…（款）…（项）：指……。</w:t>
      </w:r>
    </w:p>
    <w:p w14:paraId="79889568">
      <w:pPr>
        <w:ind w:firstLine="640" w:firstLineChars="200"/>
        <w:rPr>
          <w:rFonts w:ascii="仿宋_GB2312" w:eastAsia="仿宋_GB2312"/>
          <w:color w:val="000000"/>
          <w:sz w:val="32"/>
          <w:szCs w:val="32"/>
        </w:rPr>
      </w:pPr>
      <w:r>
        <w:rPr>
          <w:rFonts w:ascii="仿宋_GB2312" w:eastAsia="仿宋_GB2312"/>
          <w:color w:val="000000"/>
          <w:sz w:val="32"/>
          <w:szCs w:val="32"/>
        </w:rPr>
        <w:t>23.</w:t>
      </w:r>
      <w:r>
        <w:rPr>
          <w:rFonts w:hint="eastAsia" w:ascii="仿宋_GB2312" w:eastAsia="仿宋_GB2312"/>
          <w:color w:val="000000"/>
          <w:sz w:val="32"/>
          <w:szCs w:val="32"/>
        </w:rPr>
        <w:t>金融（类）…（款）…（项）：指……。</w:t>
      </w:r>
    </w:p>
    <w:p w14:paraId="481BA4A4">
      <w:pPr>
        <w:ind w:firstLine="640" w:firstLineChars="200"/>
        <w:rPr>
          <w:rFonts w:ascii="仿宋_GB2312" w:eastAsia="仿宋_GB2312"/>
          <w:color w:val="000000"/>
          <w:sz w:val="32"/>
          <w:szCs w:val="32"/>
        </w:rPr>
      </w:pPr>
      <w:r>
        <w:rPr>
          <w:rFonts w:ascii="仿宋_GB2312" w:eastAsia="仿宋_GB2312"/>
          <w:color w:val="000000"/>
          <w:sz w:val="32"/>
          <w:szCs w:val="32"/>
        </w:rPr>
        <w:t>24.</w:t>
      </w:r>
      <w:r>
        <w:rPr>
          <w:rFonts w:hint="eastAsia" w:ascii="仿宋_GB2312" w:eastAsia="仿宋_GB2312"/>
          <w:color w:val="000000"/>
          <w:sz w:val="32"/>
          <w:szCs w:val="32"/>
        </w:rPr>
        <w:t>国土海洋气象等（类）…（款）…（项）：指……。</w:t>
      </w:r>
    </w:p>
    <w:p w14:paraId="52A22C41">
      <w:pPr>
        <w:ind w:firstLine="640" w:firstLineChars="200"/>
        <w:rPr>
          <w:rFonts w:ascii="仿宋_GB2312" w:eastAsia="仿宋_GB2312"/>
          <w:color w:val="000000"/>
          <w:sz w:val="32"/>
          <w:szCs w:val="32"/>
        </w:rPr>
      </w:pPr>
      <w:r>
        <w:rPr>
          <w:rFonts w:ascii="仿宋_GB2312" w:eastAsia="仿宋_GB2312"/>
          <w:color w:val="000000"/>
          <w:sz w:val="32"/>
          <w:szCs w:val="32"/>
        </w:rPr>
        <w:t>25.</w:t>
      </w:r>
      <w:r>
        <w:rPr>
          <w:rFonts w:hint="eastAsia" w:ascii="仿宋_GB2312" w:eastAsia="仿宋_GB2312"/>
          <w:color w:val="000000"/>
          <w:sz w:val="32"/>
          <w:szCs w:val="32"/>
        </w:rPr>
        <w:t>住房保障（类）…（款）…（项）：指……。</w:t>
      </w:r>
    </w:p>
    <w:p w14:paraId="0CD2F926">
      <w:pPr>
        <w:ind w:firstLine="640" w:firstLineChars="200"/>
        <w:rPr>
          <w:rFonts w:ascii="仿宋_GB2312" w:eastAsia="仿宋_GB2312"/>
          <w:color w:val="000000"/>
          <w:sz w:val="32"/>
          <w:szCs w:val="32"/>
        </w:rPr>
      </w:pPr>
      <w:r>
        <w:rPr>
          <w:rFonts w:ascii="仿宋_GB2312" w:eastAsia="仿宋_GB2312"/>
          <w:color w:val="000000"/>
          <w:sz w:val="32"/>
          <w:szCs w:val="32"/>
        </w:rPr>
        <w:t>26.</w:t>
      </w:r>
      <w:r>
        <w:rPr>
          <w:rFonts w:hint="eastAsia" w:ascii="仿宋_GB2312" w:eastAsia="仿宋_GB2312"/>
          <w:color w:val="000000"/>
          <w:sz w:val="32"/>
          <w:szCs w:val="32"/>
        </w:rPr>
        <w:t>粮油物资储备（类）…（款）…（项）：指……。</w:t>
      </w:r>
    </w:p>
    <w:p w14:paraId="61612294">
      <w:pPr>
        <w:spacing w:line="600" w:lineRule="exact"/>
        <w:ind w:firstLine="640"/>
        <w:rPr>
          <w:rFonts w:ascii="仿宋" w:hAnsi="仿宋" w:eastAsia="仿宋"/>
          <w:b/>
          <w:color w:val="000000"/>
          <w:sz w:val="32"/>
          <w:szCs w:val="32"/>
        </w:rPr>
      </w:pPr>
      <w:r>
        <w:rPr>
          <w:rFonts w:hint="eastAsia" w:ascii="仿宋" w:hAnsi="仿宋" w:eastAsia="仿宋"/>
          <w:b/>
          <w:color w:val="000000"/>
          <w:sz w:val="32"/>
          <w:szCs w:val="32"/>
        </w:rPr>
        <w:t>（解释本部门决算报表中全部功能分类科目至项级，请参照《</w:t>
      </w:r>
      <w:r>
        <w:rPr>
          <w:rFonts w:ascii="仿宋" w:hAnsi="仿宋" w:eastAsia="仿宋"/>
          <w:b/>
          <w:color w:val="000000"/>
          <w:sz w:val="32"/>
          <w:szCs w:val="32"/>
        </w:rPr>
        <w:t>2020</w:t>
      </w:r>
      <w:r>
        <w:rPr>
          <w:rFonts w:hint="eastAsia" w:ascii="仿宋" w:hAnsi="仿宋" w:eastAsia="仿宋"/>
          <w:b/>
          <w:color w:val="000000"/>
          <w:sz w:val="32"/>
          <w:szCs w:val="32"/>
        </w:rPr>
        <w:t>年政府收支分类科目》增减内容。）</w:t>
      </w:r>
    </w:p>
    <w:p w14:paraId="2169483C">
      <w:pPr>
        <w:ind w:firstLine="640" w:firstLineChars="200"/>
        <w:rPr>
          <w:rFonts w:ascii="仿宋_GB2312" w:eastAsia="仿宋_GB2312"/>
          <w:color w:val="000000"/>
          <w:sz w:val="32"/>
          <w:szCs w:val="32"/>
        </w:rPr>
      </w:pPr>
      <w:r>
        <w:rPr>
          <w:rFonts w:ascii="仿宋_GB2312" w:eastAsia="仿宋_GB2312"/>
          <w:color w:val="000000"/>
          <w:sz w:val="32"/>
          <w:szCs w:val="32"/>
        </w:rPr>
        <w:t>27.</w:t>
      </w:r>
      <w:r>
        <w:rPr>
          <w:rFonts w:hint="eastAsia" w:ascii="仿宋_GB2312" w:eastAsia="仿宋_GB2312"/>
          <w:color w:val="000000"/>
          <w:sz w:val="32"/>
          <w:szCs w:val="32"/>
        </w:rPr>
        <w:t>基本支出：指为保障机构正常运转、完成日常工作任务而发生的人员支出和公用支出。</w:t>
      </w:r>
    </w:p>
    <w:p w14:paraId="478CD36C">
      <w:pPr>
        <w:ind w:firstLine="640" w:firstLineChars="200"/>
        <w:rPr>
          <w:rFonts w:ascii="仿宋_GB2312" w:eastAsia="仿宋_GB2312"/>
          <w:color w:val="000000"/>
          <w:sz w:val="32"/>
          <w:szCs w:val="32"/>
        </w:rPr>
      </w:pPr>
      <w:r>
        <w:rPr>
          <w:rFonts w:ascii="仿宋_GB2312" w:eastAsia="仿宋_GB2312"/>
          <w:color w:val="000000"/>
          <w:sz w:val="32"/>
          <w:szCs w:val="32"/>
        </w:rPr>
        <w:t>28.</w:t>
      </w:r>
      <w:r>
        <w:rPr>
          <w:rFonts w:hint="eastAsia" w:ascii="仿宋_GB2312" w:eastAsia="仿宋_GB2312"/>
          <w:color w:val="000000"/>
          <w:sz w:val="32"/>
          <w:szCs w:val="32"/>
        </w:rPr>
        <w:t>项目支出：指在基本支出之外为完成特定行政任务和事业发展目标所发生的支出。</w:t>
      </w:r>
      <w:r>
        <w:rPr>
          <w:rFonts w:ascii="仿宋_GB2312" w:eastAsia="仿宋_GB2312"/>
          <w:color w:val="000000"/>
          <w:sz w:val="32"/>
          <w:szCs w:val="32"/>
        </w:rPr>
        <w:t xml:space="preserve"> </w:t>
      </w:r>
    </w:p>
    <w:p w14:paraId="21919763">
      <w:pPr>
        <w:ind w:firstLine="640" w:firstLineChars="200"/>
        <w:rPr>
          <w:rFonts w:ascii="仿宋_GB2312" w:eastAsia="仿宋_GB2312"/>
          <w:color w:val="000000"/>
          <w:sz w:val="32"/>
          <w:szCs w:val="32"/>
        </w:rPr>
      </w:pPr>
      <w:r>
        <w:rPr>
          <w:rFonts w:ascii="仿宋_GB2312" w:eastAsia="仿宋_GB2312"/>
          <w:color w:val="000000"/>
          <w:sz w:val="32"/>
          <w:szCs w:val="32"/>
        </w:rPr>
        <w:t>29.</w:t>
      </w:r>
      <w:r>
        <w:rPr>
          <w:rFonts w:hint="eastAsia" w:ascii="仿宋_GB2312" w:eastAsia="仿宋_GB2312"/>
          <w:color w:val="000000"/>
          <w:sz w:val="32"/>
          <w:szCs w:val="32"/>
        </w:rPr>
        <w:t>经营支出：指事业单位在专业业务活动及其辅助活动之外开展非独立核算经营活动发生的支出。</w:t>
      </w:r>
    </w:p>
    <w:p w14:paraId="154B62F0">
      <w:pPr>
        <w:pStyle w:val="36"/>
        <w:spacing w:line="560" w:lineRule="exact"/>
        <w:ind w:firstLine="640" w:firstLineChars="200"/>
        <w:rPr>
          <w:rFonts w:ascii="仿宋_GB2312" w:eastAsia="仿宋_GB2312"/>
          <w:sz w:val="32"/>
          <w:szCs w:val="32"/>
        </w:rPr>
      </w:pPr>
      <w:r>
        <w:rPr>
          <w:rFonts w:ascii="仿宋_GB2312" w:eastAsia="仿宋_GB2312"/>
          <w:sz w:val="32"/>
          <w:szCs w:val="32"/>
        </w:rPr>
        <w:t>30.</w:t>
      </w:r>
      <w:r>
        <w:rPr>
          <w:rFonts w:hint="eastAsia" w:ascii="仿宋_GB2312" w:eastAsia="仿宋_GB2312"/>
          <w:sz w:val="32"/>
          <w:szCs w:val="32"/>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20601803">
      <w:pPr>
        <w:pStyle w:val="36"/>
        <w:spacing w:line="560" w:lineRule="exact"/>
        <w:ind w:firstLine="640" w:firstLineChars="200"/>
        <w:rPr>
          <w:rFonts w:ascii="仿宋_GB2312" w:eastAsia="仿宋_GB2312"/>
          <w:sz w:val="32"/>
          <w:szCs w:val="32"/>
        </w:rPr>
      </w:pPr>
      <w:r>
        <w:rPr>
          <w:rFonts w:ascii="仿宋_GB2312" w:eastAsia="仿宋_GB2312"/>
          <w:sz w:val="32"/>
          <w:szCs w:val="32"/>
        </w:rPr>
        <w:t>31.</w:t>
      </w:r>
      <w:r>
        <w:rPr>
          <w:rFonts w:hint="eastAsia" w:ascii="仿宋_GB2312" w:eastAsia="仿宋_GB2312"/>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37A21CFE">
      <w:pPr>
        <w:pStyle w:val="36"/>
        <w:spacing w:line="560" w:lineRule="exact"/>
        <w:ind w:firstLine="640" w:firstLineChars="200"/>
        <w:rPr>
          <w:rFonts w:ascii="仿宋_GB2312" w:eastAsia="仿宋_GB2312" w:cs="黑体"/>
          <w:sz w:val="32"/>
          <w:szCs w:val="32"/>
        </w:rPr>
      </w:pPr>
    </w:p>
    <w:p w14:paraId="1AC31736">
      <w:pPr>
        <w:ind w:firstLine="643" w:firstLineChars="200"/>
        <w:rPr>
          <w:rFonts w:ascii="仿宋" w:hAnsi="仿宋" w:eastAsia="仿宋"/>
          <w:b/>
          <w:color w:val="000000"/>
          <w:sz w:val="32"/>
          <w:szCs w:val="32"/>
        </w:rPr>
      </w:pPr>
      <w:r>
        <w:rPr>
          <w:rFonts w:hint="eastAsia" w:ascii="仿宋" w:hAnsi="仿宋" w:eastAsia="仿宋"/>
          <w:b/>
          <w:color w:val="000000"/>
          <w:sz w:val="32"/>
          <w:szCs w:val="32"/>
        </w:rPr>
        <w:t>（名词解释部分请根据各部门实际列支情况罗列，并根据本部门职责职能增减名词解释内容。）</w:t>
      </w:r>
    </w:p>
    <w:p w14:paraId="1809E707">
      <w:pPr>
        <w:spacing w:line="600" w:lineRule="exact"/>
        <w:jc w:val="center"/>
        <w:outlineLvl w:val="0"/>
        <w:rPr>
          <w:rFonts w:hint="eastAsia" w:ascii="宋体" w:hAnsi="宋体" w:eastAsia="宋体" w:cs="宋体"/>
          <w:kern w:val="0"/>
          <w:sz w:val="32"/>
          <w:szCs w:val="32"/>
          <w:shd w:val="clear" w:fill="FFFFFF"/>
        </w:rPr>
      </w:pPr>
      <w:bookmarkStart w:id="94" w:name="_Toc15377226"/>
      <w:r>
        <w:rPr>
          <w:rFonts w:ascii="宋体"/>
          <w:b/>
          <w:color w:val="000000"/>
          <w:sz w:val="44"/>
          <w:szCs w:val="44"/>
        </w:rPr>
        <w:br w:type="page"/>
      </w:r>
      <w:bookmarkStart w:id="95" w:name="_Toc79163880"/>
      <w:bookmarkStart w:id="96" w:name="_Toc15396614"/>
      <w:bookmarkStart w:id="97" w:name="_Toc79163630"/>
      <w:r>
        <w:rPr>
          <w:rFonts w:hint="eastAsia" w:ascii="黑体" w:hAnsi="黑体" w:eastAsia="黑体"/>
          <w:color w:val="000000"/>
          <w:sz w:val="44"/>
          <w:szCs w:val="44"/>
        </w:rPr>
        <w:t>第</w:t>
      </w:r>
      <w:r>
        <w:rPr>
          <w:rStyle w:val="26"/>
          <w:rFonts w:hint="eastAsia" w:ascii="黑体" w:hAnsi="黑体" w:eastAsia="黑体"/>
          <w:b w:val="0"/>
        </w:rPr>
        <w:t>四部分</w:t>
      </w:r>
      <w:r>
        <w:rPr>
          <w:rStyle w:val="26"/>
          <w:rFonts w:ascii="黑体" w:hAnsi="黑体" w:eastAsia="黑体"/>
          <w:b w:val="0"/>
        </w:rPr>
        <w:t xml:space="preserve"> </w:t>
      </w:r>
      <w:r>
        <w:rPr>
          <w:rStyle w:val="26"/>
          <w:rFonts w:hint="eastAsia" w:ascii="黑体" w:hAnsi="黑体" w:eastAsia="黑体"/>
          <w:b w:val="0"/>
        </w:rPr>
        <w:t>附件</w:t>
      </w:r>
      <w:bookmarkEnd w:id="95"/>
      <w:bookmarkEnd w:id="96"/>
      <w:bookmarkEnd w:id="97"/>
      <w:bookmarkStart w:id="98" w:name="_Toc79163885"/>
      <w:bookmarkStart w:id="99" w:name="_Toc79163635"/>
      <w:bookmarkStart w:id="100" w:name="_Toc15396618"/>
    </w:p>
    <w:p w14:paraId="49302F76">
      <w:pPr>
        <w:pStyle w:val="42"/>
        <w:keepNext w:val="0"/>
        <w:keepLines w:val="0"/>
        <w:widowControl/>
        <w:suppressLineNumbers w:val="0"/>
        <w:spacing w:before="0" w:beforeAutospacing="0"/>
        <w:ind w:left="0"/>
        <w:jc w:val="center"/>
        <w:rPr>
          <w:rFonts w:ascii="仿宋_GB2312" w:hAnsi="仿宋_GB2312" w:eastAsia="仿宋_GB2312" w:cs="仿宋_GB2312"/>
          <w:sz w:val="32"/>
          <w:szCs w:val="32"/>
        </w:rPr>
      </w:pPr>
      <w:r>
        <w:rPr>
          <w:rFonts w:hint="eastAsia" w:ascii="宋体" w:hAnsi="宋体" w:eastAsia="宋体" w:cs="宋体"/>
          <w:kern w:val="0"/>
          <w:sz w:val="32"/>
          <w:szCs w:val="32"/>
          <w:shd w:val="clear" w:fill="FFFFFF"/>
        </w:rPr>
        <w:t>部门预算项目支出绩效自评表（2022年度）</w:t>
      </w:r>
    </w:p>
    <w:tbl>
      <w:tblPr>
        <w:tblStyle w:val="22"/>
        <w:tblpPr w:leftFromText="180" w:rightFromText="180" w:vertAnchor="text" w:horzAnchor="page" w:tblpXSpec="center" w:tblpY="423"/>
        <w:tblOverlap w:val="never"/>
        <w:tblW w:w="9960" w:type="dxa"/>
        <w:jc w:val="center"/>
        <w:tblLayout w:type="fixed"/>
        <w:tblCellMar>
          <w:top w:w="0" w:type="dxa"/>
          <w:left w:w="0" w:type="dxa"/>
          <w:bottom w:w="0" w:type="dxa"/>
          <w:right w:w="0" w:type="dxa"/>
        </w:tblCellMar>
      </w:tblPr>
      <w:tblGrid>
        <w:gridCol w:w="759"/>
        <w:gridCol w:w="998"/>
        <w:gridCol w:w="1025"/>
        <w:gridCol w:w="2392"/>
        <w:gridCol w:w="2394"/>
        <w:gridCol w:w="2392"/>
      </w:tblGrid>
      <w:tr w14:paraId="580198A0">
        <w:tblPrEx>
          <w:tblCellMar>
            <w:top w:w="0" w:type="dxa"/>
            <w:left w:w="0" w:type="dxa"/>
            <w:bottom w:w="0" w:type="dxa"/>
            <w:right w:w="0" w:type="dxa"/>
          </w:tblCellMar>
        </w:tblPrEx>
        <w:trPr>
          <w:trHeight w:val="1392" w:hRule="atLeast"/>
          <w:jc w:val="center"/>
        </w:trPr>
        <w:tc>
          <w:tcPr>
            <w:tcW w:w="9960" w:type="dxa"/>
            <w:gridSpan w:val="6"/>
            <w:tcBorders>
              <w:top w:val="nil"/>
              <w:left w:val="nil"/>
              <w:bottom w:val="nil"/>
              <w:right w:val="nil"/>
            </w:tcBorders>
            <w:tcMar>
              <w:top w:w="15" w:type="dxa"/>
              <w:left w:w="15" w:type="dxa"/>
              <w:right w:w="15" w:type="dxa"/>
            </w:tcMar>
            <w:vAlign w:val="center"/>
          </w:tcPr>
          <w:p w14:paraId="43C9CDC6">
            <w:pPr>
              <w:widowControl/>
              <w:jc w:val="center"/>
              <w:textAlignment w:val="center"/>
              <w:rPr>
                <w:rFonts w:hint="eastAsia" w:ascii="宋体" w:hAnsi="宋体" w:eastAsia="宋体" w:cs="宋体"/>
                <w:b/>
                <w:bCs/>
                <w:color w:val="000000"/>
                <w:kern w:val="0"/>
                <w:sz w:val="36"/>
                <w:szCs w:val="36"/>
                <w:lang w:eastAsia="zh-CN" w:bidi="ar"/>
              </w:rPr>
            </w:pPr>
            <w:r>
              <w:rPr>
                <w:rFonts w:hint="eastAsia" w:ascii="宋体" w:hAnsi="宋体" w:cs="宋体"/>
                <w:b/>
                <w:bCs/>
                <w:color w:val="000000"/>
                <w:kern w:val="0"/>
                <w:sz w:val="36"/>
                <w:szCs w:val="36"/>
                <w:lang w:bidi="ar"/>
              </w:rPr>
              <w:t>项目绩效目标完成情况表</w:t>
            </w:r>
          </w:p>
          <w:p w14:paraId="340836F1">
            <w:pPr>
              <w:widowControl/>
              <w:jc w:val="center"/>
              <w:textAlignment w:val="center"/>
              <w:rPr>
                <w:rFonts w:ascii="宋体" w:cs="宋体"/>
                <w:color w:val="000000"/>
                <w:sz w:val="36"/>
                <w:szCs w:val="36"/>
              </w:rPr>
            </w:pPr>
            <w:r>
              <w:rPr>
                <w:rFonts w:ascii="宋体" w:hAnsi="宋体" w:cs="宋体"/>
                <w:color w:val="000000"/>
                <w:kern w:val="0"/>
                <w:sz w:val="36"/>
                <w:szCs w:val="36"/>
                <w:lang w:bidi="ar"/>
              </w:rPr>
              <w:t>(202</w:t>
            </w:r>
            <w:r>
              <w:rPr>
                <w:rFonts w:hint="eastAsia" w:ascii="宋体" w:hAnsi="宋体" w:cs="宋体"/>
                <w:color w:val="000000"/>
                <w:kern w:val="0"/>
                <w:sz w:val="36"/>
                <w:szCs w:val="36"/>
                <w:lang w:val="en-US" w:eastAsia="zh-CN" w:bidi="ar"/>
              </w:rPr>
              <w:t>2</w:t>
            </w:r>
            <w:r>
              <w:rPr>
                <w:rFonts w:hint="eastAsia" w:ascii="宋体" w:hAnsi="宋体" w:cs="宋体"/>
                <w:color w:val="000000"/>
                <w:kern w:val="0"/>
                <w:sz w:val="36"/>
                <w:szCs w:val="36"/>
                <w:lang w:bidi="ar"/>
              </w:rPr>
              <w:t>年度</w:t>
            </w:r>
            <w:r>
              <w:rPr>
                <w:rFonts w:hint="eastAsia" w:ascii="宋体" w:hAnsi="宋体" w:cs="宋体"/>
                <w:color w:val="000000"/>
                <w:kern w:val="0"/>
                <w:sz w:val="36"/>
                <w:szCs w:val="36"/>
                <w:lang w:eastAsia="zh-CN" w:bidi="ar"/>
              </w:rPr>
              <w:t>）</w:t>
            </w:r>
          </w:p>
        </w:tc>
      </w:tr>
      <w:tr w14:paraId="677FC4C3">
        <w:tblPrEx>
          <w:tblCellMar>
            <w:top w:w="0" w:type="dxa"/>
            <w:left w:w="0" w:type="dxa"/>
            <w:bottom w:w="0" w:type="dxa"/>
            <w:right w:w="0" w:type="dxa"/>
          </w:tblCellMar>
        </w:tblPrEx>
        <w:trPr>
          <w:trHeight w:val="276" w:hRule="atLeast"/>
          <w:jc w:val="center"/>
        </w:trPr>
        <w:tc>
          <w:tcPr>
            <w:tcW w:w="2782"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7D25FE4">
            <w:pPr>
              <w:widowControl/>
              <w:jc w:val="center"/>
              <w:textAlignment w:val="center"/>
              <w:rPr>
                <w:rFonts w:ascii="宋体" w:cs="宋体"/>
                <w:color w:val="000000"/>
                <w:sz w:val="24"/>
              </w:rPr>
            </w:pPr>
            <w:r>
              <w:rPr>
                <w:rFonts w:hint="eastAsia" w:ascii="宋体" w:hAnsi="宋体" w:cs="宋体"/>
                <w:color w:val="000000"/>
                <w:kern w:val="0"/>
                <w:sz w:val="24"/>
                <w:lang w:bidi="ar"/>
              </w:rPr>
              <w:t>项目名称</w:t>
            </w:r>
          </w:p>
        </w:tc>
        <w:tc>
          <w:tcPr>
            <w:tcW w:w="7178"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7F1102F">
            <w:pPr>
              <w:widowControl/>
              <w:jc w:val="center"/>
              <w:textAlignment w:val="center"/>
              <w:rPr>
                <w:rFonts w:hint="eastAsia" w:ascii="宋体" w:eastAsia="仿宋" w:cs="宋体"/>
                <w:color w:val="000000"/>
                <w:sz w:val="24"/>
                <w:lang w:val="en-US" w:eastAsia="zh-CN"/>
              </w:rPr>
            </w:pPr>
            <w:r>
              <w:rPr>
                <w:rFonts w:hint="eastAsia" w:ascii="宋体" w:hAnsi="宋体" w:cs="宋体"/>
                <w:color w:val="000000"/>
                <w:kern w:val="0"/>
                <w:sz w:val="24"/>
                <w:lang w:eastAsia="zh-CN" w:bidi="ar"/>
              </w:rPr>
              <w:t>镇区道路、公共场地环卫市场化运行作业经费</w:t>
            </w:r>
          </w:p>
        </w:tc>
      </w:tr>
      <w:tr w14:paraId="781EFECF">
        <w:tblPrEx>
          <w:tblCellMar>
            <w:top w:w="0" w:type="dxa"/>
            <w:left w:w="0" w:type="dxa"/>
            <w:bottom w:w="0" w:type="dxa"/>
            <w:right w:w="0" w:type="dxa"/>
          </w:tblCellMar>
        </w:tblPrEx>
        <w:trPr>
          <w:trHeight w:val="276" w:hRule="atLeast"/>
          <w:jc w:val="center"/>
        </w:trPr>
        <w:tc>
          <w:tcPr>
            <w:tcW w:w="2782"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23BD90A">
            <w:pPr>
              <w:widowControl/>
              <w:jc w:val="center"/>
              <w:textAlignment w:val="center"/>
              <w:rPr>
                <w:rFonts w:ascii="宋体" w:cs="宋体"/>
                <w:color w:val="000000"/>
                <w:sz w:val="24"/>
              </w:rPr>
            </w:pPr>
            <w:r>
              <w:rPr>
                <w:rFonts w:hint="eastAsia" w:ascii="宋体" w:hAnsi="宋体" w:cs="宋体"/>
                <w:color w:val="000000"/>
                <w:kern w:val="0"/>
                <w:sz w:val="24"/>
                <w:lang w:bidi="ar"/>
              </w:rPr>
              <w:t>预算单位</w:t>
            </w:r>
          </w:p>
        </w:tc>
        <w:tc>
          <w:tcPr>
            <w:tcW w:w="7178"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5B8B898">
            <w:pPr>
              <w:widowControl/>
              <w:jc w:val="center"/>
              <w:textAlignment w:val="center"/>
              <w:rPr>
                <w:rFonts w:hint="eastAsia" w:ascii="宋体" w:eastAsia="宋体" w:cs="宋体"/>
                <w:color w:val="000000"/>
                <w:sz w:val="24"/>
                <w:lang w:eastAsia="zh-CN"/>
              </w:rPr>
            </w:pPr>
            <w:r>
              <w:rPr>
                <w:rFonts w:hint="eastAsia" w:ascii="宋体" w:cs="宋体"/>
                <w:color w:val="000000"/>
                <w:sz w:val="24"/>
                <w:lang w:eastAsia="zh-CN"/>
              </w:rPr>
              <w:t>松潘县川主寺镇人民政府</w:t>
            </w:r>
          </w:p>
        </w:tc>
      </w:tr>
      <w:tr w14:paraId="1F39E610">
        <w:tblPrEx>
          <w:tblCellMar>
            <w:top w:w="0" w:type="dxa"/>
            <w:left w:w="0" w:type="dxa"/>
            <w:bottom w:w="0" w:type="dxa"/>
            <w:right w:w="0" w:type="dxa"/>
          </w:tblCellMar>
        </w:tblPrEx>
        <w:trPr>
          <w:trHeight w:val="276" w:hRule="atLeast"/>
          <w:jc w:val="center"/>
        </w:trPr>
        <w:tc>
          <w:tcPr>
            <w:tcW w:w="759"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8652AF4">
            <w:pPr>
              <w:widowControl/>
              <w:jc w:val="center"/>
              <w:textAlignment w:val="center"/>
              <w:rPr>
                <w:rFonts w:ascii="宋体" w:cs="宋体"/>
                <w:color w:val="000000"/>
                <w:sz w:val="24"/>
              </w:rPr>
            </w:pPr>
            <w:r>
              <w:rPr>
                <w:rFonts w:hint="eastAsia" w:ascii="宋体" w:hAnsi="宋体" w:cs="宋体"/>
                <w:color w:val="000000"/>
                <w:kern w:val="0"/>
                <w:sz w:val="24"/>
                <w:lang w:bidi="ar"/>
              </w:rPr>
              <w:t>预算执行情况</w:t>
            </w:r>
            <w:r>
              <w:rPr>
                <w:rFonts w:hint="eastAsia" w:ascii="宋体" w:hAnsi="宋体" w:cs="宋体"/>
                <w:color w:val="000000"/>
                <w:kern w:val="0"/>
                <w:sz w:val="24"/>
                <w:lang w:eastAsia="zh-CN" w:bidi="ar"/>
              </w:rPr>
              <w:t>（</w:t>
            </w:r>
            <w:r>
              <w:rPr>
                <w:rFonts w:hint="eastAsia" w:ascii="宋体" w:hAnsi="宋体" w:cs="宋体"/>
                <w:color w:val="000000"/>
                <w:kern w:val="0"/>
                <w:sz w:val="24"/>
                <w:lang w:bidi="ar"/>
              </w:rPr>
              <w:t>万元</w:t>
            </w:r>
            <w:r>
              <w:rPr>
                <w:rFonts w:hint="eastAsia" w:ascii="宋体" w:hAnsi="宋体" w:cs="宋体"/>
                <w:color w:val="000000"/>
                <w:kern w:val="0"/>
                <w:sz w:val="24"/>
                <w:lang w:eastAsia="zh-CN" w:bidi="ar"/>
              </w:rPr>
              <w:t>）</w:t>
            </w:r>
          </w:p>
        </w:tc>
        <w:tc>
          <w:tcPr>
            <w:tcW w:w="2023"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FCC9672">
            <w:pPr>
              <w:widowControl/>
              <w:jc w:val="center"/>
              <w:textAlignment w:val="center"/>
              <w:rPr>
                <w:rFonts w:ascii="宋体" w:cs="宋体"/>
                <w:color w:val="000000"/>
                <w:sz w:val="24"/>
              </w:rPr>
            </w:pPr>
            <w:r>
              <w:rPr>
                <w:rFonts w:hint="eastAsia" w:ascii="宋体" w:hAnsi="宋体" w:cs="宋体"/>
                <w:color w:val="000000"/>
                <w:kern w:val="0"/>
                <w:sz w:val="24"/>
                <w:lang w:bidi="ar"/>
              </w:rPr>
              <w:t>预算数</w:t>
            </w:r>
            <w:r>
              <w:rPr>
                <w:rFonts w:hint="eastAsia" w:ascii="宋体" w:hAnsi="宋体" w:cs="宋体"/>
                <w:color w:val="000000"/>
                <w:kern w:val="0"/>
                <w:sz w:val="24"/>
                <w:lang w:eastAsia="zh-CN" w:bidi="ar"/>
              </w:rPr>
              <w:t>：</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F5F5207">
            <w:pPr>
              <w:widowControl/>
              <w:jc w:val="center"/>
              <w:textAlignment w:val="center"/>
              <w:rPr>
                <w:rFonts w:hint="default" w:ascii="宋体" w:eastAsia="宋体" w:cs="宋体"/>
                <w:color w:val="000000"/>
                <w:sz w:val="24"/>
                <w:lang w:val="en-US" w:eastAsia="zh-CN"/>
              </w:rPr>
            </w:pPr>
            <w:r>
              <w:rPr>
                <w:rFonts w:hint="eastAsia" w:ascii="宋体" w:cs="宋体"/>
                <w:color w:val="000000"/>
                <w:sz w:val="24"/>
                <w:lang w:val="en-US" w:eastAsia="zh-CN"/>
              </w:rPr>
              <w:t>248.13</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FEDFE04">
            <w:pPr>
              <w:widowControl/>
              <w:jc w:val="center"/>
              <w:textAlignment w:val="center"/>
              <w:rPr>
                <w:rFonts w:ascii="宋体" w:cs="宋体"/>
                <w:color w:val="000000"/>
                <w:sz w:val="24"/>
              </w:rPr>
            </w:pPr>
            <w:r>
              <w:rPr>
                <w:rFonts w:hint="eastAsia" w:ascii="宋体" w:hAnsi="宋体" w:cs="宋体"/>
                <w:color w:val="000000"/>
                <w:kern w:val="0"/>
                <w:sz w:val="24"/>
                <w:lang w:bidi="ar"/>
              </w:rPr>
              <w:t>执行数</w:t>
            </w:r>
            <w:r>
              <w:rPr>
                <w:rFonts w:hint="eastAsia" w:ascii="宋体" w:hAnsi="宋体" w:cs="宋体"/>
                <w:color w:val="000000"/>
                <w:kern w:val="0"/>
                <w:sz w:val="24"/>
                <w:lang w:eastAsia="zh-CN" w:bidi="ar"/>
              </w:rPr>
              <w:t>：</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94734A6">
            <w:pPr>
              <w:widowControl/>
              <w:jc w:val="center"/>
              <w:textAlignment w:val="center"/>
              <w:rPr>
                <w:rFonts w:hint="default" w:ascii="宋体" w:eastAsia="宋体" w:cs="宋体"/>
                <w:color w:val="000000"/>
                <w:sz w:val="24"/>
                <w:lang w:val="en-US" w:eastAsia="zh-CN"/>
              </w:rPr>
            </w:pPr>
            <w:r>
              <w:rPr>
                <w:rFonts w:hint="eastAsia" w:ascii="宋体" w:cs="宋体"/>
                <w:color w:val="000000"/>
                <w:sz w:val="24"/>
                <w:lang w:val="en-US" w:eastAsia="zh-CN"/>
              </w:rPr>
              <w:t>248.13</w:t>
            </w:r>
          </w:p>
        </w:tc>
      </w:tr>
      <w:tr w14:paraId="15D23B66">
        <w:tblPrEx>
          <w:tblCellMar>
            <w:top w:w="0" w:type="dxa"/>
            <w:left w:w="0" w:type="dxa"/>
            <w:bottom w:w="0" w:type="dxa"/>
            <w:right w:w="0" w:type="dxa"/>
          </w:tblCellMar>
        </w:tblPrEx>
        <w:trPr>
          <w:trHeight w:val="276" w:hRule="atLeast"/>
          <w:jc w:val="center"/>
        </w:trPr>
        <w:tc>
          <w:tcPr>
            <w:tcW w:w="759"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FB8E08F">
            <w:pPr>
              <w:jc w:val="center"/>
              <w:rPr>
                <w:rFonts w:ascii="宋体" w:cs="宋体"/>
                <w:color w:val="000000"/>
                <w:sz w:val="24"/>
              </w:rPr>
            </w:pPr>
          </w:p>
        </w:tc>
        <w:tc>
          <w:tcPr>
            <w:tcW w:w="2023"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4D5DAD4">
            <w:pPr>
              <w:widowControl/>
              <w:jc w:val="center"/>
              <w:textAlignment w:val="center"/>
              <w:rPr>
                <w:rFonts w:ascii="宋体" w:cs="宋体"/>
                <w:color w:val="000000"/>
                <w:sz w:val="24"/>
              </w:rPr>
            </w:pPr>
            <w:r>
              <w:rPr>
                <w:rFonts w:hint="eastAsia" w:ascii="宋体" w:hAnsi="宋体" w:cs="宋体"/>
                <w:color w:val="000000"/>
                <w:kern w:val="0"/>
                <w:sz w:val="24"/>
                <w:lang w:bidi="ar"/>
              </w:rPr>
              <w:t>其中</w:t>
            </w:r>
            <w:r>
              <w:rPr>
                <w:rFonts w:hint="eastAsia" w:ascii="宋体" w:hAnsi="宋体" w:cs="宋体"/>
                <w:color w:val="000000"/>
                <w:kern w:val="0"/>
                <w:sz w:val="24"/>
                <w:lang w:eastAsia="zh-CN" w:bidi="ar"/>
              </w:rPr>
              <w:t>－</w:t>
            </w:r>
            <w:r>
              <w:rPr>
                <w:rFonts w:hint="eastAsia" w:ascii="宋体" w:hAnsi="宋体" w:cs="宋体"/>
                <w:color w:val="000000"/>
                <w:kern w:val="0"/>
                <w:sz w:val="24"/>
                <w:lang w:bidi="ar"/>
              </w:rPr>
              <w:t>财政拨款</w:t>
            </w:r>
            <w:r>
              <w:rPr>
                <w:rFonts w:hint="eastAsia" w:ascii="宋体" w:hAnsi="宋体" w:cs="宋体"/>
                <w:color w:val="000000"/>
                <w:kern w:val="0"/>
                <w:sz w:val="24"/>
                <w:lang w:eastAsia="zh-CN" w:bidi="ar"/>
              </w:rPr>
              <w:t>：</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2EAEE8F">
            <w:pPr>
              <w:widowControl/>
              <w:jc w:val="center"/>
              <w:textAlignment w:val="center"/>
              <w:rPr>
                <w:rFonts w:hint="default" w:ascii="宋体" w:eastAsia="宋体" w:cs="宋体"/>
                <w:color w:val="000000"/>
                <w:sz w:val="24"/>
                <w:lang w:val="en-US" w:eastAsia="zh-CN"/>
              </w:rPr>
            </w:pPr>
            <w:r>
              <w:rPr>
                <w:rFonts w:hint="eastAsia" w:ascii="宋体" w:cs="宋体"/>
                <w:color w:val="000000"/>
                <w:sz w:val="24"/>
                <w:lang w:val="en-US" w:eastAsia="zh-CN"/>
              </w:rPr>
              <w:t>248.13</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7606A02">
            <w:pPr>
              <w:widowControl/>
              <w:jc w:val="center"/>
              <w:textAlignment w:val="center"/>
              <w:rPr>
                <w:rFonts w:ascii="宋体" w:cs="宋体"/>
                <w:color w:val="000000"/>
                <w:sz w:val="24"/>
              </w:rPr>
            </w:pPr>
            <w:r>
              <w:rPr>
                <w:rFonts w:hint="eastAsia" w:ascii="宋体" w:hAnsi="宋体" w:cs="宋体"/>
                <w:color w:val="000000"/>
                <w:kern w:val="0"/>
                <w:sz w:val="24"/>
                <w:lang w:bidi="ar"/>
              </w:rPr>
              <w:t>其中</w:t>
            </w:r>
            <w:r>
              <w:rPr>
                <w:rFonts w:hint="eastAsia" w:ascii="宋体" w:hAnsi="宋体" w:cs="宋体"/>
                <w:color w:val="000000"/>
                <w:kern w:val="0"/>
                <w:sz w:val="24"/>
                <w:lang w:eastAsia="zh-CN" w:bidi="ar"/>
              </w:rPr>
              <w:t>－</w:t>
            </w:r>
            <w:r>
              <w:rPr>
                <w:rFonts w:hint="eastAsia" w:ascii="宋体" w:hAnsi="宋体" w:cs="宋体"/>
                <w:color w:val="000000"/>
                <w:kern w:val="0"/>
                <w:sz w:val="24"/>
                <w:lang w:bidi="ar"/>
              </w:rPr>
              <w:t>财政拨款</w:t>
            </w:r>
            <w:r>
              <w:rPr>
                <w:rFonts w:hint="eastAsia" w:ascii="宋体" w:hAnsi="宋体" w:cs="宋体"/>
                <w:color w:val="000000"/>
                <w:kern w:val="0"/>
                <w:sz w:val="24"/>
                <w:lang w:eastAsia="zh-CN" w:bidi="ar"/>
              </w:rPr>
              <w:t>：</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CB76FB9">
            <w:pPr>
              <w:widowControl/>
              <w:jc w:val="center"/>
              <w:textAlignment w:val="center"/>
              <w:rPr>
                <w:rFonts w:hint="default" w:ascii="宋体" w:eastAsia="宋体" w:cs="宋体"/>
                <w:color w:val="000000"/>
                <w:sz w:val="24"/>
                <w:lang w:val="en-US" w:eastAsia="zh-CN"/>
              </w:rPr>
            </w:pPr>
            <w:r>
              <w:rPr>
                <w:rFonts w:hint="eastAsia" w:ascii="宋体" w:cs="宋体"/>
                <w:color w:val="000000"/>
                <w:sz w:val="24"/>
                <w:lang w:val="en-US" w:eastAsia="zh-CN"/>
              </w:rPr>
              <w:t>248.13</w:t>
            </w:r>
          </w:p>
        </w:tc>
      </w:tr>
      <w:tr w14:paraId="48F74C7D">
        <w:tblPrEx>
          <w:tblCellMar>
            <w:top w:w="0" w:type="dxa"/>
            <w:left w:w="0" w:type="dxa"/>
            <w:bottom w:w="0" w:type="dxa"/>
            <w:right w:w="0" w:type="dxa"/>
          </w:tblCellMar>
        </w:tblPrEx>
        <w:trPr>
          <w:trHeight w:val="1511" w:hRule="atLeast"/>
          <w:jc w:val="center"/>
        </w:trPr>
        <w:tc>
          <w:tcPr>
            <w:tcW w:w="759"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686B4AA">
            <w:pPr>
              <w:jc w:val="center"/>
              <w:rPr>
                <w:rFonts w:ascii="宋体" w:cs="宋体"/>
                <w:color w:val="000000"/>
                <w:sz w:val="24"/>
              </w:rPr>
            </w:pPr>
          </w:p>
        </w:tc>
        <w:tc>
          <w:tcPr>
            <w:tcW w:w="2023"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6B2A4D4">
            <w:pPr>
              <w:widowControl/>
              <w:jc w:val="center"/>
              <w:textAlignment w:val="center"/>
              <w:rPr>
                <w:rFonts w:ascii="宋体" w:cs="宋体"/>
                <w:color w:val="000000"/>
                <w:sz w:val="24"/>
              </w:rPr>
            </w:pPr>
            <w:r>
              <w:rPr>
                <w:rFonts w:hint="eastAsia" w:ascii="宋体" w:hAnsi="宋体" w:cs="宋体"/>
                <w:color w:val="000000"/>
                <w:kern w:val="0"/>
                <w:sz w:val="24"/>
                <w:lang w:eastAsia="zh-CN" w:bidi="ar"/>
              </w:rPr>
              <w:t>其他</w:t>
            </w:r>
            <w:r>
              <w:rPr>
                <w:rFonts w:hint="eastAsia" w:ascii="宋体" w:hAnsi="宋体" w:cs="宋体"/>
                <w:color w:val="000000"/>
                <w:kern w:val="0"/>
                <w:sz w:val="24"/>
                <w:lang w:bidi="ar"/>
              </w:rPr>
              <w:t>资金</w:t>
            </w:r>
            <w:r>
              <w:rPr>
                <w:rFonts w:hint="eastAsia" w:ascii="宋体" w:hAnsi="宋体" w:cs="宋体"/>
                <w:color w:val="000000"/>
                <w:kern w:val="0"/>
                <w:sz w:val="24"/>
                <w:lang w:eastAsia="zh-CN" w:bidi="ar"/>
              </w:rPr>
              <w:t>：</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1EE8EAC">
            <w:pPr>
              <w:widowControl/>
              <w:jc w:val="center"/>
              <w:textAlignment w:val="center"/>
              <w:rPr>
                <w:rFonts w:hint="eastAsia" w:ascii="宋体" w:eastAsia="宋体" w:cs="宋体"/>
                <w:color w:val="000000"/>
                <w:sz w:val="24"/>
                <w:lang w:val="en-US" w:eastAsia="zh-CN"/>
              </w:rPr>
            </w:pPr>
            <w:r>
              <w:rPr>
                <w:rFonts w:hint="eastAsia" w:ascii="宋体" w:cs="宋体"/>
                <w:color w:val="000000"/>
                <w:sz w:val="24"/>
                <w:lang w:val="en-US" w:eastAsia="zh-CN"/>
              </w:rPr>
              <w:t>0</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415E9FB">
            <w:pPr>
              <w:widowControl/>
              <w:jc w:val="center"/>
              <w:textAlignment w:val="center"/>
              <w:rPr>
                <w:rFonts w:ascii="宋体" w:cs="宋体"/>
                <w:color w:val="000000"/>
                <w:sz w:val="24"/>
              </w:rPr>
            </w:pPr>
            <w:r>
              <w:rPr>
                <w:rFonts w:hint="eastAsia" w:ascii="宋体" w:hAnsi="宋体" w:cs="宋体"/>
                <w:color w:val="000000"/>
                <w:kern w:val="0"/>
                <w:sz w:val="24"/>
                <w:lang w:eastAsia="zh-CN" w:bidi="ar"/>
              </w:rPr>
              <w:t>其他</w:t>
            </w:r>
            <w:r>
              <w:rPr>
                <w:rFonts w:hint="eastAsia" w:ascii="宋体" w:hAnsi="宋体" w:cs="宋体"/>
                <w:color w:val="000000"/>
                <w:kern w:val="0"/>
                <w:sz w:val="24"/>
                <w:lang w:bidi="ar"/>
              </w:rPr>
              <w:t>资金</w:t>
            </w:r>
            <w:r>
              <w:rPr>
                <w:rFonts w:hint="eastAsia" w:ascii="宋体" w:hAnsi="宋体" w:cs="宋体"/>
                <w:color w:val="000000"/>
                <w:kern w:val="0"/>
                <w:sz w:val="24"/>
                <w:lang w:eastAsia="zh-CN" w:bidi="ar"/>
              </w:rPr>
              <w:t>：</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AD91540">
            <w:pPr>
              <w:jc w:val="center"/>
              <w:rPr>
                <w:rFonts w:hint="eastAsia" w:ascii="宋体" w:eastAsia="宋体" w:cs="宋体"/>
                <w:color w:val="000000"/>
                <w:sz w:val="24"/>
                <w:lang w:val="en-US" w:eastAsia="zh-CN"/>
              </w:rPr>
            </w:pPr>
            <w:r>
              <w:rPr>
                <w:rFonts w:hint="eastAsia" w:ascii="宋体" w:cs="宋体"/>
                <w:color w:val="000000"/>
                <w:sz w:val="24"/>
                <w:lang w:val="en-US" w:eastAsia="zh-CN"/>
              </w:rPr>
              <w:t>0</w:t>
            </w:r>
          </w:p>
        </w:tc>
      </w:tr>
      <w:tr w14:paraId="0ACD6288">
        <w:tblPrEx>
          <w:tblCellMar>
            <w:top w:w="0" w:type="dxa"/>
            <w:left w:w="0" w:type="dxa"/>
            <w:bottom w:w="0" w:type="dxa"/>
            <w:right w:w="0" w:type="dxa"/>
          </w:tblCellMar>
        </w:tblPrEx>
        <w:trPr>
          <w:trHeight w:val="526" w:hRule="atLeast"/>
          <w:jc w:val="center"/>
        </w:trPr>
        <w:tc>
          <w:tcPr>
            <w:tcW w:w="759"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29055FF">
            <w:pPr>
              <w:widowControl/>
              <w:jc w:val="center"/>
              <w:textAlignment w:val="center"/>
              <w:rPr>
                <w:rFonts w:ascii="宋体" w:cs="宋体"/>
                <w:color w:val="000000"/>
                <w:sz w:val="24"/>
              </w:rPr>
            </w:pPr>
            <w:r>
              <w:rPr>
                <w:rFonts w:hint="eastAsia" w:ascii="宋体" w:hAnsi="宋体" w:cs="宋体"/>
                <w:color w:val="000000"/>
                <w:kern w:val="0"/>
                <w:sz w:val="24"/>
                <w:lang w:bidi="ar"/>
              </w:rPr>
              <w:t>年度目标完成情况</w:t>
            </w:r>
          </w:p>
        </w:tc>
        <w:tc>
          <w:tcPr>
            <w:tcW w:w="4415"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1C64AE8">
            <w:pPr>
              <w:widowControl/>
              <w:jc w:val="center"/>
              <w:textAlignment w:val="center"/>
              <w:rPr>
                <w:rFonts w:ascii="宋体" w:cs="宋体"/>
                <w:color w:val="000000"/>
                <w:sz w:val="24"/>
              </w:rPr>
            </w:pPr>
            <w:r>
              <w:rPr>
                <w:rFonts w:hint="eastAsia" w:ascii="宋体" w:hAnsi="宋体" w:cs="宋体"/>
                <w:color w:val="000000"/>
                <w:kern w:val="0"/>
                <w:sz w:val="24"/>
                <w:lang w:bidi="ar"/>
              </w:rPr>
              <w:t>预期目标</w:t>
            </w:r>
          </w:p>
        </w:tc>
        <w:tc>
          <w:tcPr>
            <w:tcW w:w="478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57355B4">
            <w:pPr>
              <w:widowControl/>
              <w:jc w:val="center"/>
              <w:textAlignment w:val="center"/>
              <w:rPr>
                <w:rFonts w:ascii="宋体" w:cs="宋体"/>
                <w:color w:val="000000"/>
                <w:sz w:val="24"/>
              </w:rPr>
            </w:pPr>
            <w:r>
              <w:rPr>
                <w:rFonts w:hint="eastAsia" w:ascii="宋体" w:hAnsi="宋体" w:cs="宋体"/>
                <w:color w:val="000000"/>
                <w:kern w:val="0"/>
                <w:sz w:val="24"/>
                <w:lang w:bidi="ar"/>
              </w:rPr>
              <w:t>实际完成目标</w:t>
            </w:r>
          </w:p>
        </w:tc>
      </w:tr>
      <w:tr w14:paraId="71784990">
        <w:tblPrEx>
          <w:tblCellMar>
            <w:top w:w="0" w:type="dxa"/>
            <w:left w:w="0" w:type="dxa"/>
            <w:bottom w:w="0" w:type="dxa"/>
            <w:right w:w="0" w:type="dxa"/>
          </w:tblCellMar>
        </w:tblPrEx>
        <w:trPr>
          <w:trHeight w:val="1282" w:hRule="atLeast"/>
          <w:jc w:val="center"/>
        </w:trPr>
        <w:tc>
          <w:tcPr>
            <w:tcW w:w="759"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8EA472B">
            <w:pPr>
              <w:jc w:val="center"/>
              <w:rPr>
                <w:rFonts w:ascii="宋体" w:cs="宋体"/>
                <w:color w:val="000000"/>
                <w:sz w:val="24"/>
              </w:rPr>
            </w:pPr>
          </w:p>
        </w:tc>
        <w:tc>
          <w:tcPr>
            <w:tcW w:w="4415"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696EE56">
            <w:pPr>
              <w:widowControl/>
              <w:jc w:val="center"/>
              <w:textAlignment w:val="center"/>
              <w:rPr>
                <w:rFonts w:hint="eastAsia" w:ascii="宋体" w:eastAsia="宋体" w:cs="宋体"/>
                <w:color w:val="000000"/>
                <w:sz w:val="24"/>
                <w:lang w:eastAsia="zh-CN"/>
              </w:rPr>
            </w:pPr>
            <w:r>
              <w:rPr>
                <w:rFonts w:hint="eastAsia" w:ascii="宋体" w:cs="宋体"/>
                <w:color w:val="000000"/>
                <w:sz w:val="24"/>
                <w:lang w:eastAsia="zh-CN"/>
              </w:rPr>
              <w:t>完成全镇镇区道路、公共场地环卫工作</w:t>
            </w:r>
          </w:p>
        </w:tc>
        <w:tc>
          <w:tcPr>
            <w:tcW w:w="478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4AD76F7">
            <w:pPr>
              <w:widowControl/>
              <w:jc w:val="center"/>
              <w:textAlignment w:val="center"/>
              <w:rPr>
                <w:rFonts w:hint="eastAsia" w:ascii="宋体" w:eastAsia="宋体" w:cs="宋体"/>
                <w:color w:val="000000"/>
                <w:sz w:val="24"/>
                <w:lang w:eastAsia="zh-CN"/>
              </w:rPr>
            </w:pPr>
            <w:r>
              <w:rPr>
                <w:rFonts w:hint="eastAsia" w:ascii="宋体" w:cs="宋体"/>
                <w:color w:val="000000"/>
                <w:sz w:val="24"/>
                <w:lang w:eastAsia="zh-CN"/>
              </w:rPr>
              <w:t>已完成</w:t>
            </w:r>
          </w:p>
        </w:tc>
      </w:tr>
      <w:tr w14:paraId="34D384E3">
        <w:tblPrEx>
          <w:tblCellMar>
            <w:top w:w="0" w:type="dxa"/>
            <w:left w:w="0" w:type="dxa"/>
            <w:bottom w:w="0" w:type="dxa"/>
            <w:right w:w="0" w:type="dxa"/>
          </w:tblCellMar>
        </w:tblPrEx>
        <w:trPr>
          <w:trHeight w:val="1042" w:hRule="atLeast"/>
          <w:jc w:val="center"/>
        </w:trPr>
        <w:tc>
          <w:tcPr>
            <w:tcW w:w="759" w:type="dxa"/>
            <w:vMerge w:val="restart"/>
            <w:tcBorders>
              <w:top w:val="single" w:color="000000" w:sz="4" w:space="0"/>
              <w:left w:val="single" w:color="000000" w:sz="4" w:space="0"/>
              <w:right w:val="single" w:color="000000" w:sz="4" w:space="0"/>
            </w:tcBorders>
            <w:tcMar>
              <w:top w:w="15" w:type="dxa"/>
              <w:left w:w="15" w:type="dxa"/>
              <w:right w:w="15" w:type="dxa"/>
            </w:tcMar>
            <w:vAlign w:val="center"/>
          </w:tcPr>
          <w:p w14:paraId="791720D1">
            <w:pPr>
              <w:widowControl/>
              <w:jc w:val="center"/>
              <w:textAlignment w:val="center"/>
              <w:rPr>
                <w:rFonts w:ascii="宋体" w:cs="宋体"/>
                <w:color w:val="000000"/>
                <w:sz w:val="24"/>
              </w:rPr>
            </w:pPr>
            <w:r>
              <w:rPr>
                <w:rFonts w:hint="eastAsia" w:ascii="宋体" w:hAnsi="宋体" w:cs="宋体"/>
                <w:color w:val="000000"/>
                <w:sz w:val="24"/>
              </w:rPr>
              <w:t>绩效指标完成情况</w:t>
            </w:r>
          </w:p>
        </w:tc>
        <w:tc>
          <w:tcPr>
            <w:tcW w:w="99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B99AC2E">
            <w:pPr>
              <w:widowControl/>
              <w:jc w:val="center"/>
              <w:textAlignment w:val="center"/>
              <w:rPr>
                <w:rFonts w:ascii="宋体" w:cs="宋体"/>
                <w:color w:val="000000"/>
                <w:sz w:val="24"/>
              </w:rPr>
            </w:pPr>
            <w:r>
              <w:rPr>
                <w:rFonts w:hint="eastAsia" w:ascii="宋体" w:hAnsi="宋体" w:cs="宋体"/>
                <w:color w:val="000000"/>
                <w:kern w:val="0"/>
                <w:sz w:val="24"/>
                <w:lang w:bidi="ar"/>
              </w:rPr>
              <w:t>一级指标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F51AD0E">
            <w:pPr>
              <w:widowControl/>
              <w:jc w:val="center"/>
              <w:textAlignment w:val="center"/>
              <w:rPr>
                <w:rFonts w:ascii="宋体" w:cs="宋体"/>
                <w:color w:val="000000"/>
                <w:sz w:val="24"/>
              </w:rPr>
            </w:pPr>
            <w:r>
              <w:rPr>
                <w:rFonts w:hint="eastAsia" w:ascii="宋体" w:hAnsi="宋体" w:cs="宋体"/>
                <w:color w:val="000000"/>
                <w:kern w:val="0"/>
                <w:sz w:val="24"/>
                <w:lang w:bidi="ar"/>
              </w:rPr>
              <w:t>二级指标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E0B8A22">
            <w:pPr>
              <w:widowControl/>
              <w:jc w:val="center"/>
              <w:textAlignment w:val="center"/>
              <w:rPr>
                <w:rFonts w:ascii="宋体" w:cs="宋体"/>
                <w:color w:val="000000"/>
                <w:sz w:val="24"/>
              </w:rPr>
            </w:pPr>
            <w:r>
              <w:rPr>
                <w:rFonts w:hint="eastAsia" w:ascii="宋体" w:hAnsi="宋体" w:cs="宋体"/>
                <w:color w:val="000000"/>
                <w:kern w:val="0"/>
                <w:sz w:val="24"/>
                <w:lang w:bidi="ar"/>
              </w:rPr>
              <w:t>三级指标</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9EA7692">
            <w:pPr>
              <w:widowControl/>
              <w:jc w:val="center"/>
              <w:textAlignment w:val="center"/>
              <w:rPr>
                <w:rFonts w:ascii="宋体" w:cs="宋体"/>
                <w:color w:val="000000"/>
                <w:sz w:val="24"/>
              </w:rPr>
            </w:pPr>
            <w:r>
              <w:rPr>
                <w:rFonts w:hint="eastAsia" w:ascii="宋体" w:hAnsi="宋体" w:cs="宋体"/>
                <w:color w:val="000000"/>
                <w:kern w:val="0"/>
                <w:sz w:val="24"/>
                <w:lang w:bidi="ar"/>
              </w:rPr>
              <w:t>预期指标值</w:t>
            </w:r>
            <w:r>
              <w:rPr>
                <w:rFonts w:hint="eastAsia" w:ascii="宋体" w:hAnsi="宋体" w:cs="宋体"/>
                <w:color w:val="000000"/>
                <w:kern w:val="0"/>
                <w:sz w:val="24"/>
                <w:lang w:eastAsia="zh-CN" w:bidi="ar"/>
              </w:rPr>
              <w:t>（</w:t>
            </w:r>
            <w:r>
              <w:rPr>
                <w:rFonts w:hint="eastAsia" w:ascii="宋体" w:hAnsi="宋体" w:cs="宋体"/>
                <w:color w:val="000000"/>
                <w:kern w:val="0"/>
                <w:sz w:val="24"/>
                <w:lang w:bidi="ar"/>
              </w:rPr>
              <w:t>包含数字及文字描述</w:t>
            </w:r>
            <w:r>
              <w:rPr>
                <w:rFonts w:hint="eastAsia" w:ascii="宋体" w:hAnsi="宋体" w:cs="宋体"/>
                <w:color w:val="000000"/>
                <w:kern w:val="0"/>
                <w:sz w:val="24"/>
                <w:lang w:eastAsia="zh-CN" w:bidi="ar"/>
              </w:rPr>
              <w:t>）</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EC336E3">
            <w:pPr>
              <w:widowControl/>
              <w:jc w:val="center"/>
              <w:textAlignment w:val="center"/>
              <w:rPr>
                <w:rFonts w:ascii="宋体" w:cs="宋体"/>
                <w:color w:val="000000"/>
                <w:sz w:val="24"/>
              </w:rPr>
            </w:pPr>
            <w:r>
              <w:rPr>
                <w:rFonts w:hint="eastAsia" w:ascii="宋体" w:hAnsi="宋体" w:cs="宋体"/>
                <w:color w:val="000000"/>
                <w:kern w:val="0"/>
                <w:sz w:val="24"/>
                <w:lang w:bidi="ar"/>
              </w:rPr>
              <w:t>实际完成指标值</w:t>
            </w:r>
            <w:r>
              <w:rPr>
                <w:rFonts w:hint="eastAsia" w:ascii="宋体" w:hAnsi="宋体" w:cs="宋体"/>
                <w:color w:val="000000"/>
                <w:kern w:val="0"/>
                <w:sz w:val="24"/>
                <w:lang w:eastAsia="zh-CN" w:bidi="ar"/>
              </w:rPr>
              <w:t>（</w:t>
            </w:r>
            <w:r>
              <w:rPr>
                <w:rFonts w:hint="eastAsia" w:ascii="宋体" w:hAnsi="宋体" w:cs="宋体"/>
                <w:color w:val="000000"/>
                <w:kern w:val="0"/>
                <w:sz w:val="24"/>
                <w:lang w:bidi="ar"/>
              </w:rPr>
              <w:t>包含数字及文字描述</w:t>
            </w:r>
            <w:r>
              <w:rPr>
                <w:rFonts w:hint="eastAsia" w:ascii="宋体" w:hAnsi="宋体" w:cs="宋体"/>
                <w:color w:val="000000"/>
                <w:kern w:val="0"/>
                <w:sz w:val="24"/>
                <w:lang w:eastAsia="zh-CN" w:bidi="ar"/>
              </w:rPr>
              <w:t>）</w:t>
            </w:r>
          </w:p>
        </w:tc>
      </w:tr>
      <w:tr w14:paraId="332A26A2">
        <w:tblPrEx>
          <w:tblCellMar>
            <w:top w:w="0" w:type="dxa"/>
            <w:left w:w="0" w:type="dxa"/>
            <w:bottom w:w="0" w:type="dxa"/>
            <w:right w:w="0" w:type="dxa"/>
          </w:tblCellMar>
        </w:tblPrEx>
        <w:trPr>
          <w:trHeight w:val="953" w:hRule="atLeast"/>
          <w:jc w:val="center"/>
        </w:trPr>
        <w:tc>
          <w:tcPr>
            <w:tcW w:w="759" w:type="dxa"/>
            <w:vMerge w:val="continue"/>
            <w:tcBorders>
              <w:left w:val="single" w:color="000000" w:sz="4" w:space="0"/>
              <w:right w:val="single" w:color="000000" w:sz="4" w:space="0"/>
            </w:tcBorders>
            <w:tcMar>
              <w:top w:w="15" w:type="dxa"/>
              <w:left w:w="15" w:type="dxa"/>
              <w:right w:w="15" w:type="dxa"/>
            </w:tcMar>
            <w:vAlign w:val="center"/>
          </w:tcPr>
          <w:p w14:paraId="613167C0">
            <w:pPr>
              <w:widowControl/>
              <w:jc w:val="center"/>
              <w:textAlignment w:val="center"/>
              <w:rPr>
                <w:rFonts w:ascii="宋体" w:cs="宋体"/>
                <w:color w:val="000000"/>
                <w:sz w:val="24"/>
              </w:rPr>
            </w:pPr>
          </w:p>
        </w:tc>
        <w:tc>
          <w:tcPr>
            <w:tcW w:w="99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C9B4912">
            <w:pPr>
              <w:widowControl/>
              <w:jc w:val="center"/>
              <w:textAlignment w:val="center"/>
              <w:rPr>
                <w:rFonts w:ascii="宋体" w:cs="宋体"/>
                <w:color w:val="000000"/>
                <w:sz w:val="24"/>
              </w:rPr>
            </w:pPr>
            <w:r>
              <w:rPr>
                <w:rFonts w:hint="eastAsia" w:ascii="宋体" w:hAnsi="宋体" w:cs="宋体"/>
                <w:color w:val="000000"/>
                <w:kern w:val="0"/>
                <w:sz w:val="24"/>
                <w:lang w:bidi="ar"/>
              </w:rPr>
              <w:t>项目完成指标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32B2C09">
            <w:pPr>
              <w:widowControl/>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sz w:val="24"/>
              </w:rPr>
              <w:t>100%</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C6DA47B">
            <w:pPr>
              <w:widowControl/>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sz w:val="24"/>
              </w:rPr>
              <w:t>100%</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D91A6A8">
            <w:pPr>
              <w:widowControl/>
              <w:jc w:val="center"/>
              <w:textAlignment w:val="center"/>
              <w:rPr>
                <w:rFonts w:hint="default" w:ascii="宋体" w:eastAsia="宋体" w:cs="宋体"/>
                <w:color w:val="000000"/>
                <w:sz w:val="24"/>
                <w:lang w:val="en-US" w:eastAsia="zh-CN"/>
              </w:rPr>
            </w:pPr>
            <w:r>
              <w:rPr>
                <w:rFonts w:hint="eastAsia" w:ascii="宋体" w:cs="宋体"/>
                <w:color w:val="000000"/>
                <w:sz w:val="24"/>
                <w:lang w:val="en-US" w:eastAsia="zh-CN"/>
              </w:rPr>
              <w:t>1-12月</w:t>
            </w:r>
            <w:r>
              <w:rPr>
                <w:rFonts w:hint="eastAsia" w:ascii="宋体" w:cs="宋体"/>
                <w:color w:val="000000"/>
                <w:sz w:val="24"/>
                <w:lang w:eastAsia="zh-CN"/>
              </w:rPr>
              <w:t>全镇镇区道路、公共场地环卫工作</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63F1819">
            <w:pPr>
              <w:widowControl/>
              <w:jc w:val="center"/>
              <w:textAlignment w:val="center"/>
              <w:rPr>
                <w:rFonts w:ascii="宋体" w:cs="宋体"/>
                <w:color w:val="000000"/>
                <w:sz w:val="24"/>
              </w:rPr>
            </w:pPr>
            <w:r>
              <w:rPr>
                <w:rFonts w:hint="eastAsia" w:ascii="宋体" w:cs="宋体"/>
                <w:color w:val="000000"/>
                <w:sz w:val="24"/>
                <w:lang w:val="en-US" w:eastAsia="zh-CN"/>
              </w:rPr>
              <w:t>已完成1-12月</w:t>
            </w:r>
            <w:r>
              <w:rPr>
                <w:rFonts w:hint="eastAsia" w:ascii="宋体" w:cs="宋体"/>
                <w:color w:val="000000"/>
                <w:sz w:val="24"/>
                <w:lang w:eastAsia="zh-CN"/>
              </w:rPr>
              <w:t>全镇镇区道路、公共场地环卫工作</w:t>
            </w:r>
          </w:p>
        </w:tc>
      </w:tr>
      <w:tr w14:paraId="0BE1EDCA">
        <w:tblPrEx>
          <w:tblCellMar>
            <w:top w:w="0" w:type="dxa"/>
            <w:left w:w="0" w:type="dxa"/>
            <w:bottom w:w="0" w:type="dxa"/>
            <w:right w:w="0" w:type="dxa"/>
          </w:tblCellMar>
        </w:tblPrEx>
        <w:trPr>
          <w:trHeight w:val="1297" w:hRule="atLeast"/>
          <w:jc w:val="center"/>
        </w:trPr>
        <w:tc>
          <w:tcPr>
            <w:tcW w:w="759" w:type="dxa"/>
            <w:vMerge w:val="continue"/>
            <w:tcBorders>
              <w:left w:val="single" w:color="000000" w:sz="4" w:space="0"/>
              <w:right w:val="single" w:color="000000" w:sz="4" w:space="0"/>
            </w:tcBorders>
            <w:tcMar>
              <w:top w:w="15" w:type="dxa"/>
              <w:left w:w="15" w:type="dxa"/>
              <w:right w:w="15" w:type="dxa"/>
            </w:tcMar>
            <w:vAlign w:val="center"/>
          </w:tcPr>
          <w:p w14:paraId="1AA5C39B">
            <w:pPr>
              <w:widowControl/>
              <w:jc w:val="center"/>
              <w:textAlignment w:val="center"/>
              <w:rPr>
                <w:rFonts w:ascii="宋体" w:cs="宋体"/>
                <w:color w:val="000000"/>
                <w:sz w:val="24"/>
              </w:rPr>
            </w:pPr>
          </w:p>
        </w:tc>
        <w:tc>
          <w:tcPr>
            <w:tcW w:w="99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6F6EA4E">
            <w:pPr>
              <w:widowControl/>
              <w:jc w:val="center"/>
              <w:textAlignment w:val="center"/>
              <w:rPr>
                <w:rFonts w:ascii="宋体" w:cs="宋体"/>
                <w:color w:val="000000"/>
                <w:sz w:val="24"/>
              </w:rPr>
            </w:pPr>
            <w:r>
              <w:rPr>
                <w:rFonts w:hint="eastAsia" w:ascii="宋体" w:hAnsi="宋体" w:cs="宋体"/>
                <w:color w:val="000000"/>
                <w:kern w:val="0"/>
                <w:sz w:val="24"/>
                <w:lang w:bidi="ar"/>
              </w:rPr>
              <w:t>效益指标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6C24245">
            <w:pPr>
              <w:widowControl/>
              <w:jc w:val="center"/>
              <w:textAlignment w:val="center"/>
              <w:rPr>
                <w:rFonts w:ascii="宋体" w:cs="宋体"/>
                <w:color w:val="000000"/>
                <w:sz w:val="24"/>
              </w:rPr>
            </w:pPr>
            <w:r>
              <w:rPr>
                <w:rFonts w:hint="eastAsia" w:ascii="宋体" w:hAnsi="宋体" w:cs="宋体"/>
                <w:color w:val="000000"/>
                <w:sz w:val="24"/>
              </w:rPr>
              <w:t>100%</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2A889AC">
            <w:pPr>
              <w:widowControl/>
              <w:jc w:val="center"/>
              <w:textAlignment w:val="center"/>
              <w:rPr>
                <w:rFonts w:ascii="宋体" w:cs="宋体"/>
                <w:color w:val="000000"/>
                <w:sz w:val="24"/>
              </w:rPr>
            </w:pPr>
            <w:r>
              <w:rPr>
                <w:rFonts w:hint="eastAsia" w:ascii="宋体" w:hAnsi="宋体" w:cs="宋体"/>
                <w:color w:val="000000"/>
                <w:sz w:val="24"/>
              </w:rPr>
              <w:t>100%</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21C861D">
            <w:pPr>
              <w:widowControl/>
              <w:jc w:val="center"/>
              <w:textAlignment w:val="center"/>
              <w:rPr>
                <w:rFonts w:hint="eastAsia" w:ascii="宋体" w:eastAsia="宋体" w:cs="宋体"/>
                <w:color w:val="000000"/>
                <w:sz w:val="24"/>
                <w:lang w:eastAsia="zh-CN"/>
              </w:rPr>
            </w:pPr>
            <w:r>
              <w:rPr>
                <w:rFonts w:hint="eastAsia" w:ascii="宋体" w:cs="宋体"/>
                <w:color w:val="000000"/>
                <w:sz w:val="24"/>
                <w:lang w:eastAsia="zh-CN"/>
              </w:rPr>
              <w:t>提升全镇人居环境</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33DEA44">
            <w:pPr>
              <w:widowControl/>
              <w:jc w:val="center"/>
              <w:textAlignment w:val="center"/>
              <w:rPr>
                <w:rFonts w:ascii="宋体" w:cs="宋体"/>
                <w:color w:val="000000"/>
                <w:sz w:val="24"/>
              </w:rPr>
            </w:pPr>
            <w:r>
              <w:rPr>
                <w:rFonts w:hint="eastAsia" w:ascii="宋体" w:cs="宋体"/>
                <w:color w:val="000000"/>
                <w:sz w:val="24"/>
                <w:lang w:eastAsia="zh-CN"/>
              </w:rPr>
              <w:t>已提升全镇人居环境</w:t>
            </w:r>
          </w:p>
        </w:tc>
      </w:tr>
      <w:tr w14:paraId="61DC0280">
        <w:tblPrEx>
          <w:tblCellMar>
            <w:top w:w="0" w:type="dxa"/>
            <w:left w:w="0" w:type="dxa"/>
            <w:bottom w:w="0" w:type="dxa"/>
            <w:right w:w="0" w:type="dxa"/>
          </w:tblCellMar>
        </w:tblPrEx>
        <w:trPr>
          <w:trHeight w:val="1050" w:hRule="atLeast"/>
          <w:jc w:val="center"/>
        </w:trPr>
        <w:tc>
          <w:tcPr>
            <w:tcW w:w="759" w:type="dxa"/>
            <w:vMerge w:val="continue"/>
            <w:tcBorders>
              <w:left w:val="single" w:color="000000" w:sz="4" w:space="0"/>
              <w:bottom w:val="single" w:color="000000" w:sz="4" w:space="0"/>
              <w:right w:val="single" w:color="000000" w:sz="4" w:space="0"/>
            </w:tcBorders>
            <w:tcMar>
              <w:top w:w="15" w:type="dxa"/>
              <w:left w:w="15" w:type="dxa"/>
              <w:right w:w="15" w:type="dxa"/>
            </w:tcMar>
            <w:vAlign w:val="center"/>
          </w:tcPr>
          <w:p w14:paraId="0F45EBF8">
            <w:pPr>
              <w:widowControl/>
              <w:jc w:val="center"/>
              <w:textAlignment w:val="center"/>
              <w:rPr>
                <w:rFonts w:ascii="宋体" w:cs="宋体"/>
                <w:color w:val="000000"/>
                <w:sz w:val="24"/>
              </w:rPr>
            </w:pPr>
          </w:p>
        </w:tc>
        <w:tc>
          <w:tcPr>
            <w:tcW w:w="99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C36FADA">
            <w:pPr>
              <w:widowControl/>
              <w:jc w:val="center"/>
              <w:textAlignment w:val="center"/>
              <w:rPr>
                <w:rFonts w:ascii="宋体" w:cs="宋体"/>
                <w:color w:val="000000"/>
                <w:sz w:val="24"/>
              </w:rPr>
            </w:pPr>
            <w:r>
              <w:rPr>
                <w:rFonts w:hint="eastAsia" w:ascii="宋体" w:hAnsi="宋体" w:cs="宋体"/>
                <w:color w:val="000000"/>
                <w:kern w:val="0"/>
                <w:sz w:val="24"/>
                <w:lang w:bidi="ar"/>
              </w:rPr>
              <w:t>满意度指标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5AC3E76">
            <w:pPr>
              <w:widowControl/>
              <w:jc w:val="center"/>
              <w:textAlignment w:val="center"/>
              <w:rPr>
                <w:rFonts w:hint="default" w:ascii="宋体" w:eastAsia="宋体" w:cs="宋体"/>
                <w:color w:val="000000"/>
                <w:sz w:val="24"/>
                <w:lang w:val="en-US" w:eastAsia="zh-CN"/>
              </w:rPr>
            </w:pPr>
            <w:r>
              <w:rPr>
                <w:rFonts w:hint="eastAsia" w:ascii="宋体" w:cs="宋体"/>
                <w:color w:val="000000"/>
                <w:sz w:val="24"/>
                <w:lang w:val="en-US" w:eastAsia="zh-CN"/>
              </w:rPr>
              <w:t>95</w:t>
            </w:r>
            <w:r>
              <w:rPr>
                <w:rFonts w:hint="eastAsia" w:ascii="宋体" w:hAnsi="宋体" w:cs="宋体"/>
                <w:color w:val="000000"/>
                <w:sz w:val="24"/>
              </w:rPr>
              <w:t>%</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570F9F3">
            <w:pPr>
              <w:widowControl/>
              <w:jc w:val="center"/>
              <w:textAlignment w:val="center"/>
              <w:rPr>
                <w:rFonts w:ascii="宋体" w:cs="宋体"/>
                <w:color w:val="000000"/>
                <w:sz w:val="24"/>
              </w:rPr>
            </w:pPr>
            <w:r>
              <w:rPr>
                <w:rFonts w:hint="eastAsia" w:ascii="宋体" w:hAnsi="宋体" w:cs="宋体"/>
                <w:color w:val="000000"/>
                <w:sz w:val="24"/>
                <w:lang w:val="en-US" w:eastAsia="zh-CN"/>
              </w:rPr>
              <w:t>95</w:t>
            </w:r>
            <w:r>
              <w:rPr>
                <w:rFonts w:hint="eastAsia" w:ascii="宋体" w:hAnsi="宋体" w:cs="宋体"/>
                <w:color w:val="000000"/>
                <w:sz w:val="24"/>
              </w:rPr>
              <w:t>%</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CAF0212">
            <w:pPr>
              <w:widowControl/>
              <w:jc w:val="center"/>
              <w:textAlignment w:val="center"/>
              <w:rPr>
                <w:rFonts w:hint="eastAsia" w:ascii="宋体" w:eastAsia="宋体" w:cs="宋体"/>
                <w:color w:val="000000"/>
                <w:sz w:val="24"/>
                <w:lang w:eastAsia="zh-CN"/>
              </w:rPr>
            </w:pPr>
            <w:r>
              <w:rPr>
                <w:rFonts w:hint="eastAsia" w:ascii="宋体" w:cs="宋体"/>
                <w:color w:val="000000"/>
                <w:sz w:val="24"/>
                <w:lang w:eastAsia="zh-CN"/>
              </w:rPr>
              <w:t>验收及抽查</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6EFB82C">
            <w:pPr>
              <w:widowControl/>
              <w:jc w:val="center"/>
              <w:textAlignment w:val="center"/>
              <w:rPr>
                <w:rFonts w:hint="eastAsia" w:ascii="宋体" w:eastAsia="宋体" w:cs="宋体"/>
                <w:color w:val="000000"/>
                <w:sz w:val="24"/>
                <w:lang w:eastAsia="zh-CN"/>
              </w:rPr>
            </w:pPr>
            <w:r>
              <w:rPr>
                <w:rFonts w:hint="eastAsia" w:ascii="宋体" w:cs="宋体"/>
                <w:color w:val="000000"/>
                <w:sz w:val="24"/>
                <w:lang w:eastAsia="zh-CN"/>
              </w:rPr>
              <w:t>已达标</w:t>
            </w:r>
          </w:p>
        </w:tc>
      </w:tr>
    </w:tbl>
    <w:p w14:paraId="28F2E0F1">
      <w:pPr>
        <w:spacing w:line="580" w:lineRule="exact"/>
        <w:ind w:left="630"/>
        <w:rPr>
          <w:rFonts w:ascii="仿宋_GB2312" w:hAnsi="仿宋_GB2312" w:eastAsia="仿宋_GB2312" w:cs="仿宋_GB2312"/>
          <w:sz w:val="32"/>
          <w:szCs w:val="32"/>
        </w:rPr>
      </w:pPr>
    </w:p>
    <w:p w14:paraId="40C73134">
      <w:pPr>
        <w:rPr>
          <w:rFonts w:hint="eastAsia" w:ascii="黑体" w:hAnsi="黑体" w:eastAsia="黑体"/>
          <w:color w:val="000000"/>
          <w:sz w:val="44"/>
          <w:szCs w:val="44"/>
        </w:rPr>
      </w:pPr>
    </w:p>
    <w:p w14:paraId="56971047">
      <w:pPr>
        <w:pStyle w:val="2"/>
        <w:rPr>
          <w:rFonts w:hint="eastAsia" w:ascii="黑体" w:hAnsi="黑体" w:eastAsia="黑体"/>
          <w:color w:val="000000"/>
          <w:sz w:val="44"/>
          <w:szCs w:val="44"/>
        </w:rPr>
      </w:pPr>
    </w:p>
    <w:p w14:paraId="519EFC80">
      <w:pPr>
        <w:rPr>
          <w:rFonts w:hint="eastAsia"/>
        </w:rPr>
      </w:pPr>
    </w:p>
    <w:p w14:paraId="083BD659">
      <w:pPr>
        <w:spacing w:line="600" w:lineRule="exact"/>
        <w:jc w:val="center"/>
        <w:outlineLvl w:val="0"/>
        <w:rPr>
          <w:rStyle w:val="26"/>
          <w:rFonts w:ascii="黑体" w:hAnsi="黑体" w:eastAsia="黑体"/>
          <w:b w:val="0"/>
        </w:rPr>
      </w:pPr>
      <w:r>
        <w:rPr>
          <w:rFonts w:hint="eastAsia" w:ascii="黑体" w:hAnsi="黑体" w:eastAsia="黑体"/>
          <w:color w:val="000000"/>
          <w:sz w:val="44"/>
          <w:szCs w:val="44"/>
        </w:rPr>
        <w:t>第</w:t>
      </w:r>
      <w:r>
        <w:rPr>
          <w:rStyle w:val="26"/>
          <w:rFonts w:hint="eastAsia" w:ascii="黑体" w:hAnsi="黑体" w:eastAsia="黑体"/>
          <w:b w:val="0"/>
        </w:rPr>
        <w:t>五部分</w:t>
      </w:r>
      <w:r>
        <w:rPr>
          <w:rStyle w:val="26"/>
          <w:rFonts w:ascii="黑体" w:hAnsi="黑体" w:eastAsia="黑体"/>
          <w:b w:val="0"/>
        </w:rPr>
        <w:t xml:space="preserve"> </w:t>
      </w:r>
      <w:r>
        <w:rPr>
          <w:rStyle w:val="26"/>
          <w:rFonts w:hint="eastAsia" w:ascii="黑体" w:hAnsi="黑体" w:eastAsia="黑体"/>
          <w:b w:val="0"/>
        </w:rPr>
        <w:t>附表</w:t>
      </w:r>
      <w:bookmarkEnd w:id="94"/>
      <w:bookmarkEnd w:id="98"/>
      <w:bookmarkEnd w:id="99"/>
      <w:bookmarkEnd w:id="100"/>
    </w:p>
    <w:p w14:paraId="64D0E4CB">
      <w:pPr>
        <w:pStyle w:val="5"/>
        <w:rPr>
          <w:rFonts w:ascii="仿宋" w:hAnsi="仿宋" w:eastAsia="仿宋"/>
          <w:color w:val="000000"/>
        </w:rPr>
      </w:pPr>
      <w:bookmarkStart w:id="101" w:name="_Toc15396619"/>
      <w:bookmarkStart w:id="102" w:name="_Toc79163886"/>
      <w:bookmarkStart w:id="103" w:name="_Toc79163636"/>
      <w:r>
        <w:rPr>
          <w:rFonts w:hint="eastAsia" w:ascii="仿宋" w:hAnsi="仿宋" w:eastAsia="仿宋"/>
          <w:b w:val="0"/>
          <w:color w:val="000000"/>
        </w:rPr>
        <w:t>一、收</w:t>
      </w:r>
      <w:r>
        <w:rPr>
          <w:rStyle w:val="27"/>
          <w:rFonts w:hint="eastAsia" w:ascii="仿宋" w:hAnsi="仿宋" w:eastAsia="仿宋"/>
          <w:b w:val="0"/>
          <w:bCs w:val="0"/>
        </w:rPr>
        <w:t>入支出决算总表</w:t>
      </w:r>
      <w:bookmarkEnd w:id="101"/>
      <w:bookmarkEnd w:id="102"/>
      <w:bookmarkEnd w:id="103"/>
    </w:p>
    <w:p w14:paraId="3AE00A63">
      <w:pPr>
        <w:pStyle w:val="5"/>
        <w:rPr>
          <w:rFonts w:ascii="仿宋" w:hAnsi="仿宋" w:eastAsia="仿宋"/>
          <w:color w:val="000000"/>
        </w:rPr>
      </w:pPr>
      <w:bookmarkStart w:id="104" w:name="_Toc79163887"/>
      <w:bookmarkStart w:id="105" w:name="_Toc15396620"/>
      <w:bookmarkStart w:id="106" w:name="_Toc79163637"/>
      <w:r>
        <w:rPr>
          <w:rFonts w:hint="eastAsia" w:ascii="仿宋" w:hAnsi="仿宋" w:eastAsia="仿宋"/>
          <w:b w:val="0"/>
          <w:color w:val="000000"/>
        </w:rPr>
        <w:t>二、收</w:t>
      </w:r>
      <w:r>
        <w:rPr>
          <w:rStyle w:val="27"/>
          <w:rFonts w:hint="eastAsia" w:ascii="仿宋" w:hAnsi="仿宋" w:eastAsia="仿宋"/>
          <w:b w:val="0"/>
          <w:bCs w:val="0"/>
        </w:rPr>
        <w:t>入决算表</w:t>
      </w:r>
      <w:bookmarkEnd w:id="104"/>
      <w:bookmarkEnd w:id="105"/>
      <w:bookmarkEnd w:id="106"/>
    </w:p>
    <w:p w14:paraId="50CE5075">
      <w:pPr>
        <w:pStyle w:val="5"/>
        <w:rPr>
          <w:rFonts w:ascii="仿宋" w:hAnsi="仿宋" w:eastAsia="仿宋"/>
          <w:color w:val="000000"/>
        </w:rPr>
      </w:pPr>
      <w:bookmarkStart w:id="107" w:name="_Toc15396621"/>
      <w:bookmarkStart w:id="108" w:name="_Toc79163888"/>
      <w:bookmarkStart w:id="109" w:name="_Toc79163638"/>
      <w:r>
        <w:rPr>
          <w:rStyle w:val="27"/>
          <w:rFonts w:hint="eastAsia" w:ascii="仿宋" w:hAnsi="仿宋" w:eastAsia="仿宋"/>
          <w:b w:val="0"/>
          <w:bCs w:val="0"/>
        </w:rPr>
        <w:t>三、</w:t>
      </w:r>
      <w:r>
        <w:rPr>
          <w:rFonts w:hint="eastAsia" w:ascii="仿宋" w:hAnsi="仿宋" w:eastAsia="仿宋"/>
          <w:b w:val="0"/>
          <w:color w:val="000000"/>
        </w:rPr>
        <w:t>支</w:t>
      </w:r>
      <w:r>
        <w:rPr>
          <w:rStyle w:val="27"/>
          <w:rFonts w:hint="eastAsia" w:ascii="仿宋" w:hAnsi="仿宋" w:eastAsia="仿宋"/>
          <w:b w:val="0"/>
          <w:bCs w:val="0"/>
        </w:rPr>
        <w:t>出决算表</w:t>
      </w:r>
      <w:bookmarkEnd w:id="107"/>
      <w:bookmarkEnd w:id="108"/>
      <w:bookmarkEnd w:id="109"/>
    </w:p>
    <w:p w14:paraId="6F0B13C4">
      <w:pPr>
        <w:pStyle w:val="5"/>
        <w:rPr>
          <w:rFonts w:ascii="仿宋" w:hAnsi="仿宋" w:eastAsia="仿宋"/>
          <w:b w:val="0"/>
          <w:color w:val="000000"/>
        </w:rPr>
      </w:pPr>
      <w:bookmarkStart w:id="110" w:name="_Toc79163889"/>
      <w:bookmarkStart w:id="111" w:name="_Toc79163639"/>
      <w:bookmarkStart w:id="112" w:name="_Toc15396622"/>
      <w:r>
        <w:rPr>
          <w:rStyle w:val="27"/>
          <w:rFonts w:hint="eastAsia" w:ascii="仿宋" w:hAnsi="仿宋" w:eastAsia="仿宋"/>
          <w:b w:val="0"/>
          <w:bCs w:val="0"/>
        </w:rPr>
        <w:t>四、</w:t>
      </w:r>
      <w:r>
        <w:rPr>
          <w:rFonts w:hint="eastAsia" w:ascii="仿宋" w:hAnsi="仿宋" w:eastAsia="仿宋"/>
          <w:b w:val="0"/>
          <w:color w:val="000000"/>
        </w:rPr>
        <w:t>财</w:t>
      </w:r>
      <w:r>
        <w:rPr>
          <w:rStyle w:val="27"/>
          <w:rFonts w:hint="eastAsia" w:ascii="仿宋" w:hAnsi="仿宋" w:eastAsia="仿宋"/>
          <w:b w:val="0"/>
          <w:bCs w:val="0"/>
        </w:rPr>
        <w:t>政拨款收入支出决算总表</w:t>
      </w:r>
      <w:bookmarkEnd w:id="110"/>
      <w:bookmarkEnd w:id="111"/>
      <w:bookmarkEnd w:id="112"/>
    </w:p>
    <w:p w14:paraId="40ACEDB4">
      <w:pPr>
        <w:pStyle w:val="5"/>
        <w:rPr>
          <w:rStyle w:val="27"/>
          <w:rFonts w:ascii="仿宋" w:hAnsi="仿宋" w:eastAsia="仿宋"/>
          <w:b w:val="0"/>
          <w:bCs w:val="0"/>
        </w:rPr>
      </w:pPr>
      <w:bookmarkStart w:id="113" w:name="_Toc15396623"/>
      <w:bookmarkStart w:id="114" w:name="_Toc79163890"/>
      <w:bookmarkStart w:id="115" w:name="_Toc79163640"/>
      <w:r>
        <w:rPr>
          <w:rStyle w:val="27"/>
          <w:rFonts w:hint="eastAsia" w:ascii="仿宋" w:hAnsi="仿宋" w:eastAsia="仿宋"/>
          <w:b w:val="0"/>
          <w:bCs w:val="0"/>
        </w:rPr>
        <w:t>五、</w:t>
      </w:r>
      <w:r>
        <w:rPr>
          <w:rFonts w:hint="eastAsia" w:ascii="仿宋" w:hAnsi="仿宋" w:eastAsia="仿宋"/>
          <w:b w:val="0"/>
          <w:color w:val="000000"/>
        </w:rPr>
        <w:t>财</w:t>
      </w:r>
      <w:r>
        <w:rPr>
          <w:rStyle w:val="27"/>
          <w:rFonts w:hint="eastAsia" w:ascii="仿宋" w:hAnsi="仿宋" w:eastAsia="仿宋"/>
          <w:b w:val="0"/>
          <w:bCs w:val="0"/>
        </w:rPr>
        <w:t>政拨款支出决算明细表</w:t>
      </w:r>
      <w:bookmarkEnd w:id="113"/>
      <w:bookmarkEnd w:id="114"/>
      <w:bookmarkEnd w:id="115"/>
      <w:bookmarkStart w:id="116" w:name="_Toc15396624"/>
    </w:p>
    <w:p w14:paraId="0DC39826">
      <w:pPr>
        <w:pStyle w:val="5"/>
        <w:rPr>
          <w:rFonts w:ascii="仿宋" w:hAnsi="仿宋" w:eastAsia="仿宋"/>
          <w:color w:val="000000"/>
        </w:rPr>
      </w:pPr>
      <w:bookmarkStart w:id="117" w:name="_Toc79163641"/>
      <w:bookmarkStart w:id="118" w:name="_Toc79163891"/>
      <w:r>
        <w:rPr>
          <w:rStyle w:val="27"/>
          <w:rFonts w:hint="eastAsia" w:ascii="仿宋" w:hAnsi="仿宋" w:eastAsia="仿宋"/>
          <w:b w:val="0"/>
          <w:bCs w:val="0"/>
        </w:rPr>
        <w:t>六、</w:t>
      </w:r>
      <w:r>
        <w:rPr>
          <w:rFonts w:hint="eastAsia" w:ascii="仿宋" w:hAnsi="仿宋" w:eastAsia="仿宋"/>
          <w:b w:val="0"/>
          <w:color w:val="000000"/>
        </w:rPr>
        <w:t>一</w:t>
      </w:r>
      <w:r>
        <w:rPr>
          <w:rStyle w:val="27"/>
          <w:rFonts w:hint="eastAsia" w:ascii="仿宋" w:hAnsi="仿宋" w:eastAsia="仿宋"/>
          <w:b w:val="0"/>
          <w:bCs w:val="0"/>
        </w:rPr>
        <w:t>般公共预算财政拨款支出决算表</w:t>
      </w:r>
      <w:bookmarkEnd w:id="116"/>
      <w:bookmarkEnd w:id="117"/>
      <w:bookmarkEnd w:id="118"/>
    </w:p>
    <w:p w14:paraId="6E7ACC1A">
      <w:pPr>
        <w:pStyle w:val="5"/>
        <w:rPr>
          <w:rFonts w:ascii="仿宋" w:hAnsi="仿宋" w:eastAsia="仿宋"/>
          <w:color w:val="000000"/>
        </w:rPr>
      </w:pPr>
      <w:bookmarkStart w:id="119" w:name="_Toc79163642"/>
      <w:bookmarkStart w:id="120" w:name="_Toc15396625"/>
      <w:bookmarkStart w:id="121" w:name="_Toc79163892"/>
      <w:r>
        <w:rPr>
          <w:rStyle w:val="27"/>
          <w:rFonts w:hint="eastAsia" w:ascii="仿宋" w:hAnsi="仿宋" w:eastAsia="仿宋"/>
          <w:b w:val="0"/>
          <w:bCs w:val="0"/>
        </w:rPr>
        <w:t>七、</w:t>
      </w:r>
      <w:r>
        <w:rPr>
          <w:rFonts w:hint="eastAsia" w:ascii="仿宋" w:hAnsi="仿宋" w:eastAsia="仿宋"/>
          <w:b w:val="0"/>
          <w:color w:val="000000"/>
        </w:rPr>
        <w:t>一</w:t>
      </w:r>
      <w:r>
        <w:rPr>
          <w:rStyle w:val="27"/>
          <w:rFonts w:hint="eastAsia" w:ascii="仿宋" w:hAnsi="仿宋" w:eastAsia="仿宋"/>
          <w:b w:val="0"/>
          <w:bCs w:val="0"/>
        </w:rPr>
        <w:t>般公共预算财政拨款支出决算明细表</w:t>
      </w:r>
      <w:bookmarkEnd w:id="119"/>
      <w:bookmarkEnd w:id="120"/>
      <w:bookmarkEnd w:id="121"/>
    </w:p>
    <w:p w14:paraId="470DD92C">
      <w:pPr>
        <w:pStyle w:val="5"/>
        <w:rPr>
          <w:rFonts w:ascii="仿宋" w:hAnsi="仿宋" w:eastAsia="仿宋"/>
          <w:color w:val="000000"/>
        </w:rPr>
      </w:pPr>
      <w:bookmarkStart w:id="122" w:name="_Toc79163893"/>
      <w:bookmarkStart w:id="123" w:name="_Toc15396626"/>
      <w:bookmarkStart w:id="124" w:name="_Toc79163643"/>
      <w:r>
        <w:rPr>
          <w:rStyle w:val="27"/>
          <w:rFonts w:hint="eastAsia" w:ascii="仿宋" w:hAnsi="仿宋" w:eastAsia="仿宋"/>
          <w:b w:val="0"/>
          <w:bCs w:val="0"/>
        </w:rPr>
        <w:t>八、</w:t>
      </w:r>
      <w:r>
        <w:rPr>
          <w:rFonts w:hint="eastAsia" w:ascii="仿宋" w:hAnsi="仿宋" w:eastAsia="仿宋"/>
          <w:b w:val="0"/>
          <w:color w:val="000000"/>
        </w:rPr>
        <w:t>一</w:t>
      </w:r>
      <w:r>
        <w:rPr>
          <w:rStyle w:val="27"/>
          <w:rFonts w:hint="eastAsia" w:ascii="仿宋" w:hAnsi="仿宋" w:eastAsia="仿宋"/>
          <w:b w:val="0"/>
          <w:bCs w:val="0"/>
        </w:rPr>
        <w:t>般公共预算财政拨款基本支出决算表</w:t>
      </w:r>
      <w:bookmarkEnd w:id="122"/>
      <w:bookmarkEnd w:id="123"/>
      <w:bookmarkEnd w:id="124"/>
    </w:p>
    <w:p w14:paraId="6020A2B3">
      <w:pPr>
        <w:pStyle w:val="5"/>
        <w:rPr>
          <w:rFonts w:ascii="仿宋" w:hAnsi="仿宋" w:eastAsia="仿宋"/>
          <w:color w:val="000000"/>
        </w:rPr>
      </w:pPr>
      <w:bookmarkStart w:id="125" w:name="_Toc79163644"/>
      <w:bookmarkStart w:id="126" w:name="_Toc15396627"/>
      <w:bookmarkStart w:id="127" w:name="_Toc79163894"/>
      <w:r>
        <w:rPr>
          <w:rStyle w:val="27"/>
          <w:rFonts w:hint="eastAsia" w:ascii="仿宋" w:hAnsi="仿宋" w:eastAsia="仿宋"/>
          <w:b w:val="0"/>
          <w:bCs w:val="0"/>
        </w:rPr>
        <w:t>九、</w:t>
      </w:r>
      <w:r>
        <w:rPr>
          <w:rFonts w:hint="eastAsia" w:ascii="仿宋" w:hAnsi="仿宋" w:eastAsia="仿宋"/>
          <w:b w:val="0"/>
          <w:color w:val="000000"/>
        </w:rPr>
        <w:t>一</w:t>
      </w:r>
      <w:r>
        <w:rPr>
          <w:rStyle w:val="27"/>
          <w:rFonts w:hint="eastAsia" w:ascii="仿宋" w:hAnsi="仿宋" w:eastAsia="仿宋"/>
          <w:b w:val="0"/>
          <w:bCs w:val="0"/>
        </w:rPr>
        <w:t>般公共预算财政拨款项目支出决算表</w:t>
      </w:r>
      <w:bookmarkEnd w:id="125"/>
      <w:bookmarkEnd w:id="126"/>
      <w:bookmarkEnd w:id="127"/>
    </w:p>
    <w:p w14:paraId="7E3AE936">
      <w:pPr>
        <w:pStyle w:val="5"/>
        <w:rPr>
          <w:rFonts w:ascii="仿宋" w:hAnsi="仿宋" w:eastAsia="仿宋"/>
          <w:color w:val="000000"/>
        </w:rPr>
      </w:pPr>
      <w:bookmarkStart w:id="128" w:name="_Toc15396628"/>
      <w:bookmarkStart w:id="129" w:name="_Toc79163895"/>
      <w:bookmarkStart w:id="130" w:name="_Toc79163645"/>
      <w:r>
        <w:rPr>
          <w:rStyle w:val="27"/>
          <w:rFonts w:hint="eastAsia" w:ascii="仿宋" w:hAnsi="仿宋" w:eastAsia="仿宋"/>
          <w:b w:val="0"/>
          <w:bCs w:val="0"/>
        </w:rPr>
        <w:t>十、</w:t>
      </w:r>
      <w:r>
        <w:rPr>
          <w:rFonts w:hint="eastAsia" w:ascii="仿宋" w:hAnsi="仿宋" w:eastAsia="仿宋"/>
          <w:b w:val="0"/>
          <w:color w:val="000000"/>
        </w:rPr>
        <w:t>一</w:t>
      </w:r>
      <w:r>
        <w:rPr>
          <w:rStyle w:val="27"/>
          <w:rFonts w:hint="eastAsia" w:ascii="仿宋" w:hAnsi="仿宋" w:eastAsia="仿宋"/>
          <w:b w:val="0"/>
          <w:bCs w:val="0"/>
        </w:rPr>
        <w:t>般公共预算财政拨款“三公”经费支出决算表</w:t>
      </w:r>
      <w:bookmarkEnd w:id="128"/>
      <w:bookmarkEnd w:id="129"/>
      <w:bookmarkEnd w:id="130"/>
    </w:p>
    <w:p w14:paraId="05336719">
      <w:pPr>
        <w:pStyle w:val="5"/>
        <w:rPr>
          <w:rFonts w:ascii="仿宋" w:hAnsi="仿宋" w:eastAsia="仿宋"/>
          <w:color w:val="000000"/>
        </w:rPr>
      </w:pPr>
      <w:bookmarkStart w:id="131" w:name="_Toc79163646"/>
      <w:bookmarkStart w:id="132" w:name="_Toc15396629"/>
      <w:bookmarkStart w:id="133" w:name="_Toc79163896"/>
      <w:r>
        <w:rPr>
          <w:rStyle w:val="27"/>
          <w:rFonts w:hint="eastAsia" w:ascii="仿宋" w:hAnsi="仿宋" w:eastAsia="仿宋"/>
          <w:b w:val="0"/>
          <w:bCs w:val="0"/>
        </w:rPr>
        <w:t>十一、</w:t>
      </w:r>
      <w:r>
        <w:rPr>
          <w:rFonts w:hint="eastAsia" w:ascii="仿宋" w:hAnsi="仿宋" w:eastAsia="仿宋"/>
          <w:b w:val="0"/>
          <w:color w:val="000000"/>
        </w:rPr>
        <w:t>政</w:t>
      </w:r>
      <w:r>
        <w:rPr>
          <w:rStyle w:val="27"/>
          <w:rFonts w:hint="eastAsia" w:ascii="仿宋" w:hAnsi="仿宋" w:eastAsia="仿宋"/>
          <w:b w:val="0"/>
          <w:bCs w:val="0"/>
        </w:rPr>
        <w:t>府性基金预算财政拨款收入支出决算表</w:t>
      </w:r>
      <w:bookmarkEnd w:id="131"/>
      <w:bookmarkEnd w:id="132"/>
      <w:bookmarkEnd w:id="133"/>
    </w:p>
    <w:p w14:paraId="602A38BE">
      <w:pPr>
        <w:pStyle w:val="5"/>
        <w:rPr>
          <w:rFonts w:ascii="仿宋" w:hAnsi="仿宋" w:eastAsia="仿宋"/>
          <w:color w:val="000000"/>
        </w:rPr>
      </w:pPr>
      <w:bookmarkStart w:id="134" w:name="_Toc79163647"/>
      <w:bookmarkStart w:id="135" w:name="_Toc15396630"/>
      <w:bookmarkStart w:id="136" w:name="_Toc79163897"/>
      <w:r>
        <w:rPr>
          <w:rStyle w:val="27"/>
          <w:rFonts w:hint="eastAsia" w:ascii="仿宋" w:hAnsi="仿宋" w:eastAsia="仿宋"/>
          <w:b w:val="0"/>
          <w:bCs w:val="0"/>
        </w:rPr>
        <w:t>十二、</w:t>
      </w:r>
      <w:r>
        <w:rPr>
          <w:rFonts w:hint="eastAsia" w:ascii="仿宋" w:hAnsi="仿宋" w:eastAsia="仿宋"/>
          <w:b w:val="0"/>
          <w:color w:val="000000"/>
        </w:rPr>
        <w:t>政</w:t>
      </w:r>
      <w:r>
        <w:rPr>
          <w:rStyle w:val="27"/>
          <w:rFonts w:hint="eastAsia" w:ascii="仿宋" w:hAnsi="仿宋" w:eastAsia="仿宋"/>
          <w:b w:val="0"/>
          <w:bCs w:val="0"/>
        </w:rPr>
        <w:t>府性基金预算财政拨款“三公”经费支出决算表</w:t>
      </w:r>
      <w:bookmarkEnd w:id="134"/>
      <w:bookmarkEnd w:id="135"/>
      <w:bookmarkEnd w:id="136"/>
    </w:p>
    <w:p w14:paraId="52451151">
      <w:pPr>
        <w:pStyle w:val="5"/>
        <w:rPr>
          <w:rStyle w:val="27"/>
          <w:rFonts w:ascii="仿宋" w:hAnsi="仿宋" w:eastAsia="仿宋"/>
          <w:b w:val="0"/>
          <w:bCs w:val="0"/>
        </w:rPr>
      </w:pPr>
      <w:bookmarkStart w:id="137" w:name="_Toc79163898"/>
      <w:bookmarkStart w:id="138" w:name="_Toc15396631"/>
      <w:bookmarkStart w:id="139" w:name="_Toc79163648"/>
      <w:r>
        <w:rPr>
          <w:rStyle w:val="27"/>
          <w:rFonts w:hint="eastAsia" w:ascii="仿宋" w:hAnsi="仿宋" w:eastAsia="仿宋"/>
          <w:b w:val="0"/>
          <w:bCs w:val="0"/>
        </w:rPr>
        <w:t>十三、</w:t>
      </w:r>
      <w:r>
        <w:rPr>
          <w:rFonts w:hint="eastAsia" w:ascii="仿宋" w:hAnsi="仿宋" w:eastAsia="仿宋"/>
          <w:b w:val="0"/>
          <w:color w:val="000000"/>
        </w:rPr>
        <w:t>国</w:t>
      </w:r>
      <w:r>
        <w:rPr>
          <w:rStyle w:val="27"/>
          <w:rFonts w:hint="eastAsia" w:ascii="仿宋" w:hAnsi="仿宋" w:eastAsia="仿宋"/>
          <w:b w:val="0"/>
          <w:bCs w:val="0"/>
        </w:rPr>
        <w:t>有资本经营预算财政拨款支出决算表</w:t>
      </w:r>
      <w:bookmarkEnd w:id="137"/>
      <w:bookmarkEnd w:id="138"/>
      <w:bookmarkEnd w:id="139"/>
    </w:p>
    <w:p w14:paraId="72A139F5">
      <w:pPr>
        <w:pStyle w:val="5"/>
        <w:rPr>
          <w:rStyle w:val="27"/>
          <w:rFonts w:ascii="仿宋" w:hAnsi="仿宋" w:eastAsia="仿宋"/>
          <w:b w:val="0"/>
          <w:bCs w:val="0"/>
        </w:rPr>
      </w:pPr>
      <w:bookmarkStart w:id="140" w:name="_Toc79163899"/>
      <w:bookmarkStart w:id="141" w:name="_Toc79163649"/>
      <w:r>
        <w:rPr>
          <w:rStyle w:val="27"/>
          <w:rFonts w:hint="eastAsia" w:ascii="仿宋" w:hAnsi="仿宋" w:eastAsia="仿宋"/>
          <w:b w:val="0"/>
          <w:bCs w:val="0"/>
        </w:rPr>
        <w:t>十四、国有资本经营预算财政拨款支出决算表</w:t>
      </w:r>
      <w:bookmarkEnd w:id="140"/>
      <w:bookmarkEnd w:id="141"/>
    </w:p>
    <w:sectPr>
      <w:headerReference r:id="rId3" w:type="default"/>
      <w:footerReference r:id="rId4" w:type="default"/>
      <w:pgSz w:w="11906" w:h="16838"/>
      <w:pgMar w:top="1440" w:right="1800" w:bottom="1440" w:left="1800" w:header="851" w:footer="992" w:gutter="0"/>
      <w:pgNumType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等线 Light">
    <w:panose1 w:val="02010600030101010101"/>
    <w:charset w:val="86"/>
    <w:family w:val="auto"/>
    <w:pitch w:val="default"/>
    <w:sig w:usb0="A00002BF" w:usb1="38CF7CFA" w:usb2="00000016" w:usb3="00000000" w:csb0="0004000F" w:csb1="00000000"/>
  </w:font>
  <w:font w:name="??">
    <w:altName w:val="Times New Roman"/>
    <w:panose1 w:val="00000000000000000000"/>
    <w:charset w:val="00"/>
    <w:family w:val="roman"/>
    <w:pitch w:val="default"/>
    <w:sig w:usb0="00000000" w:usb1="00000000" w:usb2="00000000" w:usb3="00000000" w:csb0="00000000" w:csb1="00000000"/>
  </w:font>
  <w:font w:name="方正小标宋简体">
    <w:panose1 w:val="03000509000000000000"/>
    <w:charset w:val="86"/>
    <w:family w:val="script"/>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F0439F">
    <w:pPr>
      <w:pStyle w:val="13"/>
      <w:jc w:val="center"/>
    </w:pPr>
    <w:r>
      <w:fldChar w:fldCharType="begin"/>
    </w:r>
    <w:r>
      <w:instrText xml:space="preserve">PAGE   \* MERGEFORMAT</w:instrText>
    </w:r>
    <w:r>
      <w:fldChar w:fldCharType="separate"/>
    </w:r>
    <w:r>
      <w:rPr>
        <w:lang w:val="zh-CN"/>
      </w:rPr>
      <w:t>3</w:t>
    </w:r>
    <w:r>
      <w:fldChar w:fldCharType="end"/>
    </w:r>
  </w:p>
  <w:p w14:paraId="618655F8">
    <w:pPr>
      <w:pStyle w:val="1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17CC40">
    <w:pPr>
      <w:pStyle w:val="1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AF91CF4"/>
    <w:multiLevelType w:val="singleLevel"/>
    <w:tmpl w:val="BAF91CF4"/>
    <w:lvl w:ilvl="0" w:tentative="0">
      <w:start w:val="2"/>
      <w:numFmt w:val="chineseCounting"/>
      <w:suff w:val="nothing"/>
      <w:lvlText w:val="%1、"/>
      <w:lvlJc w:val="left"/>
      <w:rPr>
        <w:rFonts w:hint="eastAsia"/>
      </w:rPr>
    </w:lvl>
  </w:abstractNum>
  <w:abstractNum w:abstractNumId="1">
    <w:nsid w:val="CF652CEC"/>
    <w:multiLevelType w:val="singleLevel"/>
    <w:tmpl w:val="CF652CEC"/>
    <w:lvl w:ilvl="0" w:tentative="0">
      <w:start w:val="9"/>
      <w:numFmt w:val="chineseCounting"/>
      <w:suff w:val="nothing"/>
      <w:lvlText w:val="%1、"/>
      <w:lvlJc w:val="left"/>
      <w:rPr>
        <w:rFonts w:hint="eastAsia" w:cs="Times New Roman"/>
      </w:rPr>
    </w:lvl>
  </w:abstractNum>
  <w:abstractNum w:abstractNumId="2">
    <w:nsid w:val="E2FA047D"/>
    <w:multiLevelType w:val="singleLevel"/>
    <w:tmpl w:val="E2FA047D"/>
    <w:lvl w:ilvl="0" w:tentative="0">
      <w:start w:val="3"/>
      <w:numFmt w:val="chineseCounting"/>
      <w:suff w:val="space"/>
      <w:lvlText w:val="第%1部分"/>
      <w:lvlJc w:val="left"/>
      <w:rPr>
        <w:rFonts w:hint="eastAsia" w:cs="Times New Roman"/>
      </w:rPr>
    </w:lvl>
  </w:abstractNum>
  <w:abstractNum w:abstractNumId="3">
    <w:nsid w:val="1272550B"/>
    <w:multiLevelType w:val="multilevel"/>
    <w:tmpl w:val="1272550B"/>
    <w:lvl w:ilvl="0" w:tentative="0">
      <w:start w:val="1"/>
      <w:numFmt w:val="japaneseCounting"/>
      <w:lvlText w:val="%1、"/>
      <w:lvlJc w:val="left"/>
      <w:pPr>
        <w:ind w:left="1360" w:hanging="720"/>
      </w:pPr>
      <w:rPr>
        <w:rFonts w:hint="default" w:cs="Times New Roman"/>
        <w:b w:val="0"/>
      </w:rPr>
    </w:lvl>
    <w:lvl w:ilvl="1" w:tentative="0">
      <w:start w:val="1"/>
      <w:numFmt w:val="lowerLetter"/>
      <w:lvlText w:val="%2)"/>
      <w:lvlJc w:val="left"/>
      <w:pPr>
        <w:ind w:left="1480" w:hanging="420"/>
      </w:pPr>
      <w:rPr>
        <w:rFonts w:cs="Times New Roman"/>
      </w:rPr>
    </w:lvl>
    <w:lvl w:ilvl="2" w:tentative="0">
      <w:start w:val="1"/>
      <w:numFmt w:val="lowerRoman"/>
      <w:lvlText w:val="%3."/>
      <w:lvlJc w:val="right"/>
      <w:pPr>
        <w:ind w:left="1900" w:hanging="420"/>
      </w:pPr>
      <w:rPr>
        <w:rFonts w:cs="Times New Roman"/>
      </w:rPr>
    </w:lvl>
    <w:lvl w:ilvl="3" w:tentative="0">
      <w:start w:val="1"/>
      <w:numFmt w:val="decimal"/>
      <w:lvlText w:val="%4."/>
      <w:lvlJc w:val="left"/>
      <w:pPr>
        <w:ind w:left="2320" w:hanging="420"/>
      </w:pPr>
      <w:rPr>
        <w:rFonts w:cs="Times New Roman"/>
      </w:rPr>
    </w:lvl>
    <w:lvl w:ilvl="4" w:tentative="0">
      <w:start w:val="1"/>
      <w:numFmt w:val="lowerLetter"/>
      <w:lvlText w:val="%5)"/>
      <w:lvlJc w:val="left"/>
      <w:pPr>
        <w:ind w:left="2740" w:hanging="420"/>
      </w:pPr>
      <w:rPr>
        <w:rFonts w:cs="Times New Roman"/>
      </w:rPr>
    </w:lvl>
    <w:lvl w:ilvl="5" w:tentative="0">
      <w:start w:val="1"/>
      <w:numFmt w:val="lowerRoman"/>
      <w:lvlText w:val="%6."/>
      <w:lvlJc w:val="right"/>
      <w:pPr>
        <w:ind w:left="3160" w:hanging="420"/>
      </w:pPr>
      <w:rPr>
        <w:rFonts w:cs="Times New Roman"/>
      </w:rPr>
    </w:lvl>
    <w:lvl w:ilvl="6" w:tentative="0">
      <w:start w:val="1"/>
      <w:numFmt w:val="decimal"/>
      <w:lvlText w:val="%7."/>
      <w:lvlJc w:val="left"/>
      <w:pPr>
        <w:ind w:left="3580" w:hanging="420"/>
      </w:pPr>
      <w:rPr>
        <w:rFonts w:cs="Times New Roman"/>
      </w:rPr>
    </w:lvl>
    <w:lvl w:ilvl="7" w:tentative="0">
      <w:start w:val="1"/>
      <w:numFmt w:val="lowerLetter"/>
      <w:lvlText w:val="%8)"/>
      <w:lvlJc w:val="left"/>
      <w:pPr>
        <w:ind w:left="4000" w:hanging="420"/>
      </w:pPr>
      <w:rPr>
        <w:rFonts w:cs="Times New Roman"/>
      </w:rPr>
    </w:lvl>
    <w:lvl w:ilvl="8" w:tentative="0">
      <w:start w:val="1"/>
      <w:numFmt w:val="lowerRoman"/>
      <w:lvlText w:val="%9."/>
      <w:lvlJc w:val="right"/>
      <w:pPr>
        <w:ind w:left="4420" w:hanging="420"/>
      </w:pPr>
      <w:rPr>
        <w:rFonts w:cs="Times New Roman"/>
      </w:rPr>
    </w:lvl>
  </w:abstractNum>
  <w:abstractNum w:abstractNumId="4">
    <w:nsid w:val="4BAD8114"/>
    <w:multiLevelType w:val="singleLevel"/>
    <w:tmpl w:val="4BAD8114"/>
    <w:lvl w:ilvl="0" w:tentative="0">
      <w:start w:val="1"/>
      <w:numFmt w:val="decimal"/>
      <w:lvlText w:val="%1."/>
      <w:lvlJc w:val="left"/>
      <w:pPr>
        <w:tabs>
          <w:tab w:val="left" w:pos="312"/>
        </w:tabs>
      </w:pPr>
    </w:lvl>
  </w:abstractNum>
  <w:num w:numId="1">
    <w:abstractNumId w:val="0"/>
  </w:num>
  <w:num w:numId="2">
    <w:abstractNumId w:val="3"/>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TU1MWNhN2ZmY2ZhZmY3ODhlYTg0MWU5OGMyY2QwZmU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15301"/>
    <w:rsid w:val="001319E1"/>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56262"/>
    <w:rsid w:val="00260C38"/>
    <w:rsid w:val="002616C0"/>
    <w:rsid w:val="00265372"/>
    <w:rsid w:val="002662AA"/>
    <w:rsid w:val="0027224D"/>
    <w:rsid w:val="00280496"/>
    <w:rsid w:val="00294DC9"/>
    <w:rsid w:val="00295495"/>
    <w:rsid w:val="002A31DE"/>
    <w:rsid w:val="002B2613"/>
    <w:rsid w:val="002B2FF7"/>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3E6FE4"/>
    <w:rsid w:val="00406254"/>
    <w:rsid w:val="004223DE"/>
    <w:rsid w:val="00434489"/>
    <w:rsid w:val="00437085"/>
    <w:rsid w:val="00443880"/>
    <w:rsid w:val="00445607"/>
    <w:rsid w:val="004464F4"/>
    <w:rsid w:val="00471401"/>
    <w:rsid w:val="00473F31"/>
    <w:rsid w:val="0048263A"/>
    <w:rsid w:val="00487E5D"/>
    <w:rsid w:val="004A711F"/>
    <w:rsid w:val="004B199D"/>
    <w:rsid w:val="004B4690"/>
    <w:rsid w:val="004D5479"/>
    <w:rsid w:val="004E0A2D"/>
    <w:rsid w:val="004E206B"/>
    <w:rsid w:val="004E6DF7"/>
    <w:rsid w:val="004F0FBD"/>
    <w:rsid w:val="00505A47"/>
    <w:rsid w:val="00512FDA"/>
    <w:rsid w:val="00520DA0"/>
    <w:rsid w:val="005269A7"/>
    <w:rsid w:val="005269D7"/>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45F81"/>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2977"/>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34D8"/>
    <w:rsid w:val="00935C98"/>
    <w:rsid w:val="00946945"/>
    <w:rsid w:val="00951248"/>
    <w:rsid w:val="0095152F"/>
    <w:rsid w:val="00954C49"/>
    <w:rsid w:val="00955E37"/>
    <w:rsid w:val="00962656"/>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11E4"/>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0E4E"/>
    <w:rsid w:val="00B944D6"/>
    <w:rsid w:val="00B965DC"/>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4B0"/>
    <w:rsid w:val="00DC7CBA"/>
    <w:rsid w:val="00DD73B7"/>
    <w:rsid w:val="00DF28BC"/>
    <w:rsid w:val="00DF34B9"/>
    <w:rsid w:val="00E01053"/>
    <w:rsid w:val="00E07ACF"/>
    <w:rsid w:val="00E32CAD"/>
    <w:rsid w:val="00E331A1"/>
    <w:rsid w:val="00E33202"/>
    <w:rsid w:val="00E336A9"/>
    <w:rsid w:val="00E472B1"/>
    <w:rsid w:val="00E50624"/>
    <w:rsid w:val="00E568DF"/>
    <w:rsid w:val="00E64269"/>
    <w:rsid w:val="00E70975"/>
    <w:rsid w:val="00E82267"/>
    <w:rsid w:val="00E853CE"/>
    <w:rsid w:val="00E867B6"/>
    <w:rsid w:val="00EA010F"/>
    <w:rsid w:val="00ED1B63"/>
    <w:rsid w:val="00ED3C1F"/>
    <w:rsid w:val="00ED4085"/>
    <w:rsid w:val="00ED420E"/>
    <w:rsid w:val="00ED6FBE"/>
    <w:rsid w:val="00EE2F57"/>
    <w:rsid w:val="00EF4C34"/>
    <w:rsid w:val="00EF60EF"/>
    <w:rsid w:val="00EF77C6"/>
    <w:rsid w:val="00F05438"/>
    <w:rsid w:val="00F1361C"/>
    <w:rsid w:val="00F156F0"/>
    <w:rsid w:val="00F160C7"/>
    <w:rsid w:val="00F2408F"/>
    <w:rsid w:val="00F240E9"/>
    <w:rsid w:val="00F36D8F"/>
    <w:rsid w:val="00F417B1"/>
    <w:rsid w:val="00F45853"/>
    <w:rsid w:val="00F602DF"/>
    <w:rsid w:val="00F67211"/>
    <w:rsid w:val="00F754A1"/>
    <w:rsid w:val="00F81FD9"/>
    <w:rsid w:val="00F841AA"/>
    <w:rsid w:val="00F84A94"/>
    <w:rsid w:val="00F87E96"/>
    <w:rsid w:val="00FA23E8"/>
    <w:rsid w:val="00FD3CC1"/>
    <w:rsid w:val="00FF1E02"/>
    <w:rsid w:val="00FF30B4"/>
    <w:rsid w:val="02907BD3"/>
    <w:rsid w:val="063C61AB"/>
    <w:rsid w:val="07D06748"/>
    <w:rsid w:val="08015265"/>
    <w:rsid w:val="095F53AD"/>
    <w:rsid w:val="0A2032A3"/>
    <w:rsid w:val="10C055FF"/>
    <w:rsid w:val="118107EC"/>
    <w:rsid w:val="12D34587"/>
    <w:rsid w:val="133E505B"/>
    <w:rsid w:val="147F787A"/>
    <w:rsid w:val="16BB723D"/>
    <w:rsid w:val="18316D74"/>
    <w:rsid w:val="198A78DD"/>
    <w:rsid w:val="1D155CEE"/>
    <w:rsid w:val="20490CC8"/>
    <w:rsid w:val="21215F77"/>
    <w:rsid w:val="238F42CC"/>
    <w:rsid w:val="240371BF"/>
    <w:rsid w:val="262001A2"/>
    <w:rsid w:val="29FD04D3"/>
    <w:rsid w:val="2C503A67"/>
    <w:rsid w:val="2D80717B"/>
    <w:rsid w:val="2FAF745F"/>
    <w:rsid w:val="319F7F4E"/>
    <w:rsid w:val="35D93230"/>
    <w:rsid w:val="366260F8"/>
    <w:rsid w:val="3C97266F"/>
    <w:rsid w:val="3E7A5DA4"/>
    <w:rsid w:val="451C7579"/>
    <w:rsid w:val="46414F37"/>
    <w:rsid w:val="4B9E554B"/>
    <w:rsid w:val="4BDE1DD7"/>
    <w:rsid w:val="4C366639"/>
    <w:rsid w:val="4ECE2238"/>
    <w:rsid w:val="52C7077E"/>
    <w:rsid w:val="53510558"/>
    <w:rsid w:val="57EE7384"/>
    <w:rsid w:val="5A961A97"/>
    <w:rsid w:val="5C3C5E9B"/>
    <w:rsid w:val="61DC0E68"/>
    <w:rsid w:val="65E0195F"/>
    <w:rsid w:val="6618603E"/>
    <w:rsid w:val="679A4C3E"/>
    <w:rsid w:val="6C4A05C8"/>
    <w:rsid w:val="70C27A56"/>
    <w:rsid w:val="72734D90"/>
    <w:rsid w:val="742E11F4"/>
    <w:rsid w:val="76CA0970"/>
    <w:rsid w:val="7A3819D3"/>
    <w:rsid w:val="7AE27B4F"/>
    <w:rsid w:val="7B8A5D04"/>
    <w:rsid w:val="7C9D22F8"/>
    <w:rsid w:val="7EEB65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uiPriority="99"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qFormat="1" w:uiPriority="99"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26"/>
    <w:qFormat/>
    <w:uiPriority w:val="9"/>
    <w:pPr>
      <w:keepNext/>
      <w:keepLines/>
      <w:spacing w:before="340" w:after="330" w:line="578" w:lineRule="auto"/>
      <w:outlineLvl w:val="0"/>
    </w:pPr>
    <w:rPr>
      <w:b/>
      <w:bCs/>
      <w:kern w:val="44"/>
      <w:sz w:val="44"/>
      <w:szCs w:val="44"/>
    </w:rPr>
  </w:style>
  <w:style w:type="paragraph" w:styleId="5">
    <w:name w:val="heading 2"/>
    <w:basedOn w:val="1"/>
    <w:next w:val="1"/>
    <w:link w:val="27"/>
    <w:qFormat/>
    <w:uiPriority w:val="9"/>
    <w:pPr>
      <w:keepNext/>
      <w:keepLines/>
      <w:spacing w:before="260" w:after="260" w:line="416" w:lineRule="auto"/>
      <w:outlineLvl w:val="1"/>
    </w:pPr>
    <w:rPr>
      <w:rFonts w:ascii="Cambria" w:hAnsi="Cambria"/>
      <w:b/>
      <w:bCs/>
      <w:sz w:val="32"/>
      <w:szCs w:val="32"/>
    </w:rPr>
  </w:style>
  <w:style w:type="paragraph" w:styleId="6">
    <w:name w:val="heading 3"/>
    <w:basedOn w:val="1"/>
    <w:next w:val="1"/>
    <w:link w:val="28"/>
    <w:qFormat/>
    <w:uiPriority w:val="9"/>
    <w:pPr>
      <w:keepNext/>
      <w:keepLines/>
      <w:spacing w:before="260" w:after="260" w:line="416" w:lineRule="auto"/>
      <w:outlineLvl w:val="2"/>
    </w:pPr>
    <w:rPr>
      <w:b/>
      <w:bCs/>
      <w:sz w:val="32"/>
      <w:szCs w:val="32"/>
    </w:rPr>
  </w:style>
  <w:style w:type="character" w:default="1" w:styleId="23">
    <w:name w:val="Default Paragraph Font"/>
    <w:semiHidden/>
    <w:unhideWhenUsed/>
    <w:qFormat/>
    <w:uiPriority w:val="1"/>
  </w:style>
  <w:style w:type="table" w:default="1" w:styleId="22">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qFormat/>
    <w:uiPriority w:val="0"/>
    <w:pPr>
      <w:ind w:firstLine="420" w:firstLineChars="200"/>
    </w:pPr>
  </w:style>
  <w:style w:type="paragraph" w:styleId="3">
    <w:name w:val="Body Text Indent"/>
    <w:basedOn w:val="1"/>
    <w:next w:val="2"/>
    <w:qFormat/>
    <w:uiPriority w:val="0"/>
    <w:pPr>
      <w:spacing w:line="600" w:lineRule="exact"/>
      <w:ind w:firstLine="702"/>
    </w:pPr>
    <w:rPr>
      <w:rFonts w:ascii="仿宋_GB2312" w:hAnsi="Times New Roman" w:eastAsia="仿宋_GB2312" w:cs="Times New Roman"/>
      <w:sz w:val="32"/>
      <w:szCs w:val="20"/>
    </w:rPr>
  </w:style>
  <w:style w:type="paragraph" w:styleId="7">
    <w:name w:val="toc 7"/>
    <w:basedOn w:val="1"/>
    <w:next w:val="1"/>
    <w:unhideWhenUsed/>
    <w:qFormat/>
    <w:uiPriority w:val="39"/>
    <w:pPr>
      <w:ind w:left="1260"/>
      <w:jc w:val="left"/>
    </w:pPr>
    <w:rPr>
      <w:rFonts w:asciiTheme="minorHAnsi" w:eastAsiaTheme="minorHAnsi"/>
      <w:sz w:val="18"/>
      <w:szCs w:val="18"/>
    </w:rPr>
  </w:style>
  <w:style w:type="paragraph" w:styleId="8">
    <w:name w:val="Body Text"/>
    <w:basedOn w:val="1"/>
    <w:link w:val="35"/>
    <w:qFormat/>
    <w:uiPriority w:val="99"/>
    <w:pPr>
      <w:spacing w:beforeLines="30"/>
    </w:pPr>
    <w:rPr>
      <w:rFonts w:ascii="仿宋_GB2312" w:eastAsia="仿宋_GB2312"/>
      <w:kern w:val="0"/>
      <w:sz w:val="24"/>
      <w:szCs w:val="20"/>
      <w:lang w:val="zh-CN" w:eastAsia="zh-CN"/>
    </w:rPr>
  </w:style>
  <w:style w:type="paragraph" w:styleId="9">
    <w:name w:val="toc 5"/>
    <w:basedOn w:val="1"/>
    <w:next w:val="1"/>
    <w:unhideWhenUsed/>
    <w:qFormat/>
    <w:uiPriority w:val="39"/>
    <w:pPr>
      <w:ind w:left="840"/>
      <w:jc w:val="left"/>
    </w:pPr>
    <w:rPr>
      <w:rFonts w:asciiTheme="minorHAnsi" w:eastAsiaTheme="minorHAnsi"/>
      <w:sz w:val="18"/>
      <w:szCs w:val="18"/>
    </w:rPr>
  </w:style>
  <w:style w:type="paragraph" w:styleId="10">
    <w:name w:val="toc 3"/>
    <w:basedOn w:val="1"/>
    <w:next w:val="1"/>
    <w:unhideWhenUsed/>
    <w:qFormat/>
    <w:uiPriority w:val="39"/>
    <w:pPr>
      <w:ind w:left="420"/>
      <w:jc w:val="left"/>
    </w:pPr>
    <w:rPr>
      <w:rFonts w:asciiTheme="minorHAnsi" w:eastAsiaTheme="minorHAnsi"/>
      <w:i/>
      <w:iCs/>
      <w:sz w:val="20"/>
      <w:szCs w:val="20"/>
    </w:rPr>
  </w:style>
  <w:style w:type="paragraph" w:styleId="11">
    <w:name w:val="toc 8"/>
    <w:basedOn w:val="1"/>
    <w:next w:val="1"/>
    <w:unhideWhenUsed/>
    <w:qFormat/>
    <w:uiPriority w:val="39"/>
    <w:pPr>
      <w:ind w:left="1470"/>
      <w:jc w:val="left"/>
    </w:pPr>
    <w:rPr>
      <w:rFonts w:asciiTheme="minorHAnsi" w:eastAsiaTheme="minorHAnsi"/>
      <w:sz w:val="18"/>
      <w:szCs w:val="18"/>
    </w:rPr>
  </w:style>
  <w:style w:type="paragraph" w:styleId="12">
    <w:name w:val="Balloon Text"/>
    <w:basedOn w:val="1"/>
    <w:link w:val="30"/>
    <w:semiHidden/>
    <w:unhideWhenUsed/>
    <w:qFormat/>
    <w:uiPriority w:val="99"/>
    <w:rPr>
      <w:sz w:val="18"/>
      <w:szCs w:val="18"/>
    </w:rPr>
  </w:style>
  <w:style w:type="paragraph" w:styleId="13">
    <w:name w:val="footer"/>
    <w:basedOn w:val="1"/>
    <w:link w:val="34"/>
    <w:qFormat/>
    <w:uiPriority w:val="99"/>
    <w:pPr>
      <w:tabs>
        <w:tab w:val="center" w:pos="4153"/>
        <w:tab w:val="right" w:pos="8306"/>
      </w:tabs>
      <w:snapToGrid w:val="0"/>
      <w:jc w:val="left"/>
    </w:pPr>
    <w:rPr>
      <w:rFonts w:ascii="Calibri" w:hAnsi="Calibri"/>
      <w:kern w:val="0"/>
      <w:sz w:val="18"/>
      <w:szCs w:val="20"/>
      <w:lang w:val="zh-CN" w:eastAsia="zh-CN"/>
    </w:rPr>
  </w:style>
  <w:style w:type="paragraph" w:styleId="14">
    <w:name w:val="header"/>
    <w:basedOn w:val="1"/>
    <w:link w:val="33"/>
    <w:semiHidden/>
    <w:qFormat/>
    <w:uiPriority w:val="99"/>
    <w:pPr>
      <w:pBdr>
        <w:bottom w:val="single" w:color="auto" w:sz="6" w:space="1"/>
      </w:pBdr>
      <w:tabs>
        <w:tab w:val="center" w:pos="4153"/>
        <w:tab w:val="right" w:pos="8306"/>
      </w:tabs>
      <w:snapToGrid w:val="0"/>
      <w:jc w:val="center"/>
    </w:pPr>
    <w:rPr>
      <w:rFonts w:ascii="Calibri" w:hAnsi="Calibri"/>
      <w:kern w:val="0"/>
      <w:sz w:val="18"/>
      <w:szCs w:val="20"/>
      <w:lang w:val="zh-CN" w:eastAsia="zh-CN"/>
    </w:rPr>
  </w:style>
  <w:style w:type="paragraph" w:styleId="15">
    <w:name w:val="toc 1"/>
    <w:basedOn w:val="1"/>
    <w:next w:val="1"/>
    <w:unhideWhenUsed/>
    <w:qFormat/>
    <w:uiPriority w:val="39"/>
    <w:pPr>
      <w:spacing w:before="120" w:after="120"/>
      <w:jc w:val="left"/>
    </w:pPr>
    <w:rPr>
      <w:rFonts w:asciiTheme="minorHAnsi" w:eastAsiaTheme="minorHAnsi"/>
      <w:b/>
      <w:bCs/>
      <w:caps/>
      <w:sz w:val="20"/>
      <w:szCs w:val="20"/>
    </w:rPr>
  </w:style>
  <w:style w:type="paragraph" w:styleId="16">
    <w:name w:val="toc 4"/>
    <w:basedOn w:val="1"/>
    <w:next w:val="1"/>
    <w:unhideWhenUsed/>
    <w:qFormat/>
    <w:uiPriority w:val="39"/>
    <w:pPr>
      <w:ind w:left="630"/>
      <w:jc w:val="left"/>
    </w:pPr>
    <w:rPr>
      <w:rFonts w:asciiTheme="minorHAnsi" w:eastAsiaTheme="minorHAnsi"/>
      <w:sz w:val="18"/>
      <w:szCs w:val="18"/>
    </w:rPr>
  </w:style>
  <w:style w:type="paragraph" w:styleId="17">
    <w:name w:val="toc 6"/>
    <w:basedOn w:val="1"/>
    <w:next w:val="1"/>
    <w:unhideWhenUsed/>
    <w:qFormat/>
    <w:uiPriority w:val="39"/>
    <w:pPr>
      <w:ind w:left="1050"/>
      <w:jc w:val="left"/>
    </w:pPr>
    <w:rPr>
      <w:rFonts w:asciiTheme="minorHAnsi" w:eastAsiaTheme="minorHAnsi"/>
      <w:sz w:val="18"/>
      <w:szCs w:val="18"/>
    </w:rPr>
  </w:style>
  <w:style w:type="paragraph" w:styleId="18">
    <w:name w:val="table of figures"/>
    <w:basedOn w:val="1"/>
    <w:next w:val="1"/>
    <w:unhideWhenUsed/>
    <w:qFormat/>
    <w:uiPriority w:val="99"/>
    <w:pPr>
      <w:ind w:leftChars="200" w:hanging="200" w:hangingChars="200"/>
    </w:pPr>
  </w:style>
  <w:style w:type="paragraph" w:styleId="19">
    <w:name w:val="toc 2"/>
    <w:basedOn w:val="1"/>
    <w:next w:val="1"/>
    <w:unhideWhenUsed/>
    <w:qFormat/>
    <w:uiPriority w:val="39"/>
    <w:pPr>
      <w:ind w:left="210"/>
      <w:jc w:val="left"/>
    </w:pPr>
    <w:rPr>
      <w:rFonts w:asciiTheme="minorHAnsi" w:eastAsiaTheme="minorHAnsi"/>
      <w:smallCaps/>
      <w:sz w:val="20"/>
      <w:szCs w:val="20"/>
    </w:rPr>
  </w:style>
  <w:style w:type="paragraph" w:styleId="20">
    <w:name w:val="toc 9"/>
    <w:basedOn w:val="1"/>
    <w:next w:val="1"/>
    <w:unhideWhenUsed/>
    <w:qFormat/>
    <w:uiPriority w:val="39"/>
    <w:pPr>
      <w:ind w:left="1680"/>
      <w:jc w:val="left"/>
    </w:pPr>
    <w:rPr>
      <w:rFonts w:asciiTheme="minorHAnsi" w:eastAsiaTheme="minorHAnsi"/>
      <w:sz w:val="18"/>
      <w:szCs w:val="18"/>
    </w:rPr>
  </w:style>
  <w:style w:type="paragraph" w:styleId="21">
    <w:name w:val="Normal (Web)"/>
    <w:basedOn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kern w:val="0"/>
      <w:sz w:val="24"/>
      <w:lang w:val="en-US" w:eastAsia="zh-CN" w:bidi="ar"/>
    </w:rPr>
  </w:style>
  <w:style w:type="character" w:styleId="24">
    <w:name w:val="Strong"/>
    <w:basedOn w:val="23"/>
    <w:qFormat/>
    <w:uiPriority w:val="99"/>
    <w:rPr>
      <w:rFonts w:cs="Times New Roman"/>
      <w:b/>
    </w:rPr>
  </w:style>
  <w:style w:type="character" w:styleId="25">
    <w:name w:val="Hyperlink"/>
    <w:basedOn w:val="23"/>
    <w:unhideWhenUsed/>
    <w:qFormat/>
    <w:uiPriority w:val="99"/>
    <w:rPr>
      <w:rFonts w:cs="Times New Roman"/>
      <w:color w:val="0000FF"/>
      <w:u w:val="single"/>
    </w:rPr>
  </w:style>
  <w:style w:type="character" w:customStyle="1" w:styleId="26">
    <w:name w:val="标题 1 字符"/>
    <w:basedOn w:val="23"/>
    <w:link w:val="4"/>
    <w:qFormat/>
    <w:locked/>
    <w:uiPriority w:val="9"/>
    <w:rPr>
      <w:rFonts w:ascii="Times New Roman" w:hAnsi="Times New Roman" w:cs="Times New Roman"/>
      <w:b/>
      <w:bCs/>
      <w:kern w:val="44"/>
      <w:sz w:val="44"/>
      <w:szCs w:val="44"/>
    </w:rPr>
  </w:style>
  <w:style w:type="character" w:customStyle="1" w:styleId="27">
    <w:name w:val="标题 2 字符"/>
    <w:basedOn w:val="23"/>
    <w:link w:val="5"/>
    <w:qFormat/>
    <w:locked/>
    <w:uiPriority w:val="9"/>
    <w:rPr>
      <w:rFonts w:ascii="Cambria" w:hAnsi="Cambria" w:eastAsia="宋体" w:cs="Times New Roman"/>
      <w:b/>
      <w:bCs/>
      <w:kern w:val="2"/>
      <w:sz w:val="32"/>
      <w:szCs w:val="32"/>
    </w:rPr>
  </w:style>
  <w:style w:type="character" w:customStyle="1" w:styleId="28">
    <w:name w:val="标题 3 字符"/>
    <w:basedOn w:val="23"/>
    <w:link w:val="6"/>
    <w:qFormat/>
    <w:locked/>
    <w:uiPriority w:val="9"/>
    <w:rPr>
      <w:rFonts w:ascii="Times New Roman" w:hAnsi="Times New Roman" w:cs="Times New Roman"/>
      <w:b/>
      <w:bCs/>
      <w:kern w:val="2"/>
      <w:sz w:val="32"/>
      <w:szCs w:val="32"/>
    </w:rPr>
  </w:style>
  <w:style w:type="character" w:customStyle="1" w:styleId="29">
    <w:name w:val="Body Text Char"/>
    <w:basedOn w:val="23"/>
    <w:semiHidden/>
    <w:qFormat/>
    <w:uiPriority w:val="99"/>
    <w:rPr>
      <w:rFonts w:ascii="Times New Roman" w:hAnsi="Times New Roman" w:cs="Times New Roman"/>
      <w:sz w:val="24"/>
      <w:szCs w:val="24"/>
    </w:rPr>
  </w:style>
  <w:style w:type="character" w:customStyle="1" w:styleId="30">
    <w:name w:val="批注框文本 字符"/>
    <w:basedOn w:val="23"/>
    <w:link w:val="12"/>
    <w:semiHidden/>
    <w:qFormat/>
    <w:locked/>
    <w:uiPriority w:val="99"/>
    <w:rPr>
      <w:rFonts w:ascii="Times New Roman" w:hAnsi="Times New Roman" w:cs="Times New Roman"/>
      <w:kern w:val="2"/>
      <w:sz w:val="18"/>
      <w:szCs w:val="18"/>
    </w:rPr>
  </w:style>
  <w:style w:type="character" w:customStyle="1" w:styleId="31">
    <w:name w:val="Footer Char"/>
    <w:basedOn w:val="23"/>
    <w:semiHidden/>
    <w:qFormat/>
    <w:uiPriority w:val="99"/>
    <w:rPr>
      <w:rFonts w:ascii="Times New Roman" w:hAnsi="Times New Roman" w:cs="Times New Roman"/>
      <w:sz w:val="18"/>
      <w:szCs w:val="18"/>
    </w:rPr>
  </w:style>
  <w:style w:type="character" w:customStyle="1" w:styleId="32">
    <w:name w:val="Header Char"/>
    <w:basedOn w:val="23"/>
    <w:semiHidden/>
    <w:qFormat/>
    <w:uiPriority w:val="99"/>
    <w:rPr>
      <w:rFonts w:ascii="Times New Roman" w:hAnsi="Times New Roman" w:cs="Times New Roman"/>
      <w:sz w:val="18"/>
      <w:szCs w:val="18"/>
    </w:rPr>
  </w:style>
  <w:style w:type="character" w:customStyle="1" w:styleId="33">
    <w:name w:val="页眉 字符"/>
    <w:link w:val="14"/>
    <w:semiHidden/>
    <w:qFormat/>
    <w:locked/>
    <w:uiPriority w:val="99"/>
    <w:rPr>
      <w:sz w:val="18"/>
    </w:rPr>
  </w:style>
  <w:style w:type="character" w:customStyle="1" w:styleId="34">
    <w:name w:val="页脚 字符"/>
    <w:link w:val="13"/>
    <w:qFormat/>
    <w:locked/>
    <w:uiPriority w:val="99"/>
    <w:rPr>
      <w:sz w:val="18"/>
    </w:rPr>
  </w:style>
  <w:style w:type="character" w:customStyle="1" w:styleId="35">
    <w:name w:val="正文文本 字符"/>
    <w:link w:val="8"/>
    <w:qFormat/>
    <w:locked/>
    <w:uiPriority w:val="99"/>
    <w:rPr>
      <w:rFonts w:ascii="仿宋_GB2312" w:hAnsi="Times New Roman" w:eastAsia="仿宋_GB2312"/>
      <w:sz w:val="24"/>
    </w:rPr>
  </w:style>
  <w:style w:type="paragraph" w:customStyle="1" w:styleId="3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customStyle="1" w:styleId="37">
    <w:name w:val="列表段落1"/>
    <w:basedOn w:val="1"/>
    <w:qFormat/>
    <w:uiPriority w:val="34"/>
    <w:pPr>
      <w:ind w:firstLine="420" w:firstLineChars="200"/>
    </w:pPr>
  </w:style>
  <w:style w:type="paragraph" w:customStyle="1" w:styleId="38">
    <w:name w:val="TOC 标题1"/>
    <w:basedOn w:val="4"/>
    <w:next w:val="1"/>
    <w:unhideWhenUsed/>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39">
    <w:name w:val="TOC Heading1"/>
    <w:basedOn w:val="4"/>
    <w:next w:val="1"/>
    <w:unhideWhenUsed/>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40">
    <w:name w:val="TOC Heading"/>
    <w:basedOn w:val="4"/>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F5597" w:themeColor="accent1" w:themeShade="BF"/>
      <w:kern w:val="0"/>
      <w:sz w:val="32"/>
      <w:szCs w:val="32"/>
    </w:rPr>
  </w:style>
  <w:style w:type="paragraph" w:customStyle="1" w:styleId="41">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42">
    <w:name w:val="普通(网站) Char"/>
    <w:basedOn w:val="1"/>
    <w:qFormat/>
    <w:uiPriority w:val="0"/>
    <w:pPr>
      <w:spacing w:before="0" w:beforeAutospacing="1" w:after="0" w:afterAutospacing="1"/>
      <w:ind w:left="0" w:right="0"/>
      <w:jc w:val="left"/>
    </w:pPr>
    <w:rPr>
      <w:rFonts w:hint="eastAsia" w:ascii="宋体" w:hAnsi="宋体" w:eastAsia="宋体" w:cs="宋体"/>
      <w:kern w:val="0"/>
      <w:sz w:val="24"/>
      <w:szCs w:val="24"/>
      <w:lang w:val="en-US" w:eastAsia="zh-CN" w:bidi="ar"/>
    </w:rPr>
  </w:style>
  <w:style w:type="character" w:customStyle="1" w:styleId="43">
    <w:name w:val="15"/>
    <w:basedOn w:val="23"/>
    <w:uiPriority w:val="0"/>
    <w:rPr>
      <w:rFonts w:hint="default" w:ascii="Times New Roman" w:hAnsi="Times New Roman" w:cs="Times New Roman"/>
      <w:b/>
    </w:rPr>
  </w:style>
</w:styles>
</file>

<file path=word/_rels/document.xml.rels><?xml version="1.0" encoding="UTF-8" standalone="yes"?>
<Relationships xmlns="http://schemas.openxmlformats.org/package/2006/relationships"><Relationship Id="rId9" Type="http://schemas.openxmlformats.org/officeDocument/2006/relationships/chart" Target="charts/chart4.xml"/><Relationship Id="rId8" Type="http://schemas.openxmlformats.org/officeDocument/2006/relationships/chart" Target="charts/chart3.xml"/><Relationship Id="rId7" Type="http://schemas.openxmlformats.org/officeDocument/2006/relationships/chart" Target="charts/chart2.xml"/><Relationship Id="rId6" Type="http://schemas.openxmlformats.org/officeDocument/2006/relationships/chart" Target="charts/chart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numbering" Target="numbering.xml"/><Relationship Id="rId12" Type="http://schemas.openxmlformats.org/officeDocument/2006/relationships/chart" Target="charts/chart7.xml"/><Relationship Id="rId11" Type="http://schemas.openxmlformats.org/officeDocument/2006/relationships/chart" Target="charts/chart6.xml"/><Relationship Id="rId10" Type="http://schemas.openxmlformats.org/officeDocument/2006/relationships/chart" Target="charts/chart5.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2.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5.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_rels/chart6.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package" Target="../embeddings/Workbook7.xlsx"/></Relationships>
</file>

<file path=word/charts/_rels/chart7.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年度收支情况</c:v>
                </c:pt>
              </c:strCache>
            </c:strRef>
          </c:tx>
          <c:spPr>
            <a:solidFill>
              <a:schemeClr val="accent1"/>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Sheet1!$A$2:$A$3</c:f>
              <c:strCache>
                <c:ptCount val="2"/>
                <c:pt idx="0">
                  <c:v>2021年</c:v>
                </c:pt>
                <c:pt idx="1">
                  <c:v>2022年</c:v>
                </c:pt>
              </c:strCache>
            </c:strRef>
          </c:cat>
          <c:val>
            <c:numRef>
              <c:f>Sheet1!$B$2:$B$3</c:f>
              <c:numCache>
                <c:formatCode>General</c:formatCode>
                <c:ptCount val="2"/>
                <c:pt idx="0">
                  <c:v>8470.34</c:v>
                </c:pt>
                <c:pt idx="1">
                  <c:v>5389.68</c:v>
                </c:pt>
              </c:numCache>
            </c:numRef>
          </c:val>
        </c:ser>
        <c:dLbls>
          <c:showLegendKey val="0"/>
          <c:showVal val="0"/>
          <c:showCatName val="0"/>
          <c:showSerName val="0"/>
          <c:showPercent val="0"/>
          <c:showBubbleSize val="0"/>
        </c:dLbls>
        <c:gapWidth val="75"/>
        <c:overlap val="0"/>
        <c:axId val="488311227"/>
        <c:axId val="810268602"/>
      </c:barChart>
      <c:catAx>
        <c:axId val="488311227"/>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0268602"/>
        <c:crosses val="autoZero"/>
        <c:auto val="1"/>
        <c:lblAlgn val="ctr"/>
        <c:lblOffset val="100"/>
        <c:noMultiLvlLbl val="0"/>
      </c:catAx>
      <c:valAx>
        <c:axId val="810268602"/>
        <c:scaling>
          <c:orientation val="minMax"/>
        </c:scaling>
        <c:delete val="0"/>
        <c:axPos val="l"/>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88311227"/>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b4aa37fd-a407-40a6-99ee-4bae5d89797f}"/>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doughnutChart>
        <c:varyColors val="1"/>
        <c:ser>
          <c:idx val="0"/>
          <c:order val="0"/>
          <c:tx>
            <c:strRef>
              <c:f>Sheet1!$A$2</c:f>
              <c:strCache>
                <c:ptCount val="1"/>
                <c:pt idx="0">
                  <c:v>2022年</c:v>
                </c:pt>
              </c:strCache>
            </c:strRef>
          </c:tx>
          <c:spPr/>
          <c:explosion val="0"/>
          <c:dPt>
            <c:idx val="0"/>
            <c:bubble3D val="0"/>
            <c:spPr>
              <a:solidFill>
                <a:schemeClr val="accent1"/>
              </a:solidFill>
              <a:ln w="19050">
                <a:solidFill>
                  <a:schemeClr val="lt1"/>
                </a:solidFill>
              </a:ln>
              <a:effectLst/>
            </c:spPr>
          </c:dPt>
          <c:dLbls>
            <c:delete val="1"/>
          </c:dLbls>
          <c:cat>
            <c:strRef>
              <c:f>Sheet1!$B$1</c:f>
              <c:strCache>
                <c:ptCount val="1"/>
                <c:pt idx="0">
                  <c:v>一般公共预算财政拨款收入</c:v>
                </c:pt>
              </c:strCache>
            </c:strRef>
          </c:cat>
          <c:val>
            <c:numRef>
              <c:f>Sheet1!$B$2</c:f>
              <c:numCache>
                <c:formatCode>General</c:formatCode>
                <c:ptCount val="1"/>
                <c:pt idx="0">
                  <c:v>2694.84</c:v>
                </c:pt>
              </c:numCache>
            </c:numRef>
          </c:val>
        </c:ser>
        <c:dLbls>
          <c:showLegendKey val="0"/>
          <c:showVal val="0"/>
          <c:showCatName val="0"/>
          <c:showSerName val="0"/>
          <c:showPercent val="0"/>
          <c:showBubbleSize val="0"/>
          <c:showLeaderLines val="1"/>
        </c:dLbls>
        <c:firstSliceAng val="0"/>
        <c:holeSize val="50"/>
      </c:doughnut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b48088a9-7532-451d-b03a-9986b87ea382}"/>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Sheet1!$B$1</c:f>
              <c:strCache>
                <c:ptCount val="1"/>
                <c:pt idx="0">
                  <c:v>财政拨款支出</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delete val="1"/>
          </c:dLbls>
          <c:cat>
            <c:strRef>
              <c:f>Sheet1!$A$2:$A$3</c:f>
              <c:strCache>
                <c:ptCount val="2"/>
                <c:pt idx="0">
                  <c:v>基本支出</c:v>
                </c:pt>
                <c:pt idx="1">
                  <c:v>项目支出</c:v>
                </c:pt>
              </c:strCache>
            </c:strRef>
          </c:cat>
          <c:val>
            <c:numRef>
              <c:f>Sheet1!$B$2:$B$3</c:f>
              <c:numCache>
                <c:formatCode>General</c:formatCode>
                <c:ptCount val="2"/>
                <c:pt idx="0">
                  <c:v>1125.76</c:v>
                </c:pt>
                <c:pt idx="1">
                  <c:v>1569.08</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edf984c4-21be-4c41-ac94-d47622bf299a}"/>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Sheet1!$A$2</c:f>
              <c:strCache>
                <c:ptCount val="1"/>
                <c:pt idx="0">
                  <c:v>2022年</c:v>
                </c:pt>
              </c:strCache>
            </c:strRef>
          </c:tx>
          <c:spPr>
            <a:solidFill>
              <a:schemeClr val="accent1"/>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Sheet1!$B$1:$C$1</c:f>
              <c:strCache>
                <c:ptCount val="2"/>
                <c:pt idx="0">
                  <c:v>财政拨款收入</c:v>
                </c:pt>
                <c:pt idx="1">
                  <c:v>财政拨款支出</c:v>
                </c:pt>
              </c:strCache>
            </c:strRef>
          </c:cat>
          <c:val>
            <c:numRef>
              <c:f>Sheet1!$B$2:$C$2</c:f>
              <c:numCache>
                <c:formatCode>General</c:formatCode>
                <c:ptCount val="2"/>
                <c:pt idx="0">
                  <c:v>2694.84</c:v>
                </c:pt>
                <c:pt idx="1">
                  <c:v>2694.84</c:v>
                </c:pt>
              </c:numCache>
            </c:numRef>
          </c:val>
        </c:ser>
        <c:ser>
          <c:idx val="1"/>
          <c:order val="1"/>
          <c:tx>
            <c:strRef>
              <c:f>Sheet1!$A$3</c:f>
              <c:strCache>
                <c:ptCount val="1"/>
                <c:pt idx="0">
                  <c:v>2021年</c:v>
                </c:pt>
              </c:strCache>
            </c:strRef>
          </c:tx>
          <c:spPr>
            <a:solidFill>
              <a:schemeClr val="accent2"/>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Sheet1!$B$1:$C$1</c:f>
              <c:strCache>
                <c:ptCount val="2"/>
                <c:pt idx="0">
                  <c:v>财政拨款收入</c:v>
                </c:pt>
                <c:pt idx="1">
                  <c:v>财政拨款支出</c:v>
                </c:pt>
              </c:strCache>
            </c:strRef>
          </c:cat>
          <c:val>
            <c:numRef>
              <c:f>Sheet1!$B$3:$C$3</c:f>
              <c:numCache>
                <c:formatCode>General</c:formatCode>
                <c:ptCount val="2"/>
                <c:pt idx="0">
                  <c:v>3733.52</c:v>
                </c:pt>
                <c:pt idx="1">
                  <c:v>4736.83</c:v>
                </c:pt>
              </c:numCache>
            </c:numRef>
          </c:val>
        </c:ser>
        <c:dLbls>
          <c:showLegendKey val="0"/>
          <c:showVal val="0"/>
          <c:showCatName val="0"/>
          <c:showSerName val="0"/>
          <c:showPercent val="0"/>
          <c:showBubbleSize val="0"/>
        </c:dLbls>
        <c:gapWidth val="75"/>
        <c:overlap val="0"/>
        <c:axId val="480050188"/>
        <c:axId val="243666117"/>
      </c:barChart>
      <c:catAx>
        <c:axId val="480050188"/>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43666117"/>
        <c:crosses val="autoZero"/>
        <c:auto val="1"/>
        <c:lblAlgn val="ctr"/>
        <c:lblOffset val="100"/>
        <c:noMultiLvlLbl val="0"/>
      </c:catAx>
      <c:valAx>
        <c:axId val="243666117"/>
        <c:scaling>
          <c:orientation val="minMax"/>
        </c:scaling>
        <c:delete val="0"/>
        <c:axPos val="l"/>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8005018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10236b2e-ce2c-4dd9-a1b2-3da3817863d4}"/>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一般公共预算财政拨款支出</c:v>
                </c:pt>
              </c:strCache>
            </c:strRef>
          </c:tx>
          <c:spPr>
            <a:solidFill>
              <a:schemeClr val="accent1"/>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Sheet1!$A$2:$A$3</c:f>
              <c:strCache>
                <c:ptCount val="2"/>
                <c:pt idx="0">
                  <c:v>2022年</c:v>
                </c:pt>
                <c:pt idx="1">
                  <c:v>2021年</c:v>
                </c:pt>
              </c:strCache>
            </c:strRef>
          </c:cat>
          <c:val>
            <c:numRef>
              <c:f>Sheet1!$B$2:$B$3</c:f>
              <c:numCache>
                <c:formatCode>General</c:formatCode>
                <c:ptCount val="2"/>
                <c:pt idx="0">
                  <c:v>2694.84</c:v>
                </c:pt>
                <c:pt idx="1">
                  <c:v>4650.22</c:v>
                </c:pt>
              </c:numCache>
            </c:numRef>
          </c:val>
        </c:ser>
        <c:dLbls>
          <c:showLegendKey val="0"/>
          <c:showVal val="0"/>
          <c:showCatName val="0"/>
          <c:showSerName val="0"/>
          <c:showPercent val="0"/>
          <c:showBubbleSize val="0"/>
        </c:dLbls>
        <c:gapWidth val="75"/>
        <c:overlap val="0"/>
        <c:axId val="399514617"/>
        <c:axId val="96968283"/>
      </c:barChart>
      <c:catAx>
        <c:axId val="399514617"/>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6968283"/>
        <c:crosses val="autoZero"/>
        <c:auto val="1"/>
        <c:lblAlgn val="ctr"/>
        <c:lblOffset val="100"/>
        <c:noMultiLvlLbl val="0"/>
      </c:catAx>
      <c:valAx>
        <c:axId val="96968283"/>
        <c:scaling>
          <c:orientation val="minMax"/>
        </c:scaling>
        <c:delete val="0"/>
        <c:axPos val="l"/>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99514617"/>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df377e75-19d1-4b9e-bc06-fa9ce311093e}"/>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Sheet1!$B$1</c:f>
              <c:strCache>
                <c:ptCount val="1"/>
                <c:pt idx="0">
                  <c:v>2022年财政拨款支出结构</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Lbls>
            <c:delete val="1"/>
          </c:dLbls>
          <c:cat>
            <c:strRef>
              <c:f>Sheet1!$A$2:$A$6</c:f>
              <c:strCache>
                <c:ptCount val="5"/>
                <c:pt idx="0">
                  <c:v>一般公共服务</c:v>
                </c:pt>
                <c:pt idx="1">
                  <c:v>社会保障和就业</c:v>
                </c:pt>
                <c:pt idx="2">
                  <c:v>卫生健康</c:v>
                </c:pt>
                <c:pt idx="3">
                  <c:v>农林水</c:v>
                </c:pt>
                <c:pt idx="4">
                  <c:v>住房保障</c:v>
                </c:pt>
              </c:strCache>
            </c:strRef>
          </c:cat>
          <c:val>
            <c:numRef>
              <c:f>Sheet1!$B$2:$B$6</c:f>
              <c:numCache>
                <c:formatCode>General</c:formatCode>
                <c:ptCount val="5"/>
                <c:pt idx="0">
                  <c:v>959.41</c:v>
                </c:pt>
                <c:pt idx="1">
                  <c:v>141.33</c:v>
                </c:pt>
                <c:pt idx="2">
                  <c:v>53.22</c:v>
                </c:pt>
                <c:pt idx="3">
                  <c:v>1465.95</c:v>
                </c:pt>
                <c:pt idx="4">
                  <c:v>74.92</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4fe24ecd-ab13-4f07-b080-6f302e4d1cb8}"/>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Sheet1!$A$2</c:f>
              <c:strCache>
                <c:ptCount val="1"/>
                <c:pt idx="0">
                  <c:v>公务用车运行维护费</c:v>
                </c:pt>
              </c:strCache>
            </c:strRef>
          </c:tx>
          <c:spPr/>
          <c:explosion val="0"/>
          <c:dPt>
            <c:idx val="0"/>
            <c:bubble3D val="0"/>
            <c:spPr>
              <a:solidFill>
                <a:schemeClr val="accent1"/>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Sheet1!$B$1</c:f>
              <c:strCache>
                <c:ptCount val="1"/>
                <c:pt idx="0">
                  <c:v>“三公”经费财政拨款支出结构</c:v>
                </c:pt>
              </c:strCache>
            </c:strRef>
          </c:cat>
          <c:val>
            <c:numRef>
              <c:f>Sheet1!$B$2</c:f>
              <c:numCache>
                <c:formatCode>General</c:formatCode>
                <c:ptCount val="1"/>
                <c:pt idx="0">
                  <c:v>11.95</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8f99ad06-250f-464a-b53a-c0bbcad82151}"/>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9CAE55-CD1B-4B4A-B759-66D9AAD6058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30</Pages>
  <Words>10961</Words>
  <Characters>11753</Characters>
  <Lines>74</Lines>
  <Paragraphs>21</Paragraphs>
  <TotalTime>1</TotalTime>
  <ScaleCrop>false</ScaleCrop>
  <LinksUpToDate>false</LinksUpToDate>
  <CharactersWithSpaces>11810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2021-08-06T09:38:00Z</dcterms:created>
  <dc:creator>曹颖</dc:creator>
  <cp:lastModifiedBy>对影成三人</cp:lastModifiedBy>
  <cp:lastPrinted>2023-09-10T02:18:00Z</cp:lastPrinted>
  <dcterms:modified xsi:type="dcterms:W3CDTF">2026-09-15T01:31:05Z</dcterms:modified>
  <dc:title>阿坝州部门决算说明</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C969708E331F4A3EA5931D016D306612_13</vt:lpwstr>
  </property>
  <property fmtid="{D5CDD505-2E9C-101B-9397-08002B2CF9AE}" pid="4" name="KSOTemplateDocerSaveRecord">
    <vt:lpwstr>eyJoZGlkIjoiYjA1ZDg3Y2Y1MzJlNDVjZjA5NTk4YjViYTliYmM3NTYiLCJ1c2VySWQiOiIyNDIyNDYwNDUifQ==</vt:lpwstr>
  </property>
</Properties>
</file>